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F7F" w:rsidRDefault="00D97F7F" w:rsidP="00C60AD1">
      <w:pPr>
        <w:jc w:val="center"/>
        <w:rPr>
          <w:sz w:val="22"/>
          <w:szCs w:val="22"/>
          <w:lang w:val="en-US"/>
        </w:rPr>
      </w:pPr>
    </w:p>
    <w:p w:rsidR="00D97F7F" w:rsidRDefault="00D97F7F" w:rsidP="00C60AD1">
      <w:pPr>
        <w:jc w:val="center"/>
        <w:rPr>
          <w:sz w:val="22"/>
          <w:szCs w:val="22"/>
          <w:lang w:val="en-US"/>
        </w:rPr>
      </w:pPr>
    </w:p>
    <w:p w:rsidR="00770A3C" w:rsidRPr="00C60AD1" w:rsidRDefault="00770A3C" w:rsidP="00C60AD1">
      <w:pPr>
        <w:jc w:val="center"/>
        <w:rPr>
          <w:sz w:val="22"/>
          <w:szCs w:val="22"/>
          <w:lang w:val="en-US"/>
        </w:rPr>
      </w:pPr>
      <w:r w:rsidRPr="00C60AD1">
        <w:rPr>
          <w:noProof/>
          <w:sz w:val="22"/>
          <w:szCs w:val="22"/>
          <w:lang w:val="en-IN" w:eastAsia="en-IN"/>
        </w:rPr>
        <w:drawing>
          <wp:inline distT="0" distB="0" distL="0" distR="0">
            <wp:extent cx="1373816" cy="1339702"/>
            <wp:effectExtent l="19050" t="0" r="0" b="0"/>
            <wp:docPr id="1" name="Picture 41"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perclogo"/>
                    <pic:cNvPicPr>
                      <a:picLocks noChangeAspect="1" noChangeArrowheads="1"/>
                    </pic:cNvPicPr>
                  </pic:nvPicPr>
                  <pic:blipFill>
                    <a:blip r:embed="rId8" cstate="print"/>
                    <a:srcRect/>
                    <a:stretch>
                      <a:fillRect/>
                    </a:stretch>
                  </pic:blipFill>
                  <pic:spPr bwMode="auto">
                    <a:xfrm>
                      <a:off x="0" y="0"/>
                      <a:ext cx="1371600" cy="1337541"/>
                    </a:xfrm>
                    <a:prstGeom prst="rect">
                      <a:avLst/>
                    </a:prstGeom>
                    <a:noFill/>
                    <a:ln w="9525">
                      <a:noFill/>
                      <a:miter lim="800000"/>
                      <a:headEnd/>
                      <a:tailEnd/>
                    </a:ln>
                  </pic:spPr>
                </pic:pic>
              </a:graphicData>
            </a:graphic>
          </wp:inline>
        </w:drawing>
      </w:r>
    </w:p>
    <w:p w:rsidR="00770A3C" w:rsidRPr="00C60AD1" w:rsidRDefault="00770A3C" w:rsidP="00C60AD1">
      <w:pPr>
        <w:spacing w:before="0" w:after="200"/>
        <w:jc w:val="center"/>
        <w:rPr>
          <w:b/>
          <w:sz w:val="22"/>
          <w:szCs w:val="22"/>
          <w:lang w:val="en-US"/>
        </w:rPr>
      </w:pPr>
    </w:p>
    <w:p w:rsidR="00770A3C" w:rsidRPr="00C60AD1" w:rsidRDefault="00770A3C" w:rsidP="00C60AD1">
      <w:pPr>
        <w:spacing w:before="0" w:after="200"/>
        <w:jc w:val="center"/>
        <w:rPr>
          <w:b/>
          <w:sz w:val="22"/>
          <w:szCs w:val="22"/>
          <w:lang w:val="en-US"/>
        </w:rPr>
      </w:pPr>
      <w:r w:rsidRPr="00C60AD1">
        <w:rPr>
          <w:b/>
          <w:sz w:val="22"/>
          <w:szCs w:val="22"/>
          <w:lang w:val="en-US"/>
        </w:rPr>
        <w:t>UTTAR PRADESH ELECTRICITY REGULATORY COMMISSION</w:t>
      </w:r>
    </w:p>
    <w:p w:rsidR="00770A3C" w:rsidRPr="00C60AD1" w:rsidRDefault="00770A3C" w:rsidP="00C60AD1">
      <w:pPr>
        <w:spacing w:before="0" w:after="200"/>
        <w:jc w:val="center"/>
        <w:rPr>
          <w:b/>
          <w:caps/>
          <w:sz w:val="22"/>
          <w:szCs w:val="22"/>
          <w:lang w:val="en-US"/>
        </w:rPr>
      </w:pPr>
      <w:r w:rsidRPr="00C60AD1">
        <w:rPr>
          <w:b/>
          <w:caps/>
          <w:sz w:val="22"/>
          <w:szCs w:val="22"/>
          <w:lang w:val="en-US"/>
        </w:rPr>
        <w:t>Lucknow</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t xml:space="preserve">Petition No. </w:t>
      </w:r>
      <w:r w:rsidR="00EA3BA0">
        <w:t>1059</w:t>
      </w:r>
      <w:r w:rsidR="00D4588C" w:rsidRPr="00C60AD1">
        <w:t>/201</w:t>
      </w:r>
      <w:r w:rsidR="00910685">
        <w:t>5</w:t>
      </w:r>
    </w:p>
    <w:p w:rsidR="00770A3C" w:rsidRPr="00C60AD1" w:rsidRDefault="00770A3C" w:rsidP="00C60AD1">
      <w:pPr>
        <w:spacing w:before="0" w:after="200"/>
        <w:jc w:val="center"/>
        <w:rPr>
          <w:b/>
          <w:caps/>
          <w:sz w:val="22"/>
          <w:szCs w:val="22"/>
          <w:lang w:val="en-US"/>
        </w:rPr>
      </w:pPr>
    </w:p>
    <w:p w:rsidR="00770A3C" w:rsidRPr="00C60AD1" w:rsidRDefault="00770A3C" w:rsidP="00C60AD1">
      <w:pPr>
        <w:spacing w:before="0" w:after="200"/>
        <w:jc w:val="center"/>
        <w:rPr>
          <w:b/>
          <w:caps/>
          <w:sz w:val="22"/>
          <w:szCs w:val="22"/>
          <w:lang w:val="en-US"/>
        </w:rPr>
      </w:pPr>
      <w:r w:rsidRPr="00C60AD1">
        <w:rPr>
          <w:b/>
          <w:caps/>
          <w:sz w:val="22"/>
          <w:szCs w:val="22"/>
          <w:lang w:val="en-US"/>
        </w:rPr>
        <w:t xml:space="preserve">Determination of Aggregate Revenue Requirement (ARR) and Tariff for FY </w:t>
      </w:r>
      <w:r w:rsidR="00B30FF6" w:rsidRPr="00C60AD1">
        <w:rPr>
          <w:b/>
          <w:caps/>
          <w:sz w:val="22"/>
          <w:szCs w:val="22"/>
          <w:lang w:val="en-US"/>
        </w:rPr>
        <w:t>201</w:t>
      </w:r>
      <w:r w:rsidR="00910685">
        <w:rPr>
          <w:b/>
          <w:caps/>
          <w:sz w:val="22"/>
          <w:szCs w:val="22"/>
          <w:lang w:val="en-US"/>
        </w:rPr>
        <w:t>6</w:t>
      </w:r>
      <w:r w:rsidR="00B30FF6" w:rsidRPr="00C60AD1">
        <w:rPr>
          <w:b/>
          <w:caps/>
          <w:sz w:val="22"/>
          <w:szCs w:val="22"/>
          <w:lang w:val="en-US"/>
        </w:rPr>
        <w:t>-1</w:t>
      </w:r>
      <w:r w:rsidR="00910685">
        <w:rPr>
          <w:b/>
          <w:caps/>
          <w:sz w:val="22"/>
          <w:szCs w:val="22"/>
          <w:lang w:val="en-US"/>
        </w:rPr>
        <w:t>7</w:t>
      </w:r>
    </w:p>
    <w:p w:rsidR="00F70DA9" w:rsidRPr="00C60AD1" w:rsidRDefault="0022393E" w:rsidP="00C60AD1">
      <w:pPr>
        <w:spacing w:before="0" w:after="200"/>
        <w:jc w:val="center"/>
        <w:rPr>
          <w:rFonts w:cs="Calibri"/>
          <w:b/>
          <w:caps/>
          <w:color w:val="000000"/>
          <w:lang w:val="en-US"/>
        </w:rPr>
      </w:pPr>
      <w:r w:rsidRPr="00C60AD1">
        <w:rPr>
          <w:b/>
          <w:caps/>
          <w:sz w:val="22"/>
          <w:szCs w:val="22"/>
          <w:lang w:val="en-US"/>
        </w:rPr>
        <w:t>aND</w:t>
      </w:r>
    </w:p>
    <w:p w:rsidR="00770A3C" w:rsidRPr="00C60AD1" w:rsidRDefault="00770A3C" w:rsidP="00C60AD1">
      <w:pPr>
        <w:spacing w:before="0" w:after="200"/>
        <w:jc w:val="center"/>
        <w:rPr>
          <w:b/>
          <w:sz w:val="22"/>
          <w:szCs w:val="22"/>
          <w:lang w:val="en-US"/>
        </w:rPr>
      </w:pPr>
      <w:r w:rsidRPr="00C60AD1">
        <w:rPr>
          <w:b/>
          <w:sz w:val="22"/>
          <w:szCs w:val="22"/>
          <w:lang w:val="en-US"/>
        </w:rPr>
        <w:t xml:space="preserve">TRUE-UP OF ARR AND REVENUE FOR </w:t>
      </w:r>
      <w:r w:rsidR="00C979CC" w:rsidRPr="00C60AD1">
        <w:rPr>
          <w:b/>
          <w:sz w:val="22"/>
          <w:szCs w:val="22"/>
          <w:lang w:val="en-US"/>
        </w:rPr>
        <w:t xml:space="preserve">FY </w:t>
      </w:r>
      <w:r w:rsidR="00B30FF6" w:rsidRPr="00C60AD1">
        <w:rPr>
          <w:b/>
          <w:sz w:val="22"/>
          <w:szCs w:val="22"/>
          <w:lang w:val="en-US"/>
        </w:rPr>
        <w:t>201</w:t>
      </w:r>
      <w:r w:rsidR="00910685">
        <w:rPr>
          <w:b/>
          <w:sz w:val="22"/>
          <w:szCs w:val="22"/>
          <w:lang w:val="en-US"/>
        </w:rPr>
        <w:t>3</w:t>
      </w:r>
      <w:r w:rsidR="00B30FF6" w:rsidRPr="00C60AD1">
        <w:rPr>
          <w:b/>
          <w:sz w:val="22"/>
          <w:szCs w:val="22"/>
          <w:lang w:val="en-US"/>
        </w:rPr>
        <w:t>-1</w:t>
      </w:r>
      <w:r w:rsidR="00910685">
        <w:rPr>
          <w:b/>
          <w:sz w:val="22"/>
          <w:szCs w:val="22"/>
          <w:lang w:val="en-US"/>
        </w:rPr>
        <w:t>4</w:t>
      </w:r>
    </w:p>
    <w:p w:rsidR="00770A3C" w:rsidRPr="00C60AD1" w:rsidRDefault="00770A3C" w:rsidP="00C60AD1">
      <w:pPr>
        <w:spacing w:before="0" w:after="200"/>
        <w:jc w:val="center"/>
        <w:rPr>
          <w:b/>
          <w:sz w:val="22"/>
          <w:szCs w:val="22"/>
          <w:lang w:val="en-US"/>
        </w:rPr>
      </w:pPr>
      <w:r w:rsidRPr="00C60AD1">
        <w:rPr>
          <w:b/>
          <w:sz w:val="22"/>
          <w:szCs w:val="22"/>
          <w:lang w:val="en-US"/>
        </w:rPr>
        <w:t xml:space="preserve">FOR </w:t>
      </w:r>
    </w:p>
    <w:p w:rsidR="00770A3C" w:rsidRPr="00C60AD1" w:rsidRDefault="005A4F16" w:rsidP="00C60AD1">
      <w:pPr>
        <w:spacing w:before="0" w:after="200"/>
        <w:jc w:val="center"/>
        <w:rPr>
          <w:sz w:val="22"/>
          <w:szCs w:val="22"/>
          <w:lang w:val="en-US"/>
        </w:rPr>
      </w:pPr>
      <w:r>
        <w:rPr>
          <w:b/>
          <w:sz w:val="22"/>
          <w:szCs w:val="22"/>
          <w:lang w:val="en-US"/>
        </w:rPr>
        <w:t xml:space="preserve">KANPUR ELECTRICITY SUPPLY COMPANY LIMITED </w:t>
      </w: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p>
    <w:p w:rsidR="00770A3C" w:rsidRPr="00C60AD1" w:rsidRDefault="00770A3C" w:rsidP="00C60AD1">
      <w:pPr>
        <w:spacing w:before="0" w:after="200"/>
        <w:jc w:val="center"/>
        <w:rPr>
          <w:sz w:val="22"/>
          <w:szCs w:val="22"/>
          <w:lang w:val="en-US"/>
        </w:rPr>
      </w:pPr>
      <w:r w:rsidRPr="00C60AD1">
        <w:rPr>
          <w:sz w:val="22"/>
          <w:szCs w:val="22"/>
          <w:lang w:val="en-US"/>
        </w:rPr>
        <w:t>ORDER UNDER SECTION 62 &amp; 64 OF</w:t>
      </w:r>
    </w:p>
    <w:p w:rsidR="00770A3C" w:rsidRPr="00C60AD1" w:rsidRDefault="00770A3C" w:rsidP="00C60AD1">
      <w:pPr>
        <w:spacing w:before="0" w:after="200"/>
        <w:jc w:val="center"/>
        <w:rPr>
          <w:sz w:val="22"/>
          <w:szCs w:val="22"/>
          <w:lang w:val="en-US"/>
        </w:rPr>
      </w:pPr>
      <w:r w:rsidRPr="00C60AD1">
        <w:rPr>
          <w:sz w:val="22"/>
          <w:szCs w:val="22"/>
          <w:lang w:val="en-US"/>
        </w:rPr>
        <w:t>THE ELECTRICITY ACT, 2003</w:t>
      </w:r>
    </w:p>
    <w:p w:rsidR="00770A3C" w:rsidRPr="00C60AD1" w:rsidRDefault="00770A3C" w:rsidP="00C60AD1">
      <w:pPr>
        <w:spacing w:before="0" w:after="200"/>
        <w:jc w:val="center"/>
        <w:rPr>
          <w:sz w:val="22"/>
          <w:szCs w:val="22"/>
          <w:lang w:val="en-US"/>
        </w:rPr>
      </w:pPr>
    </w:p>
    <w:p w:rsidR="00770A3C" w:rsidRPr="00C60AD1" w:rsidRDefault="00DF5FB9" w:rsidP="00C60AD1">
      <w:pPr>
        <w:spacing w:before="0" w:after="200"/>
        <w:jc w:val="center"/>
        <w:rPr>
          <w:sz w:val="22"/>
          <w:szCs w:val="22"/>
          <w:lang w:val="en-US"/>
        </w:rPr>
      </w:pPr>
      <w:r w:rsidRPr="00DF5FB9">
        <w:rPr>
          <w:sz w:val="22"/>
          <w:szCs w:val="22"/>
          <w:lang w:val="en-US"/>
        </w:rPr>
        <w:t>August 1</w:t>
      </w:r>
      <w:r w:rsidR="008B0C65" w:rsidRPr="00A27C11">
        <w:rPr>
          <w:sz w:val="22"/>
          <w:szCs w:val="22"/>
          <w:lang w:val="en-US"/>
        </w:rPr>
        <w:t>, 201</w:t>
      </w:r>
      <w:r w:rsidR="00AD5F17" w:rsidRPr="00A27C11">
        <w:rPr>
          <w:sz w:val="22"/>
          <w:szCs w:val="22"/>
          <w:lang w:val="en-US"/>
        </w:rPr>
        <w:t>6</w:t>
      </w:r>
    </w:p>
    <w:p w:rsidR="007824BA" w:rsidRPr="00C60AD1" w:rsidRDefault="007824BA" w:rsidP="00C60AD1">
      <w:pPr>
        <w:spacing w:before="0" w:line="240" w:lineRule="auto"/>
        <w:jc w:val="left"/>
        <w:rPr>
          <w:b/>
          <w:sz w:val="28"/>
          <w:u w:val="single"/>
        </w:rPr>
      </w:pPr>
      <w:r w:rsidRPr="00C60AD1">
        <w:rPr>
          <w:b/>
          <w:sz w:val="28"/>
          <w:u w:val="single"/>
        </w:rPr>
        <w:br w:type="page"/>
      </w:r>
    </w:p>
    <w:p w:rsidR="00C25F67" w:rsidRPr="00C60AD1" w:rsidRDefault="00C25F67" w:rsidP="00C60AD1">
      <w:pPr>
        <w:jc w:val="center"/>
      </w:pPr>
      <w:r w:rsidRPr="00C60AD1">
        <w:rPr>
          <w:b/>
          <w:sz w:val="28"/>
          <w:u w:val="single"/>
        </w:rPr>
        <w:lastRenderedPageBreak/>
        <w:t>TABLE OF CONTENTS</w:t>
      </w:r>
    </w:p>
    <w:p w:rsidR="0011185B" w:rsidRDefault="004A2D9E">
      <w:pPr>
        <w:pStyle w:val="TOC1"/>
        <w:rPr>
          <w:rFonts w:eastAsiaTheme="minorEastAsia" w:cstheme="minorBidi"/>
          <w:bCs w:val="0"/>
          <w:caps w:val="0"/>
          <w:noProof/>
          <w:sz w:val="22"/>
          <w:szCs w:val="22"/>
          <w:lang w:val="en-IN" w:eastAsia="en-IN"/>
        </w:rPr>
      </w:pPr>
      <w:r w:rsidRPr="004A2D9E">
        <w:rPr>
          <w:sz w:val="24"/>
          <w:szCs w:val="24"/>
        </w:rPr>
        <w:fldChar w:fldCharType="begin"/>
      </w:r>
      <w:r w:rsidR="00F43D9C" w:rsidRPr="0011185B">
        <w:rPr>
          <w:sz w:val="24"/>
          <w:szCs w:val="24"/>
        </w:rPr>
        <w:instrText xml:space="preserve"> TOC \o "1-2" \h \z \u </w:instrText>
      </w:r>
      <w:r w:rsidRPr="004A2D9E">
        <w:rPr>
          <w:sz w:val="24"/>
          <w:szCs w:val="24"/>
        </w:rPr>
        <w:fldChar w:fldCharType="separate"/>
      </w:r>
      <w:hyperlink w:anchor="_Toc457355425" w:history="1">
        <w:r w:rsidR="0011185B" w:rsidRPr="00103B86">
          <w:rPr>
            <w:rStyle w:val="Hyperlink"/>
            <w:noProof/>
          </w:rPr>
          <w:t>1.</w:t>
        </w:r>
        <w:r w:rsidR="0011185B">
          <w:rPr>
            <w:rFonts w:eastAsiaTheme="minorEastAsia" w:cstheme="minorBidi"/>
            <w:bCs w:val="0"/>
            <w:caps w:val="0"/>
            <w:noProof/>
            <w:sz w:val="22"/>
            <w:szCs w:val="22"/>
            <w:lang w:val="en-IN" w:eastAsia="en-IN"/>
          </w:rPr>
          <w:tab/>
        </w:r>
        <w:r w:rsidR="0011185B" w:rsidRPr="00103B86">
          <w:rPr>
            <w:rStyle w:val="Hyperlink"/>
            <w:noProof/>
          </w:rPr>
          <w:t>BACKGROUND AND BRIEF HISTORY</w:t>
        </w:r>
        <w:r w:rsidR="0011185B">
          <w:rPr>
            <w:noProof/>
            <w:webHidden/>
          </w:rPr>
          <w:tab/>
        </w:r>
        <w:r>
          <w:rPr>
            <w:noProof/>
            <w:webHidden/>
          </w:rPr>
          <w:fldChar w:fldCharType="begin"/>
        </w:r>
        <w:r w:rsidR="0011185B">
          <w:rPr>
            <w:noProof/>
            <w:webHidden/>
          </w:rPr>
          <w:instrText xml:space="preserve"> PAGEREF _Toc457355425 \h </w:instrText>
        </w:r>
        <w:r>
          <w:rPr>
            <w:noProof/>
            <w:webHidden/>
          </w:rPr>
        </w:r>
        <w:r>
          <w:rPr>
            <w:noProof/>
            <w:webHidden/>
          </w:rPr>
          <w:fldChar w:fldCharType="separate"/>
        </w:r>
        <w:r w:rsidR="0011185B">
          <w:rPr>
            <w:noProof/>
            <w:webHidden/>
          </w:rPr>
          <w:t>10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26" w:history="1">
        <w:r w:rsidR="0011185B" w:rsidRPr="00103B86">
          <w:rPr>
            <w:rStyle w:val="Hyperlink"/>
            <w:rFonts w:cs="Calibri"/>
            <w:noProof/>
            <w:lang w:val="en-US"/>
          </w:rPr>
          <w:t>1.1</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BACKGROUND:</w:t>
        </w:r>
        <w:r w:rsidR="0011185B">
          <w:rPr>
            <w:noProof/>
            <w:webHidden/>
          </w:rPr>
          <w:tab/>
        </w:r>
        <w:r>
          <w:rPr>
            <w:noProof/>
            <w:webHidden/>
          </w:rPr>
          <w:fldChar w:fldCharType="begin"/>
        </w:r>
        <w:r w:rsidR="0011185B">
          <w:rPr>
            <w:noProof/>
            <w:webHidden/>
          </w:rPr>
          <w:instrText xml:space="preserve"> PAGEREF _Toc457355426 \h </w:instrText>
        </w:r>
        <w:r>
          <w:rPr>
            <w:noProof/>
            <w:webHidden/>
          </w:rPr>
        </w:r>
        <w:r>
          <w:rPr>
            <w:noProof/>
            <w:webHidden/>
          </w:rPr>
          <w:fldChar w:fldCharType="separate"/>
        </w:r>
        <w:r w:rsidR="0011185B">
          <w:rPr>
            <w:noProof/>
            <w:webHidden/>
          </w:rPr>
          <w:t>10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27" w:history="1">
        <w:r w:rsidR="0011185B" w:rsidRPr="00103B86">
          <w:rPr>
            <w:rStyle w:val="Hyperlink"/>
            <w:rFonts w:cs="Calibri"/>
            <w:noProof/>
            <w:lang w:val="en-US"/>
          </w:rPr>
          <w:t>1.2</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DISTRIBUTION TARIFF REGULATIONS:</w:t>
        </w:r>
        <w:r w:rsidR="0011185B">
          <w:rPr>
            <w:noProof/>
            <w:webHidden/>
          </w:rPr>
          <w:tab/>
        </w:r>
        <w:r>
          <w:rPr>
            <w:noProof/>
            <w:webHidden/>
          </w:rPr>
          <w:fldChar w:fldCharType="begin"/>
        </w:r>
        <w:r w:rsidR="0011185B">
          <w:rPr>
            <w:noProof/>
            <w:webHidden/>
          </w:rPr>
          <w:instrText xml:space="preserve"> PAGEREF _Toc457355427 \h </w:instrText>
        </w:r>
        <w:r>
          <w:rPr>
            <w:noProof/>
            <w:webHidden/>
          </w:rPr>
        </w:r>
        <w:r>
          <w:rPr>
            <w:noProof/>
            <w:webHidden/>
          </w:rPr>
          <w:fldChar w:fldCharType="separate"/>
        </w:r>
        <w:r w:rsidR="0011185B">
          <w:rPr>
            <w:noProof/>
            <w:webHidden/>
          </w:rPr>
          <w:t>11</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428" w:history="1">
        <w:r w:rsidR="0011185B" w:rsidRPr="00103B86">
          <w:rPr>
            <w:rStyle w:val="Hyperlink"/>
            <w:noProof/>
          </w:rPr>
          <w:t>2.</w:t>
        </w:r>
        <w:r w:rsidR="0011185B">
          <w:rPr>
            <w:rFonts w:eastAsiaTheme="minorEastAsia" w:cstheme="minorBidi"/>
            <w:bCs w:val="0"/>
            <w:caps w:val="0"/>
            <w:noProof/>
            <w:sz w:val="22"/>
            <w:szCs w:val="22"/>
            <w:lang w:val="en-IN" w:eastAsia="en-IN"/>
          </w:rPr>
          <w:tab/>
        </w:r>
        <w:r w:rsidR="0011185B" w:rsidRPr="00103B86">
          <w:rPr>
            <w:rStyle w:val="Hyperlink"/>
            <w:noProof/>
          </w:rPr>
          <w:t>PROCEDURAL HISTORY</w:t>
        </w:r>
        <w:r w:rsidR="0011185B">
          <w:rPr>
            <w:noProof/>
            <w:webHidden/>
          </w:rPr>
          <w:tab/>
        </w:r>
        <w:r>
          <w:rPr>
            <w:noProof/>
            <w:webHidden/>
          </w:rPr>
          <w:fldChar w:fldCharType="begin"/>
        </w:r>
        <w:r w:rsidR="0011185B">
          <w:rPr>
            <w:noProof/>
            <w:webHidden/>
          </w:rPr>
          <w:instrText xml:space="preserve"> PAGEREF _Toc457355428 \h </w:instrText>
        </w:r>
        <w:r>
          <w:rPr>
            <w:noProof/>
            <w:webHidden/>
          </w:rPr>
        </w:r>
        <w:r>
          <w:rPr>
            <w:noProof/>
            <w:webHidden/>
          </w:rPr>
          <w:fldChar w:fldCharType="separate"/>
        </w:r>
        <w:r w:rsidR="0011185B">
          <w:rPr>
            <w:noProof/>
            <w:webHidden/>
          </w:rPr>
          <w:t>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29" w:history="1">
        <w:r w:rsidR="0011185B" w:rsidRPr="00103B86">
          <w:rPr>
            <w:rStyle w:val="Hyperlink"/>
            <w:rFonts w:cs="Calibri"/>
            <w:noProof/>
            <w:lang w:val="en-US"/>
          </w:rPr>
          <w:t>2.1</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ARR / TARIFF AND TRUE UP PETITION BY THE LICENSEE</w:t>
        </w:r>
        <w:r w:rsidR="0011185B">
          <w:rPr>
            <w:noProof/>
            <w:webHidden/>
          </w:rPr>
          <w:tab/>
        </w:r>
        <w:r>
          <w:rPr>
            <w:noProof/>
            <w:webHidden/>
          </w:rPr>
          <w:fldChar w:fldCharType="begin"/>
        </w:r>
        <w:r w:rsidR="0011185B">
          <w:rPr>
            <w:noProof/>
            <w:webHidden/>
          </w:rPr>
          <w:instrText xml:space="preserve"> PAGEREF _Toc457355429 \h </w:instrText>
        </w:r>
        <w:r>
          <w:rPr>
            <w:noProof/>
            <w:webHidden/>
          </w:rPr>
        </w:r>
        <w:r>
          <w:rPr>
            <w:noProof/>
            <w:webHidden/>
          </w:rPr>
          <w:fldChar w:fldCharType="separate"/>
        </w:r>
        <w:r w:rsidR="0011185B">
          <w:rPr>
            <w:noProof/>
            <w:webHidden/>
          </w:rPr>
          <w:t>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0" w:history="1">
        <w:r w:rsidR="0011185B" w:rsidRPr="00103B86">
          <w:rPr>
            <w:rStyle w:val="Hyperlink"/>
            <w:rFonts w:cs="Calibri"/>
            <w:noProof/>
          </w:rPr>
          <w:t>2.2</w:t>
        </w:r>
        <w:r w:rsidR="0011185B">
          <w:rPr>
            <w:rFonts w:eastAsiaTheme="minorEastAsia" w:cstheme="minorBidi"/>
            <w:smallCaps w:val="0"/>
            <w:noProof/>
            <w:sz w:val="22"/>
            <w:szCs w:val="22"/>
            <w:lang w:val="en-IN" w:eastAsia="en-IN"/>
          </w:rPr>
          <w:tab/>
        </w:r>
        <w:r w:rsidR="0011185B" w:rsidRPr="00103B86">
          <w:rPr>
            <w:rStyle w:val="Hyperlink"/>
            <w:rFonts w:cs="Calibri"/>
            <w:noProof/>
          </w:rPr>
          <w:t xml:space="preserve">PRELIMINARY </w:t>
        </w:r>
        <w:r w:rsidR="0011185B" w:rsidRPr="00103B86">
          <w:rPr>
            <w:rStyle w:val="Hyperlink"/>
            <w:rFonts w:cs="Calibri"/>
            <w:noProof/>
            <w:lang w:val="en-US"/>
          </w:rPr>
          <w:t>SCRUTINY</w:t>
        </w:r>
        <w:r w:rsidR="0011185B" w:rsidRPr="00103B86">
          <w:rPr>
            <w:rStyle w:val="Hyperlink"/>
            <w:rFonts w:cs="Calibri"/>
            <w:noProof/>
          </w:rPr>
          <w:t xml:space="preserve"> OF THE PETITION:</w:t>
        </w:r>
        <w:r w:rsidR="0011185B">
          <w:rPr>
            <w:noProof/>
            <w:webHidden/>
          </w:rPr>
          <w:tab/>
        </w:r>
        <w:r>
          <w:rPr>
            <w:noProof/>
            <w:webHidden/>
          </w:rPr>
          <w:fldChar w:fldCharType="begin"/>
        </w:r>
        <w:r w:rsidR="0011185B">
          <w:rPr>
            <w:noProof/>
            <w:webHidden/>
          </w:rPr>
          <w:instrText xml:space="preserve"> PAGEREF _Toc457355430 \h </w:instrText>
        </w:r>
        <w:r>
          <w:rPr>
            <w:noProof/>
            <w:webHidden/>
          </w:rPr>
        </w:r>
        <w:r>
          <w:rPr>
            <w:noProof/>
            <w:webHidden/>
          </w:rPr>
          <w:fldChar w:fldCharType="separate"/>
        </w:r>
        <w:r w:rsidR="0011185B">
          <w:rPr>
            <w:noProof/>
            <w:webHidden/>
          </w:rPr>
          <w:t>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1" w:history="1">
        <w:r w:rsidR="0011185B" w:rsidRPr="00103B86">
          <w:rPr>
            <w:rStyle w:val="Hyperlink"/>
            <w:rFonts w:cs="Calibri"/>
            <w:noProof/>
          </w:rPr>
          <w:t>2.3</w:t>
        </w:r>
        <w:r w:rsidR="0011185B">
          <w:rPr>
            <w:rFonts w:eastAsiaTheme="minorEastAsia" w:cstheme="minorBidi"/>
            <w:smallCaps w:val="0"/>
            <w:noProof/>
            <w:sz w:val="22"/>
            <w:szCs w:val="22"/>
            <w:lang w:val="en-IN" w:eastAsia="en-IN"/>
          </w:rPr>
          <w:tab/>
        </w:r>
        <w:r w:rsidR="0011185B" w:rsidRPr="00103B86">
          <w:rPr>
            <w:rStyle w:val="Hyperlink"/>
            <w:rFonts w:cs="Calibri"/>
            <w:noProof/>
          </w:rPr>
          <w:t>ADMITTANCE OF THE TRUE-UP AND ARR / TARIFF PETITION</w:t>
        </w:r>
        <w:r w:rsidR="0011185B">
          <w:rPr>
            <w:noProof/>
            <w:webHidden/>
          </w:rPr>
          <w:tab/>
        </w:r>
        <w:r>
          <w:rPr>
            <w:noProof/>
            <w:webHidden/>
          </w:rPr>
          <w:fldChar w:fldCharType="begin"/>
        </w:r>
        <w:r w:rsidR="0011185B">
          <w:rPr>
            <w:noProof/>
            <w:webHidden/>
          </w:rPr>
          <w:instrText xml:space="preserve"> PAGEREF _Toc457355431 \h </w:instrText>
        </w:r>
        <w:r>
          <w:rPr>
            <w:noProof/>
            <w:webHidden/>
          </w:rPr>
        </w:r>
        <w:r>
          <w:rPr>
            <w:noProof/>
            <w:webHidden/>
          </w:rPr>
          <w:fldChar w:fldCharType="separate"/>
        </w:r>
        <w:r w:rsidR="0011185B">
          <w:rPr>
            <w:noProof/>
            <w:webHidden/>
          </w:rPr>
          <w:t>14</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2" w:history="1">
        <w:r w:rsidR="0011185B" w:rsidRPr="00103B86">
          <w:rPr>
            <w:rStyle w:val="Hyperlink"/>
            <w:rFonts w:cs="Calibri"/>
            <w:noProof/>
            <w:lang w:val="en-US"/>
          </w:rPr>
          <w:t>2.4</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 xml:space="preserve">PUBLICITY OF </w:t>
        </w:r>
        <w:r w:rsidR="0011185B" w:rsidRPr="00103B86">
          <w:rPr>
            <w:rStyle w:val="Hyperlink"/>
            <w:rFonts w:cs="Calibri"/>
            <w:noProof/>
          </w:rPr>
          <w:t>THE</w:t>
        </w:r>
        <w:r w:rsidR="0011185B" w:rsidRPr="00103B86">
          <w:rPr>
            <w:rStyle w:val="Hyperlink"/>
            <w:rFonts w:cs="Calibri"/>
            <w:noProof/>
            <w:lang w:val="en-US"/>
          </w:rPr>
          <w:t xml:space="preserve"> PETITION</w:t>
        </w:r>
        <w:r w:rsidR="0011185B">
          <w:rPr>
            <w:noProof/>
            <w:webHidden/>
          </w:rPr>
          <w:tab/>
        </w:r>
        <w:r>
          <w:rPr>
            <w:noProof/>
            <w:webHidden/>
          </w:rPr>
          <w:fldChar w:fldCharType="begin"/>
        </w:r>
        <w:r w:rsidR="0011185B">
          <w:rPr>
            <w:noProof/>
            <w:webHidden/>
          </w:rPr>
          <w:instrText xml:space="preserve"> PAGEREF _Toc457355432 \h </w:instrText>
        </w:r>
        <w:r>
          <w:rPr>
            <w:noProof/>
            <w:webHidden/>
          </w:rPr>
        </w:r>
        <w:r>
          <w:rPr>
            <w:noProof/>
            <w:webHidden/>
          </w:rPr>
          <w:fldChar w:fldCharType="separate"/>
        </w:r>
        <w:r w:rsidR="0011185B">
          <w:rPr>
            <w:noProof/>
            <w:webHidden/>
          </w:rPr>
          <w:t>15</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3" w:history="1">
        <w:r w:rsidR="0011185B" w:rsidRPr="00103B86">
          <w:rPr>
            <w:rStyle w:val="Hyperlink"/>
            <w:rFonts w:cs="Calibri"/>
            <w:noProof/>
            <w:lang w:val="en-US"/>
          </w:rPr>
          <w:t>2.5</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PUBLIC HEARING PROCESS</w:t>
        </w:r>
        <w:r w:rsidR="0011185B">
          <w:rPr>
            <w:noProof/>
            <w:webHidden/>
          </w:rPr>
          <w:tab/>
        </w:r>
        <w:r>
          <w:rPr>
            <w:noProof/>
            <w:webHidden/>
          </w:rPr>
          <w:fldChar w:fldCharType="begin"/>
        </w:r>
        <w:r w:rsidR="0011185B">
          <w:rPr>
            <w:noProof/>
            <w:webHidden/>
          </w:rPr>
          <w:instrText xml:space="preserve"> PAGEREF _Toc457355433 \h </w:instrText>
        </w:r>
        <w:r>
          <w:rPr>
            <w:noProof/>
            <w:webHidden/>
          </w:rPr>
        </w:r>
        <w:r>
          <w:rPr>
            <w:noProof/>
            <w:webHidden/>
          </w:rPr>
          <w:fldChar w:fldCharType="separate"/>
        </w:r>
        <w:r w:rsidR="0011185B">
          <w:rPr>
            <w:noProof/>
            <w:webHidden/>
          </w:rPr>
          <w:t>15</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434" w:history="1">
        <w:r w:rsidR="0011185B" w:rsidRPr="00103B86">
          <w:rPr>
            <w:rStyle w:val="Hyperlink"/>
            <w:rFonts w:eastAsiaTheme="majorEastAsia"/>
            <w:noProof/>
            <w:lang w:val="en-US"/>
          </w:rPr>
          <w:t>3.</w:t>
        </w:r>
        <w:r w:rsidR="0011185B">
          <w:rPr>
            <w:rFonts w:eastAsiaTheme="minorEastAsia" w:cstheme="minorBidi"/>
            <w:bCs w:val="0"/>
            <w:caps w:val="0"/>
            <w:noProof/>
            <w:sz w:val="22"/>
            <w:szCs w:val="22"/>
            <w:lang w:val="en-IN" w:eastAsia="en-IN"/>
          </w:rPr>
          <w:tab/>
        </w:r>
        <w:r w:rsidR="0011185B" w:rsidRPr="00103B86">
          <w:rPr>
            <w:rStyle w:val="Hyperlink"/>
            <w:noProof/>
          </w:rPr>
          <w:t>PUBLIC HEARING PROCESS</w:t>
        </w:r>
        <w:r w:rsidR="0011185B">
          <w:rPr>
            <w:noProof/>
            <w:webHidden/>
          </w:rPr>
          <w:tab/>
        </w:r>
        <w:r>
          <w:rPr>
            <w:noProof/>
            <w:webHidden/>
          </w:rPr>
          <w:fldChar w:fldCharType="begin"/>
        </w:r>
        <w:r w:rsidR="0011185B">
          <w:rPr>
            <w:noProof/>
            <w:webHidden/>
          </w:rPr>
          <w:instrText xml:space="preserve"> PAGEREF _Toc457355434 \h </w:instrText>
        </w:r>
        <w:r>
          <w:rPr>
            <w:noProof/>
            <w:webHidden/>
          </w:rPr>
        </w:r>
        <w:r>
          <w:rPr>
            <w:noProof/>
            <w:webHidden/>
          </w:rPr>
          <w:fldChar w:fldCharType="separate"/>
        </w:r>
        <w:r w:rsidR="0011185B">
          <w:rPr>
            <w:noProof/>
            <w:webHidden/>
          </w:rPr>
          <w:t>17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5" w:history="1">
        <w:r w:rsidR="0011185B" w:rsidRPr="00103B86">
          <w:rPr>
            <w:rStyle w:val="Hyperlink"/>
            <w:noProof/>
          </w:rPr>
          <w:t>3.1</w:t>
        </w:r>
        <w:r w:rsidR="0011185B">
          <w:rPr>
            <w:rFonts w:eastAsiaTheme="minorEastAsia" w:cstheme="minorBidi"/>
            <w:smallCaps w:val="0"/>
            <w:noProof/>
            <w:sz w:val="22"/>
            <w:szCs w:val="22"/>
            <w:lang w:val="en-IN" w:eastAsia="en-IN"/>
          </w:rPr>
          <w:tab/>
        </w:r>
        <w:r w:rsidR="0011185B" w:rsidRPr="00103B86">
          <w:rPr>
            <w:rStyle w:val="Hyperlink"/>
            <w:noProof/>
          </w:rPr>
          <w:t>OBJECTIVE:</w:t>
        </w:r>
        <w:r w:rsidR="0011185B">
          <w:rPr>
            <w:noProof/>
            <w:webHidden/>
          </w:rPr>
          <w:tab/>
        </w:r>
        <w:r>
          <w:rPr>
            <w:noProof/>
            <w:webHidden/>
          </w:rPr>
          <w:fldChar w:fldCharType="begin"/>
        </w:r>
        <w:r w:rsidR="0011185B">
          <w:rPr>
            <w:noProof/>
            <w:webHidden/>
          </w:rPr>
          <w:instrText xml:space="preserve"> PAGEREF _Toc457355435 \h </w:instrText>
        </w:r>
        <w:r>
          <w:rPr>
            <w:noProof/>
            <w:webHidden/>
          </w:rPr>
        </w:r>
        <w:r>
          <w:rPr>
            <w:noProof/>
            <w:webHidden/>
          </w:rPr>
          <w:fldChar w:fldCharType="separate"/>
        </w:r>
        <w:r w:rsidR="0011185B">
          <w:rPr>
            <w:noProof/>
            <w:webHidden/>
          </w:rPr>
          <w:t>17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6" w:history="1">
        <w:r w:rsidR="0011185B" w:rsidRPr="00103B86">
          <w:rPr>
            <w:rStyle w:val="Hyperlink"/>
            <w:noProof/>
          </w:rPr>
          <w:t>3.2</w:t>
        </w:r>
        <w:r w:rsidR="0011185B">
          <w:rPr>
            <w:rFonts w:eastAsiaTheme="minorEastAsia" w:cstheme="minorBidi"/>
            <w:smallCaps w:val="0"/>
            <w:noProof/>
            <w:sz w:val="22"/>
            <w:szCs w:val="22"/>
            <w:lang w:val="en-IN" w:eastAsia="en-IN"/>
          </w:rPr>
          <w:tab/>
        </w:r>
        <w:r w:rsidR="0011185B" w:rsidRPr="00103B86">
          <w:rPr>
            <w:rStyle w:val="Hyperlink"/>
            <w:noProof/>
          </w:rPr>
          <w:t>PUBLIC HEARING:</w:t>
        </w:r>
        <w:r w:rsidR="0011185B">
          <w:rPr>
            <w:noProof/>
            <w:webHidden/>
          </w:rPr>
          <w:tab/>
        </w:r>
        <w:r>
          <w:rPr>
            <w:noProof/>
            <w:webHidden/>
          </w:rPr>
          <w:fldChar w:fldCharType="begin"/>
        </w:r>
        <w:r w:rsidR="0011185B">
          <w:rPr>
            <w:noProof/>
            <w:webHidden/>
          </w:rPr>
          <w:instrText xml:space="preserve"> PAGEREF _Toc457355436 \h </w:instrText>
        </w:r>
        <w:r>
          <w:rPr>
            <w:noProof/>
            <w:webHidden/>
          </w:rPr>
        </w:r>
        <w:r>
          <w:rPr>
            <w:noProof/>
            <w:webHidden/>
          </w:rPr>
          <w:fldChar w:fldCharType="separate"/>
        </w:r>
        <w:r w:rsidR="0011185B">
          <w:rPr>
            <w:noProof/>
            <w:webHidden/>
          </w:rPr>
          <w:t>17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7" w:history="1">
        <w:r w:rsidR="0011185B" w:rsidRPr="00103B86">
          <w:rPr>
            <w:rStyle w:val="Hyperlink"/>
            <w:noProof/>
          </w:rPr>
          <w:t>3.3</w:t>
        </w:r>
        <w:r w:rsidR="0011185B">
          <w:rPr>
            <w:rFonts w:eastAsiaTheme="minorEastAsia" w:cstheme="minorBidi"/>
            <w:smallCaps w:val="0"/>
            <w:noProof/>
            <w:sz w:val="22"/>
            <w:szCs w:val="22"/>
            <w:lang w:val="en-IN" w:eastAsia="en-IN"/>
          </w:rPr>
          <w:tab/>
        </w:r>
        <w:r w:rsidR="0011185B" w:rsidRPr="00103B86">
          <w:rPr>
            <w:rStyle w:val="Hyperlink"/>
            <w:noProof/>
          </w:rPr>
          <w:t>VIEWS / COMMENTS / SUGGESTIONS / OBJECTIONS / REPRESENTATIONS ON TRUE-UP / ARR / TARIFF PETITION</w:t>
        </w:r>
        <w:r w:rsidR="0011185B">
          <w:rPr>
            <w:noProof/>
            <w:webHidden/>
          </w:rPr>
          <w:tab/>
        </w:r>
        <w:r>
          <w:rPr>
            <w:noProof/>
            <w:webHidden/>
          </w:rPr>
          <w:fldChar w:fldCharType="begin"/>
        </w:r>
        <w:r w:rsidR="0011185B">
          <w:rPr>
            <w:noProof/>
            <w:webHidden/>
          </w:rPr>
          <w:instrText xml:space="preserve"> PAGEREF _Toc457355437 \h </w:instrText>
        </w:r>
        <w:r>
          <w:rPr>
            <w:noProof/>
            <w:webHidden/>
          </w:rPr>
        </w:r>
        <w:r>
          <w:rPr>
            <w:noProof/>
            <w:webHidden/>
          </w:rPr>
          <w:fldChar w:fldCharType="separate"/>
        </w:r>
        <w:r w:rsidR="0011185B">
          <w:rPr>
            <w:noProof/>
            <w:webHidden/>
          </w:rPr>
          <w:t>18</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8" w:history="1">
        <w:r w:rsidR="0011185B" w:rsidRPr="00103B86">
          <w:rPr>
            <w:rStyle w:val="Hyperlink"/>
            <w:noProof/>
          </w:rPr>
          <w:t>3.4</w:t>
        </w:r>
        <w:r w:rsidR="0011185B">
          <w:rPr>
            <w:rFonts w:eastAsiaTheme="minorEastAsia" w:cstheme="minorBidi"/>
            <w:smallCaps w:val="0"/>
            <w:noProof/>
            <w:sz w:val="22"/>
            <w:szCs w:val="22"/>
            <w:lang w:val="en-IN" w:eastAsia="en-IN"/>
          </w:rPr>
          <w:tab/>
        </w:r>
        <w:r w:rsidR="0011185B" w:rsidRPr="00103B86">
          <w:rPr>
            <w:rStyle w:val="Hyperlink"/>
            <w:noProof/>
          </w:rPr>
          <w:t>SINGLE POINT SUPPLY</w:t>
        </w:r>
        <w:r w:rsidR="0011185B">
          <w:rPr>
            <w:noProof/>
            <w:webHidden/>
          </w:rPr>
          <w:tab/>
        </w:r>
        <w:r>
          <w:rPr>
            <w:noProof/>
            <w:webHidden/>
          </w:rPr>
          <w:fldChar w:fldCharType="begin"/>
        </w:r>
        <w:r w:rsidR="0011185B">
          <w:rPr>
            <w:noProof/>
            <w:webHidden/>
          </w:rPr>
          <w:instrText xml:space="preserve"> PAGEREF _Toc457355438 \h </w:instrText>
        </w:r>
        <w:r>
          <w:rPr>
            <w:noProof/>
            <w:webHidden/>
          </w:rPr>
        </w:r>
        <w:r>
          <w:rPr>
            <w:noProof/>
            <w:webHidden/>
          </w:rPr>
          <w:fldChar w:fldCharType="separate"/>
        </w:r>
        <w:r w:rsidR="0011185B">
          <w:rPr>
            <w:noProof/>
            <w:webHidden/>
          </w:rPr>
          <w:t>19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39" w:history="1">
        <w:r w:rsidR="0011185B" w:rsidRPr="00103B86">
          <w:rPr>
            <w:rStyle w:val="Hyperlink"/>
            <w:rFonts w:ascii="Calibri" w:hAnsi="Calibri"/>
            <w:noProof/>
          </w:rPr>
          <w:t>3.5</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ARR &amp; TRUE UP</w:t>
        </w:r>
        <w:r w:rsidR="0011185B">
          <w:rPr>
            <w:noProof/>
            <w:webHidden/>
          </w:rPr>
          <w:tab/>
        </w:r>
        <w:r>
          <w:rPr>
            <w:noProof/>
            <w:webHidden/>
          </w:rPr>
          <w:fldChar w:fldCharType="begin"/>
        </w:r>
        <w:r w:rsidR="0011185B">
          <w:rPr>
            <w:noProof/>
            <w:webHidden/>
          </w:rPr>
          <w:instrText xml:space="preserve"> PAGEREF _Toc457355439 \h </w:instrText>
        </w:r>
        <w:r>
          <w:rPr>
            <w:noProof/>
            <w:webHidden/>
          </w:rPr>
        </w:r>
        <w:r>
          <w:rPr>
            <w:noProof/>
            <w:webHidden/>
          </w:rPr>
          <w:fldChar w:fldCharType="separate"/>
        </w:r>
        <w:r w:rsidR="0011185B">
          <w:rPr>
            <w:noProof/>
            <w:webHidden/>
          </w:rPr>
          <w:t>22</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40" w:history="1">
        <w:r w:rsidR="0011185B" w:rsidRPr="00103B86">
          <w:rPr>
            <w:rStyle w:val="Hyperlink"/>
            <w:rFonts w:ascii="Calibri" w:hAnsi="Calibri" w:cs="Calibri"/>
            <w:noProof/>
          </w:rPr>
          <w:t>3.6</w:t>
        </w:r>
        <w:r w:rsidR="0011185B">
          <w:rPr>
            <w:rFonts w:eastAsiaTheme="minorEastAsia" w:cstheme="minorBidi"/>
            <w:smallCaps w:val="0"/>
            <w:noProof/>
            <w:sz w:val="22"/>
            <w:szCs w:val="22"/>
            <w:lang w:val="en-IN" w:eastAsia="en-IN"/>
          </w:rPr>
          <w:tab/>
        </w:r>
        <w:r w:rsidR="0011185B" w:rsidRPr="00103B86">
          <w:rPr>
            <w:rStyle w:val="Hyperlink"/>
            <w:rFonts w:ascii="Calibri" w:hAnsi="Calibri" w:cs="Calibri"/>
            <w:noProof/>
          </w:rPr>
          <w:t>TIME OF DAY TARIFF</w:t>
        </w:r>
        <w:r w:rsidR="0011185B">
          <w:rPr>
            <w:noProof/>
            <w:webHidden/>
          </w:rPr>
          <w:tab/>
        </w:r>
        <w:r>
          <w:rPr>
            <w:noProof/>
            <w:webHidden/>
          </w:rPr>
          <w:fldChar w:fldCharType="begin"/>
        </w:r>
        <w:r w:rsidR="0011185B">
          <w:rPr>
            <w:noProof/>
            <w:webHidden/>
          </w:rPr>
          <w:instrText xml:space="preserve"> PAGEREF _Toc457355440 \h </w:instrText>
        </w:r>
        <w:r>
          <w:rPr>
            <w:noProof/>
            <w:webHidden/>
          </w:rPr>
        </w:r>
        <w:r>
          <w:rPr>
            <w:noProof/>
            <w:webHidden/>
          </w:rPr>
          <w:fldChar w:fldCharType="separate"/>
        </w:r>
        <w:r w:rsidR="0011185B">
          <w:rPr>
            <w:noProof/>
            <w:webHidden/>
          </w:rPr>
          <w:t>26</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41" w:history="1">
        <w:r w:rsidR="0011185B" w:rsidRPr="00103B86">
          <w:rPr>
            <w:rStyle w:val="Hyperlink"/>
            <w:rFonts w:ascii="Calibri" w:hAnsi="Calibri"/>
            <w:noProof/>
          </w:rPr>
          <w:t>3.7</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REGULATORY SURCHARGE</w:t>
        </w:r>
        <w:r w:rsidR="0011185B">
          <w:rPr>
            <w:noProof/>
            <w:webHidden/>
          </w:rPr>
          <w:tab/>
        </w:r>
        <w:r>
          <w:rPr>
            <w:noProof/>
            <w:webHidden/>
          </w:rPr>
          <w:fldChar w:fldCharType="begin"/>
        </w:r>
        <w:r w:rsidR="0011185B">
          <w:rPr>
            <w:noProof/>
            <w:webHidden/>
          </w:rPr>
          <w:instrText xml:space="preserve"> PAGEREF _Toc457355441 \h </w:instrText>
        </w:r>
        <w:r>
          <w:rPr>
            <w:noProof/>
            <w:webHidden/>
          </w:rPr>
        </w:r>
        <w:r>
          <w:rPr>
            <w:noProof/>
            <w:webHidden/>
          </w:rPr>
          <w:fldChar w:fldCharType="separate"/>
        </w:r>
        <w:r w:rsidR="0011185B">
          <w:rPr>
            <w:noProof/>
            <w:webHidden/>
          </w:rPr>
          <w:t>27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42" w:history="1">
        <w:r w:rsidR="0011185B" w:rsidRPr="00103B86">
          <w:rPr>
            <w:rStyle w:val="Hyperlink"/>
            <w:rFonts w:ascii="Calibri" w:hAnsi="Calibri"/>
            <w:noProof/>
          </w:rPr>
          <w:t>3.8</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HIGH COST OF ELECTRICITY</w:t>
        </w:r>
        <w:r w:rsidR="0011185B">
          <w:rPr>
            <w:noProof/>
            <w:webHidden/>
          </w:rPr>
          <w:tab/>
        </w:r>
        <w:r>
          <w:rPr>
            <w:noProof/>
            <w:webHidden/>
          </w:rPr>
          <w:fldChar w:fldCharType="begin"/>
        </w:r>
        <w:r w:rsidR="0011185B">
          <w:rPr>
            <w:noProof/>
            <w:webHidden/>
          </w:rPr>
          <w:instrText xml:space="preserve"> PAGEREF _Toc457355442 \h </w:instrText>
        </w:r>
        <w:r>
          <w:rPr>
            <w:noProof/>
            <w:webHidden/>
          </w:rPr>
        </w:r>
        <w:r>
          <w:rPr>
            <w:noProof/>
            <w:webHidden/>
          </w:rPr>
          <w:fldChar w:fldCharType="separate"/>
        </w:r>
        <w:r w:rsidR="0011185B">
          <w:rPr>
            <w:noProof/>
            <w:webHidden/>
          </w:rPr>
          <w:t>30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43" w:history="1">
        <w:r w:rsidR="0011185B" w:rsidRPr="00103B86">
          <w:rPr>
            <w:rStyle w:val="Hyperlink"/>
            <w:rFonts w:ascii="Calibri" w:hAnsi="Calibri"/>
            <w:noProof/>
          </w:rPr>
          <w:t>3.9</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LOAD FACTOR REBATE</w:t>
        </w:r>
        <w:r w:rsidR="0011185B">
          <w:rPr>
            <w:noProof/>
            <w:webHidden/>
          </w:rPr>
          <w:tab/>
        </w:r>
        <w:r>
          <w:rPr>
            <w:noProof/>
            <w:webHidden/>
          </w:rPr>
          <w:fldChar w:fldCharType="begin"/>
        </w:r>
        <w:r w:rsidR="0011185B">
          <w:rPr>
            <w:noProof/>
            <w:webHidden/>
          </w:rPr>
          <w:instrText xml:space="preserve"> PAGEREF _Toc457355443 \h </w:instrText>
        </w:r>
        <w:r>
          <w:rPr>
            <w:noProof/>
            <w:webHidden/>
          </w:rPr>
        </w:r>
        <w:r>
          <w:rPr>
            <w:noProof/>
            <w:webHidden/>
          </w:rPr>
          <w:fldChar w:fldCharType="separate"/>
        </w:r>
        <w:r w:rsidR="0011185B">
          <w:rPr>
            <w:noProof/>
            <w:webHidden/>
          </w:rPr>
          <w:t>32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4" w:history="1">
        <w:r w:rsidR="0011185B" w:rsidRPr="00103B86">
          <w:rPr>
            <w:rStyle w:val="Hyperlink"/>
            <w:rFonts w:ascii="Calibri" w:hAnsi="Calibri"/>
            <w:noProof/>
          </w:rPr>
          <w:t>3.10</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OVER LOAD PENALTY</w:t>
        </w:r>
        <w:r w:rsidR="0011185B">
          <w:rPr>
            <w:noProof/>
            <w:webHidden/>
          </w:rPr>
          <w:tab/>
        </w:r>
        <w:r>
          <w:rPr>
            <w:noProof/>
            <w:webHidden/>
          </w:rPr>
          <w:fldChar w:fldCharType="begin"/>
        </w:r>
        <w:r w:rsidR="0011185B">
          <w:rPr>
            <w:noProof/>
            <w:webHidden/>
          </w:rPr>
          <w:instrText xml:space="preserve"> PAGEREF _Toc457355444 \h </w:instrText>
        </w:r>
        <w:r>
          <w:rPr>
            <w:noProof/>
            <w:webHidden/>
          </w:rPr>
        </w:r>
        <w:r>
          <w:rPr>
            <w:noProof/>
            <w:webHidden/>
          </w:rPr>
          <w:fldChar w:fldCharType="separate"/>
        </w:r>
        <w:r w:rsidR="0011185B">
          <w:rPr>
            <w:noProof/>
            <w:webHidden/>
          </w:rPr>
          <w:t>33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5" w:history="1">
        <w:r w:rsidR="0011185B" w:rsidRPr="00103B86">
          <w:rPr>
            <w:rStyle w:val="Hyperlink"/>
            <w:rFonts w:ascii="Calibri" w:hAnsi="Calibri"/>
            <w:noProof/>
          </w:rPr>
          <w:t>3.11</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KVAH BILLING</w:t>
        </w:r>
        <w:r w:rsidR="0011185B">
          <w:rPr>
            <w:noProof/>
            <w:webHidden/>
          </w:rPr>
          <w:tab/>
        </w:r>
        <w:r>
          <w:rPr>
            <w:noProof/>
            <w:webHidden/>
          </w:rPr>
          <w:fldChar w:fldCharType="begin"/>
        </w:r>
        <w:r w:rsidR="0011185B">
          <w:rPr>
            <w:noProof/>
            <w:webHidden/>
          </w:rPr>
          <w:instrText xml:space="preserve"> PAGEREF _Toc457355445 \h </w:instrText>
        </w:r>
        <w:r>
          <w:rPr>
            <w:noProof/>
            <w:webHidden/>
          </w:rPr>
        </w:r>
        <w:r>
          <w:rPr>
            <w:noProof/>
            <w:webHidden/>
          </w:rPr>
          <w:fldChar w:fldCharType="separate"/>
        </w:r>
        <w:r w:rsidR="0011185B">
          <w:rPr>
            <w:noProof/>
            <w:webHidden/>
          </w:rPr>
          <w:t>33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6" w:history="1">
        <w:r w:rsidR="0011185B" w:rsidRPr="00103B86">
          <w:rPr>
            <w:rStyle w:val="Hyperlink"/>
            <w:rFonts w:ascii="Calibri" w:hAnsi="Calibri"/>
            <w:noProof/>
          </w:rPr>
          <w:t>3.12</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TARIFF HIKE</w:t>
        </w:r>
        <w:r w:rsidR="0011185B">
          <w:rPr>
            <w:noProof/>
            <w:webHidden/>
          </w:rPr>
          <w:tab/>
        </w:r>
        <w:r>
          <w:rPr>
            <w:noProof/>
            <w:webHidden/>
          </w:rPr>
          <w:fldChar w:fldCharType="begin"/>
        </w:r>
        <w:r w:rsidR="0011185B">
          <w:rPr>
            <w:noProof/>
            <w:webHidden/>
          </w:rPr>
          <w:instrText xml:space="preserve"> PAGEREF _Toc457355446 \h </w:instrText>
        </w:r>
        <w:r>
          <w:rPr>
            <w:noProof/>
            <w:webHidden/>
          </w:rPr>
        </w:r>
        <w:r>
          <w:rPr>
            <w:noProof/>
            <w:webHidden/>
          </w:rPr>
          <w:fldChar w:fldCharType="separate"/>
        </w:r>
        <w:r w:rsidR="0011185B">
          <w:rPr>
            <w:noProof/>
            <w:webHidden/>
          </w:rPr>
          <w:t>34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7" w:history="1">
        <w:r w:rsidR="0011185B" w:rsidRPr="00103B86">
          <w:rPr>
            <w:rStyle w:val="Hyperlink"/>
            <w:rFonts w:ascii="Calibri" w:hAnsi="Calibri"/>
            <w:noProof/>
          </w:rPr>
          <w:t>3.13</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REDUCED HOURS OF SUPPLY</w:t>
        </w:r>
        <w:r w:rsidR="0011185B">
          <w:rPr>
            <w:noProof/>
            <w:webHidden/>
          </w:rPr>
          <w:tab/>
        </w:r>
        <w:r>
          <w:rPr>
            <w:noProof/>
            <w:webHidden/>
          </w:rPr>
          <w:fldChar w:fldCharType="begin"/>
        </w:r>
        <w:r w:rsidR="0011185B">
          <w:rPr>
            <w:noProof/>
            <w:webHidden/>
          </w:rPr>
          <w:instrText xml:space="preserve"> PAGEREF _Toc457355447 \h </w:instrText>
        </w:r>
        <w:r>
          <w:rPr>
            <w:noProof/>
            <w:webHidden/>
          </w:rPr>
        </w:r>
        <w:r>
          <w:rPr>
            <w:noProof/>
            <w:webHidden/>
          </w:rPr>
          <w:fldChar w:fldCharType="separate"/>
        </w:r>
        <w:r w:rsidR="0011185B">
          <w:rPr>
            <w:noProof/>
            <w:webHidden/>
          </w:rPr>
          <w:t>36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8" w:history="1">
        <w:r w:rsidR="0011185B" w:rsidRPr="00103B86">
          <w:rPr>
            <w:rStyle w:val="Hyperlink"/>
            <w:rFonts w:ascii="Calibri" w:hAnsi="Calibri"/>
            <w:noProof/>
          </w:rPr>
          <w:t>3.14</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T&amp;D LOSSES AND AT&amp;C LOSSES</w:t>
        </w:r>
        <w:r w:rsidR="0011185B">
          <w:rPr>
            <w:noProof/>
            <w:webHidden/>
          </w:rPr>
          <w:tab/>
        </w:r>
        <w:r>
          <w:rPr>
            <w:noProof/>
            <w:webHidden/>
          </w:rPr>
          <w:fldChar w:fldCharType="begin"/>
        </w:r>
        <w:r w:rsidR="0011185B">
          <w:rPr>
            <w:noProof/>
            <w:webHidden/>
          </w:rPr>
          <w:instrText xml:space="preserve"> PAGEREF _Toc457355448 \h </w:instrText>
        </w:r>
        <w:r>
          <w:rPr>
            <w:noProof/>
            <w:webHidden/>
          </w:rPr>
        </w:r>
        <w:r>
          <w:rPr>
            <w:noProof/>
            <w:webHidden/>
          </w:rPr>
          <w:fldChar w:fldCharType="separate"/>
        </w:r>
        <w:r w:rsidR="0011185B">
          <w:rPr>
            <w:noProof/>
            <w:webHidden/>
          </w:rPr>
          <w:t>37</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49" w:history="1">
        <w:r w:rsidR="0011185B" w:rsidRPr="00103B86">
          <w:rPr>
            <w:rStyle w:val="Hyperlink"/>
            <w:rFonts w:ascii="Calibri" w:hAnsi="Calibri"/>
            <w:noProof/>
          </w:rPr>
          <w:t>3.15</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PRE-PAID METERING</w:t>
        </w:r>
        <w:r w:rsidR="0011185B">
          <w:rPr>
            <w:noProof/>
            <w:webHidden/>
          </w:rPr>
          <w:tab/>
        </w:r>
        <w:r>
          <w:rPr>
            <w:noProof/>
            <w:webHidden/>
          </w:rPr>
          <w:fldChar w:fldCharType="begin"/>
        </w:r>
        <w:r w:rsidR="0011185B">
          <w:rPr>
            <w:noProof/>
            <w:webHidden/>
          </w:rPr>
          <w:instrText xml:space="preserve"> PAGEREF _Toc457355449 \h </w:instrText>
        </w:r>
        <w:r>
          <w:rPr>
            <w:noProof/>
            <w:webHidden/>
          </w:rPr>
        </w:r>
        <w:r>
          <w:rPr>
            <w:noProof/>
            <w:webHidden/>
          </w:rPr>
          <w:fldChar w:fldCharType="separate"/>
        </w:r>
        <w:r w:rsidR="0011185B">
          <w:rPr>
            <w:noProof/>
            <w:webHidden/>
          </w:rPr>
          <w:t>40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0" w:history="1">
        <w:r w:rsidR="0011185B" w:rsidRPr="00103B86">
          <w:rPr>
            <w:rStyle w:val="Hyperlink"/>
            <w:rFonts w:ascii="Calibri" w:hAnsi="Calibri"/>
            <w:noProof/>
          </w:rPr>
          <w:t>3.16</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TARIFF LMV-1 &amp; LMV-5 CATEGORY</w:t>
        </w:r>
        <w:r w:rsidR="0011185B">
          <w:rPr>
            <w:noProof/>
            <w:webHidden/>
          </w:rPr>
          <w:tab/>
        </w:r>
        <w:r>
          <w:rPr>
            <w:noProof/>
            <w:webHidden/>
          </w:rPr>
          <w:fldChar w:fldCharType="begin"/>
        </w:r>
        <w:r w:rsidR="0011185B">
          <w:rPr>
            <w:noProof/>
            <w:webHidden/>
          </w:rPr>
          <w:instrText xml:space="preserve"> PAGEREF _Toc457355450 \h </w:instrText>
        </w:r>
        <w:r>
          <w:rPr>
            <w:noProof/>
            <w:webHidden/>
          </w:rPr>
        </w:r>
        <w:r>
          <w:rPr>
            <w:noProof/>
            <w:webHidden/>
          </w:rPr>
          <w:fldChar w:fldCharType="separate"/>
        </w:r>
        <w:r w:rsidR="0011185B">
          <w:rPr>
            <w:noProof/>
            <w:webHidden/>
          </w:rPr>
          <w:t>42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1" w:history="1">
        <w:r w:rsidR="0011185B" w:rsidRPr="00103B86">
          <w:rPr>
            <w:rStyle w:val="Hyperlink"/>
            <w:rFonts w:ascii="Calibri" w:hAnsi="Calibri"/>
            <w:noProof/>
          </w:rPr>
          <w:t>3.17</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METERING AND BILLING FOR LMV-10 CATEGORY</w:t>
        </w:r>
        <w:r w:rsidR="0011185B">
          <w:rPr>
            <w:noProof/>
            <w:webHidden/>
          </w:rPr>
          <w:tab/>
        </w:r>
        <w:r>
          <w:rPr>
            <w:noProof/>
            <w:webHidden/>
          </w:rPr>
          <w:fldChar w:fldCharType="begin"/>
        </w:r>
        <w:r w:rsidR="0011185B">
          <w:rPr>
            <w:noProof/>
            <w:webHidden/>
          </w:rPr>
          <w:instrText xml:space="preserve"> PAGEREF _Toc457355451 \h </w:instrText>
        </w:r>
        <w:r>
          <w:rPr>
            <w:noProof/>
            <w:webHidden/>
          </w:rPr>
        </w:r>
        <w:r>
          <w:rPr>
            <w:noProof/>
            <w:webHidden/>
          </w:rPr>
          <w:fldChar w:fldCharType="separate"/>
        </w:r>
        <w:r w:rsidR="0011185B">
          <w:rPr>
            <w:noProof/>
            <w:webHidden/>
          </w:rPr>
          <w:t>43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2" w:history="1">
        <w:r w:rsidR="0011185B" w:rsidRPr="00103B86">
          <w:rPr>
            <w:rStyle w:val="Hyperlink"/>
            <w:rFonts w:ascii="Calibri" w:hAnsi="Calibri"/>
            <w:noProof/>
          </w:rPr>
          <w:t>3.18</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COMPLAINCE OF DIRECTIVES</w:t>
        </w:r>
        <w:r w:rsidR="0011185B">
          <w:rPr>
            <w:noProof/>
            <w:webHidden/>
          </w:rPr>
          <w:tab/>
        </w:r>
        <w:r>
          <w:rPr>
            <w:noProof/>
            <w:webHidden/>
          </w:rPr>
          <w:fldChar w:fldCharType="begin"/>
        </w:r>
        <w:r w:rsidR="0011185B">
          <w:rPr>
            <w:noProof/>
            <w:webHidden/>
          </w:rPr>
          <w:instrText xml:space="preserve"> PAGEREF _Toc457355452 \h </w:instrText>
        </w:r>
        <w:r>
          <w:rPr>
            <w:noProof/>
            <w:webHidden/>
          </w:rPr>
        </w:r>
        <w:r>
          <w:rPr>
            <w:noProof/>
            <w:webHidden/>
          </w:rPr>
          <w:fldChar w:fldCharType="separate"/>
        </w:r>
        <w:r w:rsidR="0011185B">
          <w:rPr>
            <w:noProof/>
            <w:webHidden/>
          </w:rPr>
          <w:t>44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3" w:history="1">
        <w:r w:rsidR="0011185B" w:rsidRPr="00103B86">
          <w:rPr>
            <w:rStyle w:val="Hyperlink"/>
            <w:rFonts w:ascii="Calibri" w:hAnsi="Calibri"/>
            <w:noProof/>
          </w:rPr>
          <w:t>3.19</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MINIMUM CONSUMPTION CHARGES AND FIXED CHARGES</w:t>
        </w:r>
        <w:r w:rsidR="0011185B">
          <w:rPr>
            <w:noProof/>
            <w:webHidden/>
          </w:rPr>
          <w:tab/>
        </w:r>
        <w:r>
          <w:rPr>
            <w:noProof/>
            <w:webHidden/>
          </w:rPr>
          <w:fldChar w:fldCharType="begin"/>
        </w:r>
        <w:r w:rsidR="0011185B">
          <w:rPr>
            <w:noProof/>
            <w:webHidden/>
          </w:rPr>
          <w:instrText xml:space="preserve"> PAGEREF _Toc457355453 \h </w:instrText>
        </w:r>
        <w:r>
          <w:rPr>
            <w:noProof/>
            <w:webHidden/>
          </w:rPr>
        </w:r>
        <w:r>
          <w:rPr>
            <w:noProof/>
            <w:webHidden/>
          </w:rPr>
          <w:fldChar w:fldCharType="separate"/>
        </w:r>
        <w:r w:rsidR="0011185B">
          <w:rPr>
            <w:noProof/>
            <w:webHidden/>
          </w:rPr>
          <w:t>46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4" w:history="1">
        <w:r w:rsidR="0011185B" w:rsidRPr="00103B86">
          <w:rPr>
            <w:rStyle w:val="Hyperlink"/>
            <w:rFonts w:ascii="Calibri" w:hAnsi="Calibri"/>
            <w:noProof/>
          </w:rPr>
          <w:t>3.20</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RECOVERY OF OUTSTANDING DUES</w:t>
        </w:r>
        <w:r w:rsidR="0011185B">
          <w:rPr>
            <w:noProof/>
            <w:webHidden/>
          </w:rPr>
          <w:tab/>
        </w:r>
        <w:r>
          <w:rPr>
            <w:noProof/>
            <w:webHidden/>
          </w:rPr>
          <w:fldChar w:fldCharType="begin"/>
        </w:r>
        <w:r w:rsidR="0011185B">
          <w:rPr>
            <w:noProof/>
            <w:webHidden/>
          </w:rPr>
          <w:instrText xml:space="preserve"> PAGEREF _Toc457355454 \h </w:instrText>
        </w:r>
        <w:r>
          <w:rPr>
            <w:noProof/>
            <w:webHidden/>
          </w:rPr>
        </w:r>
        <w:r>
          <w:rPr>
            <w:noProof/>
            <w:webHidden/>
          </w:rPr>
          <w:fldChar w:fldCharType="separate"/>
        </w:r>
        <w:r w:rsidR="0011185B">
          <w:rPr>
            <w:noProof/>
            <w:webHidden/>
          </w:rPr>
          <w:t>50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5" w:history="1">
        <w:r w:rsidR="0011185B" w:rsidRPr="00103B86">
          <w:rPr>
            <w:rStyle w:val="Hyperlink"/>
            <w:rFonts w:ascii="Calibri" w:hAnsi="Calibri"/>
            <w:noProof/>
          </w:rPr>
          <w:t>3.21</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REBATE ON PAYMENT/ OTHER REBATES</w:t>
        </w:r>
        <w:r w:rsidR="0011185B">
          <w:rPr>
            <w:noProof/>
            <w:webHidden/>
          </w:rPr>
          <w:tab/>
        </w:r>
        <w:r>
          <w:rPr>
            <w:noProof/>
            <w:webHidden/>
          </w:rPr>
          <w:fldChar w:fldCharType="begin"/>
        </w:r>
        <w:r w:rsidR="0011185B">
          <w:rPr>
            <w:noProof/>
            <w:webHidden/>
          </w:rPr>
          <w:instrText xml:space="preserve"> PAGEREF _Toc457355455 \h </w:instrText>
        </w:r>
        <w:r>
          <w:rPr>
            <w:noProof/>
            <w:webHidden/>
          </w:rPr>
        </w:r>
        <w:r>
          <w:rPr>
            <w:noProof/>
            <w:webHidden/>
          </w:rPr>
          <w:fldChar w:fldCharType="separate"/>
        </w:r>
        <w:r w:rsidR="0011185B">
          <w:rPr>
            <w:noProof/>
            <w:webHidden/>
          </w:rPr>
          <w:t>51</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6" w:history="1">
        <w:r w:rsidR="0011185B" w:rsidRPr="00103B86">
          <w:rPr>
            <w:rStyle w:val="Hyperlink"/>
            <w:rFonts w:ascii="Calibri" w:hAnsi="Calibri"/>
            <w:noProof/>
          </w:rPr>
          <w:t>3.22</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ELECTRICITY DUTY AND SECURITY DEPOSIT</w:t>
        </w:r>
        <w:r w:rsidR="0011185B">
          <w:rPr>
            <w:noProof/>
            <w:webHidden/>
          </w:rPr>
          <w:tab/>
        </w:r>
        <w:r>
          <w:rPr>
            <w:noProof/>
            <w:webHidden/>
          </w:rPr>
          <w:fldChar w:fldCharType="begin"/>
        </w:r>
        <w:r w:rsidR="0011185B">
          <w:rPr>
            <w:noProof/>
            <w:webHidden/>
          </w:rPr>
          <w:instrText xml:space="preserve"> PAGEREF _Toc457355456 \h </w:instrText>
        </w:r>
        <w:r>
          <w:rPr>
            <w:noProof/>
            <w:webHidden/>
          </w:rPr>
        </w:r>
        <w:r>
          <w:rPr>
            <w:noProof/>
            <w:webHidden/>
          </w:rPr>
          <w:fldChar w:fldCharType="separate"/>
        </w:r>
        <w:r w:rsidR="0011185B">
          <w:rPr>
            <w:noProof/>
            <w:webHidden/>
          </w:rPr>
          <w:t>52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7" w:history="1">
        <w:r w:rsidR="0011185B" w:rsidRPr="00103B86">
          <w:rPr>
            <w:rStyle w:val="Hyperlink"/>
            <w:rFonts w:ascii="Calibri" w:hAnsi="Calibri"/>
            <w:noProof/>
          </w:rPr>
          <w:t>3.23</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SUBSIDY FROM GoUP</w:t>
        </w:r>
        <w:r w:rsidR="0011185B">
          <w:rPr>
            <w:noProof/>
            <w:webHidden/>
          </w:rPr>
          <w:tab/>
        </w:r>
        <w:r>
          <w:rPr>
            <w:noProof/>
            <w:webHidden/>
          </w:rPr>
          <w:fldChar w:fldCharType="begin"/>
        </w:r>
        <w:r w:rsidR="0011185B">
          <w:rPr>
            <w:noProof/>
            <w:webHidden/>
          </w:rPr>
          <w:instrText xml:space="preserve"> PAGEREF _Toc457355457 \h </w:instrText>
        </w:r>
        <w:r>
          <w:rPr>
            <w:noProof/>
            <w:webHidden/>
          </w:rPr>
        </w:r>
        <w:r>
          <w:rPr>
            <w:noProof/>
            <w:webHidden/>
          </w:rPr>
          <w:fldChar w:fldCharType="separate"/>
        </w:r>
        <w:r w:rsidR="0011185B">
          <w:rPr>
            <w:noProof/>
            <w:webHidden/>
          </w:rPr>
          <w:t>54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8" w:history="1">
        <w:r w:rsidR="0011185B" w:rsidRPr="00103B86">
          <w:rPr>
            <w:rStyle w:val="Hyperlink"/>
            <w:rFonts w:ascii="Calibri" w:hAnsi="Calibri"/>
            <w:noProof/>
          </w:rPr>
          <w:t>3.24</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PRICE AND QUANTUM OF POWER PURCHASE</w:t>
        </w:r>
        <w:r w:rsidR="0011185B">
          <w:rPr>
            <w:noProof/>
            <w:webHidden/>
          </w:rPr>
          <w:tab/>
        </w:r>
        <w:r>
          <w:rPr>
            <w:noProof/>
            <w:webHidden/>
          </w:rPr>
          <w:fldChar w:fldCharType="begin"/>
        </w:r>
        <w:r w:rsidR="0011185B">
          <w:rPr>
            <w:noProof/>
            <w:webHidden/>
          </w:rPr>
          <w:instrText xml:space="preserve"> PAGEREF _Toc457355458 \h </w:instrText>
        </w:r>
        <w:r>
          <w:rPr>
            <w:noProof/>
            <w:webHidden/>
          </w:rPr>
        </w:r>
        <w:r>
          <w:rPr>
            <w:noProof/>
            <w:webHidden/>
          </w:rPr>
          <w:fldChar w:fldCharType="separate"/>
        </w:r>
        <w:r w:rsidR="0011185B">
          <w:rPr>
            <w:noProof/>
            <w:webHidden/>
          </w:rPr>
          <w:t>54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59" w:history="1">
        <w:r w:rsidR="0011185B" w:rsidRPr="00103B86">
          <w:rPr>
            <w:rStyle w:val="Hyperlink"/>
            <w:rFonts w:ascii="Calibri" w:hAnsi="Calibri"/>
            <w:noProof/>
          </w:rPr>
          <w:t>3.25</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TAJ TRAPEZIUM ZONE</w:t>
        </w:r>
        <w:r w:rsidR="0011185B">
          <w:rPr>
            <w:noProof/>
            <w:webHidden/>
          </w:rPr>
          <w:tab/>
        </w:r>
        <w:r>
          <w:rPr>
            <w:noProof/>
            <w:webHidden/>
          </w:rPr>
          <w:fldChar w:fldCharType="begin"/>
        </w:r>
        <w:r w:rsidR="0011185B">
          <w:rPr>
            <w:noProof/>
            <w:webHidden/>
          </w:rPr>
          <w:instrText xml:space="preserve"> PAGEREF _Toc457355459 \h </w:instrText>
        </w:r>
        <w:r>
          <w:rPr>
            <w:noProof/>
            <w:webHidden/>
          </w:rPr>
        </w:r>
        <w:r>
          <w:rPr>
            <w:noProof/>
            <w:webHidden/>
          </w:rPr>
          <w:fldChar w:fldCharType="separate"/>
        </w:r>
        <w:r w:rsidR="0011185B">
          <w:rPr>
            <w:noProof/>
            <w:webHidden/>
          </w:rPr>
          <w:t>58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0" w:history="1">
        <w:r w:rsidR="0011185B" w:rsidRPr="00103B86">
          <w:rPr>
            <w:rStyle w:val="Hyperlink"/>
            <w:rFonts w:ascii="Calibri" w:hAnsi="Calibri"/>
            <w:noProof/>
          </w:rPr>
          <w:t>3.26</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METERING AND BILLING</w:t>
        </w:r>
        <w:r w:rsidR="0011185B">
          <w:rPr>
            <w:noProof/>
            <w:webHidden/>
          </w:rPr>
          <w:tab/>
        </w:r>
        <w:r>
          <w:rPr>
            <w:noProof/>
            <w:webHidden/>
          </w:rPr>
          <w:fldChar w:fldCharType="begin"/>
        </w:r>
        <w:r w:rsidR="0011185B">
          <w:rPr>
            <w:noProof/>
            <w:webHidden/>
          </w:rPr>
          <w:instrText xml:space="preserve"> PAGEREF _Toc457355460 \h </w:instrText>
        </w:r>
        <w:r>
          <w:rPr>
            <w:noProof/>
            <w:webHidden/>
          </w:rPr>
        </w:r>
        <w:r>
          <w:rPr>
            <w:noProof/>
            <w:webHidden/>
          </w:rPr>
          <w:fldChar w:fldCharType="separate"/>
        </w:r>
        <w:r w:rsidR="0011185B">
          <w:rPr>
            <w:noProof/>
            <w:webHidden/>
          </w:rPr>
          <w:t>60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1" w:history="1">
        <w:r w:rsidR="0011185B" w:rsidRPr="00103B86">
          <w:rPr>
            <w:rStyle w:val="Hyperlink"/>
            <w:rFonts w:ascii="Calibri" w:hAnsi="Calibri"/>
            <w:noProof/>
          </w:rPr>
          <w:t>3.27</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OPEN ACCESS</w:t>
        </w:r>
        <w:r w:rsidR="0011185B">
          <w:rPr>
            <w:noProof/>
            <w:webHidden/>
          </w:rPr>
          <w:tab/>
        </w:r>
        <w:r>
          <w:rPr>
            <w:noProof/>
            <w:webHidden/>
          </w:rPr>
          <w:fldChar w:fldCharType="begin"/>
        </w:r>
        <w:r w:rsidR="0011185B">
          <w:rPr>
            <w:noProof/>
            <w:webHidden/>
          </w:rPr>
          <w:instrText xml:space="preserve"> PAGEREF _Toc457355461 \h </w:instrText>
        </w:r>
        <w:r>
          <w:rPr>
            <w:noProof/>
            <w:webHidden/>
          </w:rPr>
        </w:r>
        <w:r>
          <w:rPr>
            <w:noProof/>
            <w:webHidden/>
          </w:rPr>
          <w:fldChar w:fldCharType="separate"/>
        </w:r>
        <w:r w:rsidR="0011185B">
          <w:rPr>
            <w:noProof/>
            <w:webHidden/>
          </w:rPr>
          <w:t>64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2" w:history="1">
        <w:r w:rsidR="0011185B" w:rsidRPr="00103B86">
          <w:rPr>
            <w:rStyle w:val="Hyperlink"/>
            <w:rFonts w:ascii="Calibri" w:hAnsi="Calibri"/>
            <w:noProof/>
          </w:rPr>
          <w:t>3.28</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AUDIT OF ACCOUNTS</w:t>
        </w:r>
        <w:r w:rsidR="0011185B">
          <w:rPr>
            <w:noProof/>
            <w:webHidden/>
          </w:rPr>
          <w:tab/>
        </w:r>
        <w:r>
          <w:rPr>
            <w:noProof/>
            <w:webHidden/>
          </w:rPr>
          <w:fldChar w:fldCharType="begin"/>
        </w:r>
        <w:r w:rsidR="0011185B">
          <w:rPr>
            <w:noProof/>
            <w:webHidden/>
          </w:rPr>
          <w:instrText xml:space="preserve"> PAGEREF _Toc457355462 \h </w:instrText>
        </w:r>
        <w:r>
          <w:rPr>
            <w:noProof/>
            <w:webHidden/>
          </w:rPr>
        </w:r>
        <w:r>
          <w:rPr>
            <w:noProof/>
            <w:webHidden/>
          </w:rPr>
          <w:fldChar w:fldCharType="separate"/>
        </w:r>
        <w:r w:rsidR="0011185B">
          <w:rPr>
            <w:noProof/>
            <w:webHidden/>
          </w:rPr>
          <w:t>65</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3" w:history="1">
        <w:r w:rsidR="0011185B" w:rsidRPr="00103B86">
          <w:rPr>
            <w:rStyle w:val="Hyperlink"/>
            <w:rFonts w:ascii="Calibri" w:hAnsi="Calibri"/>
            <w:noProof/>
          </w:rPr>
          <w:t>3.29</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CROSS SUBSIDY SURCHARGE</w:t>
        </w:r>
        <w:r w:rsidR="0011185B">
          <w:rPr>
            <w:noProof/>
            <w:webHidden/>
          </w:rPr>
          <w:tab/>
        </w:r>
        <w:r>
          <w:rPr>
            <w:noProof/>
            <w:webHidden/>
          </w:rPr>
          <w:fldChar w:fldCharType="begin"/>
        </w:r>
        <w:r w:rsidR="0011185B">
          <w:rPr>
            <w:noProof/>
            <w:webHidden/>
          </w:rPr>
          <w:instrText xml:space="preserve"> PAGEREF _Toc457355463 \h </w:instrText>
        </w:r>
        <w:r>
          <w:rPr>
            <w:noProof/>
            <w:webHidden/>
          </w:rPr>
        </w:r>
        <w:r>
          <w:rPr>
            <w:noProof/>
            <w:webHidden/>
          </w:rPr>
          <w:fldChar w:fldCharType="separate"/>
        </w:r>
        <w:r w:rsidR="0011185B">
          <w:rPr>
            <w:noProof/>
            <w:webHidden/>
          </w:rPr>
          <w:t>66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4" w:history="1">
        <w:r w:rsidR="0011185B" w:rsidRPr="00103B86">
          <w:rPr>
            <w:rStyle w:val="Hyperlink"/>
            <w:rFonts w:ascii="Calibri" w:hAnsi="Calibri"/>
            <w:noProof/>
          </w:rPr>
          <w:t>3.30</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TARIFF FOR TELECOM TOWERS</w:t>
        </w:r>
        <w:r w:rsidR="0011185B">
          <w:rPr>
            <w:noProof/>
            <w:webHidden/>
          </w:rPr>
          <w:tab/>
        </w:r>
        <w:r>
          <w:rPr>
            <w:noProof/>
            <w:webHidden/>
          </w:rPr>
          <w:fldChar w:fldCharType="begin"/>
        </w:r>
        <w:r w:rsidR="0011185B">
          <w:rPr>
            <w:noProof/>
            <w:webHidden/>
          </w:rPr>
          <w:instrText xml:space="preserve"> PAGEREF _Toc457355464 \h </w:instrText>
        </w:r>
        <w:r>
          <w:rPr>
            <w:noProof/>
            <w:webHidden/>
          </w:rPr>
        </w:r>
        <w:r>
          <w:rPr>
            <w:noProof/>
            <w:webHidden/>
          </w:rPr>
          <w:fldChar w:fldCharType="separate"/>
        </w:r>
        <w:r w:rsidR="0011185B">
          <w:rPr>
            <w:noProof/>
            <w:webHidden/>
          </w:rPr>
          <w:t>66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5" w:history="1">
        <w:r w:rsidR="0011185B" w:rsidRPr="00103B86">
          <w:rPr>
            <w:rStyle w:val="Hyperlink"/>
            <w:rFonts w:ascii="Calibri" w:hAnsi="Calibri"/>
            <w:noProof/>
          </w:rPr>
          <w:t>3.31</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TARIFF STRUCTURE</w:t>
        </w:r>
        <w:r w:rsidR="0011185B">
          <w:rPr>
            <w:noProof/>
            <w:webHidden/>
          </w:rPr>
          <w:tab/>
        </w:r>
        <w:r>
          <w:rPr>
            <w:noProof/>
            <w:webHidden/>
          </w:rPr>
          <w:fldChar w:fldCharType="begin"/>
        </w:r>
        <w:r w:rsidR="0011185B">
          <w:rPr>
            <w:noProof/>
            <w:webHidden/>
          </w:rPr>
          <w:instrText xml:space="preserve"> PAGEREF _Toc457355465 \h </w:instrText>
        </w:r>
        <w:r>
          <w:rPr>
            <w:noProof/>
            <w:webHidden/>
          </w:rPr>
        </w:r>
        <w:r>
          <w:rPr>
            <w:noProof/>
            <w:webHidden/>
          </w:rPr>
          <w:fldChar w:fldCharType="separate"/>
        </w:r>
        <w:r w:rsidR="0011185B">
          <w:rPr>
            <w:noProof/>
            <w:webHidden/>
          </w:rPr>
          <w:t>68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6" w:history="1">
        <w:r w:rsidR="0011185B" w:rsidRPr="00103B86">
          <w:rPr>
            <w:rStyle w:val="Hyperlink"/>
            <w:rFonts w:ascii="Calibri" w:hAnsi="Calibri"/>
            <w:noProof/>
          </w:rPr>
          <w:t>3.32</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LATE PAYMENT SURCHARGE</w:t>
        </w:r>
        <w:r w:rsidR="0011185B">
          <w:rPr>
            <w:noProof/>
            <w:webHidden/>
          </w:rPr>
          <w:tab/>
        </w:r>
        <w:r>
          <w:rPr>
            <w:noProof/>
            <w:webHidden/>
          </w:rPr>
          <w:fldChar w:fldCharType="begin"/>
        </w:r>
        <w:r w:rsidR="0011185B">
          <w:rPr>
            <w:noProof/>
            <w:webHidden/>
          </w:rPr>
          <w:instrText xml:space="preserve"> PAGEREF _Toc457355466 \h </w:instrText>
        </w:r>
        <w:r>
          <w:rPr>
            <w:noProof/>
            <w:webHidden/>
          </w:rPr>
        </w:r>
        <w:r>
          <w:rPr>
            <w:noProof/>
            <w:webHidden/>
          </w:rPr>
          <w:fldChar w:fldCharType="separate"/>
        </w:r>
        <w:r w:rsidR="0011185B">
          <w:rPr>
            <w:noProof/>
            <w:webHidden/>
          </w:rPr>
          <w:t>73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7" w:history="1">
        <w:r w:rsidR="0011185B" w:rsidRPr="00103B86">
          <w:rPr>
            <w:rStyle w:val="Hyperlink"/>
            <w:rFonts w:ascii="Calibri" w:hAnsi="Calibri"/>
            <w:noProof/>
          </w:rPr>
          <w:t>3.33</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PUBLIC HEARING PROCESS</w:t>
        </w:r>
        <w:r w:rsidR="0011185B">
          <w:rPr>
            <w:noProof/>
            <w:webHidden/>
          </w:rPr>
          <w:tab/>
        </w:r>
        <w:r>
          <w:rPr>
            <w:noProof/>
            <w:webHidden/>
          </w:rPr>
          <w:fldChar w:fldCharType="begin"/>
        </w:r>
        <w:r w:rsidR="0011185B">
          <w:rPr>
            <w:noProof/>
            <w:webHidden/>
          </w:rPr>
          <w:instrText xml:space="preserve"> PAGEREF _Toc457355467 \h </w:instrText>
        </w:r>
        <w:r>
          <w:rPr>
            <w:noProof/>
            <w:webHidden/>
          </w:rPr>
        </w:r>
        <w:r>
          <w:rPr>
            <w:noProof/>
            <w:webHidden/>
          </w:rPr>
          <w:fldChar w:fldCharType="separate"/>
        </w:r>
        <w:r w:rsidR="0011185B">
          <w:rPr>
            <w:noProof/>
            <w:webHidden/>
          </w:rPr>
          <w:t>73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8" w:history="1">
        <w:r w:rsidR="0011185B" w:rsidRPr="00103B86">
          <w:rPr>
            <w:rStyle w:val="Hyperlink"/>
            <w:rFonts w:ascii="Calibri" w:hAnsi="Calibri"/>
            <w:noProof/>
          </w:rPr>
          <w:t>3.34</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SUB STATION CAPACITY / INFRASTRUCTURE ENHANCEMENT</w:t>
        </w:r>
        <w:r w:rsidR="0011185B">
          <w:rPr>
            <w:noProof/>
            <w:webHidden/>
          </w:rPr>
          <w:tab/>
        </w:r>
        <w:r>
          <w:rPr>
            <w:noProof/>
            <w:webHidden/>
          </w:rPr>
          <w:fldChar w:fldCharType="begin"/>
        </w:r>
        <w:r w:rsidR="0011185B">
          <w:rPr>
            <w:noProof/>
            <w:webHidden/>
          </w:rPr>
          <w:instrText xml:space="preserve"> PAGEREF _Toc457355468 \h </w:instrText>
        </w:r>
        <w:r>
          <w:rPr>
            <w:noProof/>
            <w:webHidden/>
          </w:rPr>
        </w:r>
        <w:r>
          <w:rPr>
            <w:noProof/>
            <w:webHidden/>
          </w:rPr>
          <w:fldChar w:fldCharType="separate"/>
        </w:r>
        <w:r w:rsidR="0011185B">
          <w:rPr>
            <w:noProof/>
            <w:webHidden/>
          </w:rPr>
          <w:t>74</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69" w:history="1">
        <w:r w:rsidR="0011185B" w:rsidRPr="00103B86">
          <w:rPr>
            <w:rStyle w:val="Hyperlink"/>
            <w:rFonts w:ascii="Calibri" w:hAnsi="Calibri"/>
            <w:noProof/>
          </w:rPr>
          <w:t>3.35</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ENCOURAGING RENEWABLE ENERGY</w:t>
        </w:r>
        <w:r w:rsidR="0011185B">
          <w:rPr>
            <w:noProof/>
            <w:webHidden/>
          </w:rPr>
          <w:tab/>
        </w:r>
        <w:r>
          <w:rPr>
            <w:noProof/>
            <w:webHidden/>
          </w:rPr>
          <w:fldChar w:fldCharType="begin"/>
        </w:r>
        <w:r w:rsidR="0011185B">
          <w:rPr>
            <w:noProof/>
            <w:webHidden/>
          </w:rPr>
          <w:instrText xml:space="preserve"> PAGEREF _Toc457355469 \h </w:instrText>
        </w:r>
        <w:r>
          <w:rPr>
            <w:noProof/>
            <w:webHidden/>
          </w:rPr>
        </w:r>
        <w:r>
          <w:rPr>
            <w:noProof/>
            <w:webHidden/>
          </w:rPr>
          <w:fldChar w:fldCharType="separate"/>
        </w:r>
        <w:r w:rsidR="0011185B">
          <w:rPr>
            <w:noProof/>
            <w:webHidden/>
          </w:rPr>
          <w:t>76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70" w:history="1">
        <w:r w:rsidR="0011185B" w:rsidRPr="00103B86">
          <w:rPr>
            <w:rStyle w:val="Hyperlink"/>
            <w:rFonts w:ascii="Calibri" w:hAnsi="Calibri"/>
            <w:noProof/>
          </w:rPr>
          <w:t>3.36</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MERIT ORDER DISPATCH</w:t>
        </w:r>
        <w:r w:rsidR="0011185B">
          <w:rPr>
            <w:noProof/>
            <w:webHidden/>
          </w:rPr>
          <w:tab/>
        </w:r>
        <w:r>
          <w:rPr>
            <w:noProof/>
            <w:webHidden/>
          </w:rPr>
          <w:fldChar w:fldCharType="begin"/>
        </w:r>
        <w:r w:rsidR="0011185B">
          <w:rPr>
            <w:noProof/>
            <w:webHidden/>
          </w:rPr>
          <w:instrText xml:space="preserve"> PAGEREF _Toc457355470 \h </w:instrText>
        </w:r>
        <w:r>
          <w:rPr>
            <w:noProof/>
            <w:webHidden/>
          </w:rPr>
        </w:r>
        <w:r>
          <w:rPr>
            <w:noProof/>
            <w:webHidden/>
          </w:rPr>
          <w:fldChar w:fldCharType="separate"/>
        </w:r>
        <w:r w:rsidR="0011185B">
          <w:rPr>
            <w:noProof/>
            <w:webHidden/>
          </w:rPr>
          <w:t>77</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71" w:history="1">
        <w:r w:rsidR="0011185B" w:rsidRPr="00103B86">
          <w:rPr>
            <w:rStyle w:val="Hyperlink"/>
            <w:rFonts w:ascii="Calibri" w:hAnsi="Calibri"/>
            <w:noProof/>
          </w:rPr>
          <w:t>3.37</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OTHER GENERAL ISSUES</w:t>
        </w:r>
        <w:r w:rsidR="0011185B">
          <w:rPr>
            <w:noProof/>
            <w:webHidden/>
          </w:rPr>
          <w:tab/>
        </w:r>
        <w:r>
          <w:rPr>
            <w:noProof/>
            <w:webHidden/>
          </w:rPr>
          <w:fldChar w:fldCharType="begin"/>
        </w:r>
        <w:r w:rsidR="0011185B">
          <w:rPr>
            <w:noProof/>
            <w:webHidden/>
          </w:rPr>
          <w:instrText xml:space="preserve"> PAGEREF _Toc457355471 \h </w:instrText>
        </w:r>
        <w:r>
          <w:rPr>
            <w:noProof/>
            <w:webHidden/>
          </w:rPr>
        </w:r>
        <w:r>
          <w:rPr>
            <w:noProof/>
            <w:webHidden/>
          </w:rPr>
          <w:fldChar w:fldCharType="separate"/>
        </w:r>
        <w:r w:rsidR="0011185B">
          <w:rPr>
            <w:noProof/>
            <w:webHidden/>
          </w:rPr>
          <w:t>80</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472" w:history="1">
        <w:r w:rsidR="0011185B" w:rsidRPr="00103B86">
          <w:rPr>
            <w:rStyle w:val="Hyperlink"/>
            <w:noProof/>
          </w:rPr>
          <w:t>4.</w:t>
        </w:r>
        <w:r w:rsidR="0011185B">
          <w:rPr>
            <w:rFonts w:eastAsiaTheme="minorEastAsia" w:cstheme="minorBidi"/>
            <w:bCs w:val="0"/>
            <w:caps w:val="0"/>
            <w:noProof/>
            <w:sz w:val="22"/>
            <w:szCs w:val="22"/>
            <w:lang w:val="en-IN" w:eastAsia="en-IN"/>
          </w:rPr>
          <w:tab/>
        </w:r>
        <w:r w:rsidR="0011185B" w:rsidRPr="00103B86">
          <w:rPr>
            <w:rStyle w:val="Hyperlink"/>
            <w:noProof/>
          </w:rPr>
          <w:t>TRUING UP OF AGGREGATE REVENUE REQUIREMENT FOR FY 2013-14</w:t>
        </w:r>
        <w:r w:rsidR="0011185B">
          <w:rPr>
            <w:noProof/>
            <w:webHidden/>
          </w:rPr>
          <w:tab/>
        </w:r>
        <w:r>
          <w:rPr>
            <w:noProof/>
            <w:webHidden/>
          </w:rPr>
          <w:fldChar w:fldCharType="begin"/>
        </w:r>
        <w:r w:rsidR="0011185B">
          <w:rPr>
            <w:noProof/>
            <w:webHidden/>
          </w:rPr>
          <w:instrText xml:space="preserve"> PAGEREF _Toc457355472 \h </w:instrText>
        </w:r>
        <w:r>
          <w:rPr>
            <w:noProof/>
            <w:webHidden/>
          </w:rPr>
        </w:r>
        <w:r>
          <w:rPr>
            <w:noProof/>
            <w:webHidden/>
          </w:rPr>
          <w:fldChar w:fldCharType="separate"/>
        </w:r>
        <w:r w:rsidR="0011185B">
          <w:rPr>
            <w:noProof/>
            <w:webHidden/>
          </w:rPr>
          <w:t>85</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3" w:history="1">
        <w:r w:rsidR="0011185B" w:rsidRPr="00103B86">
          <w:rPr>
            <w:rStyle w:val="Hyperlink"/>
            <w:rFonts w:cs="Calibri"/>
            <w:noProof/>
            <w:lang w:val="en-US"/>
          </w:rPr>
          <w:t>4.1</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INTRODUCTION</w:t>
        </w:r>
        <w:r w:rsidR="0011185B">
          <w:rPr>
            <w:noProof/>
            <w:webHidden/>
          </w:rPr>
          <w:tab/>
        </w:r>
        <w:r>
          <w:rPr>
            <w:noProof/>
            <w:webHidden/>
          </w:rPr>
          <w:fldChar w:fldCharType="begin"/>
        </w:r>
        <w:r w:rsidR="0011185B">
          <w:rPr>
            <w:noProof/>
            <w:webHidden/>
          </w:rPr>
          <w:instrText xml:space="preserve"> PAGEREF _Toc457355473 \h </w:instrText>
        </w:r>
        <w:r>
          <w:rPr>
            <w:noProof/>
            <w:webHidden/>
          </w:rPr>
        </w:r>
        <w:r>
          <w:rPr>
            <w:noProof/>
            <w:webHidden/>
          </w:rPr>
          <w:fldChar w:fldCharType="separate"/>
        </w:r>
        <w:r w:rsidR="0011185B">
          <w:rPr>
            <w:noProof/>
            <w:webHidden/>
          </w:rPr>
          <w:t>85</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4" w:history="1">
        <w:r w:rsidR="0011185B" w:rsidRPr="00103B86">
          <w:rPr>
            <w:rStyle w:val="Hyperlink"/>
            <w:rFonts w:cs="Calibri"/>
            <w:noProof/>
            <w:lang w:val="en-US"/>
          </w:rPr>
          <w:t>4.2</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POWER PURCHASE EXPENSES</w:t>
        </w:r>
        <w:r w:rsidR="0011185B">
          <w:rPr>
            <w:noProof/>
            <w:webHidden/>
          </w:rPr>
          <w:tab/>
        </w:r>
        <w:r>
          <w:rPr>
            <w:noProof/>
            <w:webHidden/>
          </w:rPr>
          <w:fldChar w:fldCharType="begin"/>
        </w:r>
        <w:r w:rsidR="0011185B">
          <w:rPr>
            <w:noProof/>
            <w:webHidden/>
          </w:rPr>
          <w:instrText xml:space="preserve"> PAGEREF _Toc457355474 \h </w:instrText>
        </w:r>
        <w:r>
          <w:rPr>
            <w:noProof/>
            <w:webHidden/>
          </w:rPr>
        </w:r>
        <w:r>
          <w:rPr>
            <w:noProof/>
            <w:webHidden/>
          </w:rPr>
          <w:fldChar w:fldCharType="separate"/>
        </w:r>
        <w:r w:rsidR="0011185B">
          <w:rPr>
            <w:noProof/>
            <w:webHidden/>
          </w:rPr>
          <w:t>85</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5" w:history="1">
        <w:r w:rsidR="0011185B" w:rsidRPr="00103B86">
          <w:rPr>
            <w:rStyle w:val="Hyperlink"/>
            <w:rFonts w:cs="Calibri"/>
            <w:noProof/>
            <w:lang w:val="en-US"/>
          </w:rPr>
          <w:t>4.3</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TRANSMISSION CHARGES</w:t>
        </w:r>
        <w:r w:rsidR="0011185B">
          <w:rPr>
            <w:noProof/>
            <w:webHidden/>
          </w:rPr>
          <w:tab/>
        </w:r>
        <w:r>
          <w:rPr>
            <w:noProof/>
            <w:webHidden/>
          </w:rPr>
          <w:fldChar w:fldCharType="begin"/>
        </w:r>
        <w:r w:rsidR="0011185B">
          <w:rPr>
            <w:noProof/>
            <w:webHidden/>
          </w:rPr>
          <w:instrText xml:space="preserve"> PAGEREF _Toc457355475 \h </w:instrText>
        </w:r>
        <w:r>
          <w:rPr>
            <w:noProof/>
            <w:webHidden/>
          </w:rPr>
        </w:r>
        <w:r>
          <w:rPr>
            <w:noProof/>
            <w:webHidden/>
          </w:rPr>
          <w:fldChar w:fldCharType="separate"/>
        </w:r>
        <w:r w:rsidR="0011185B">
          <w:rPr>
            <w:noProof/>
            <w:webHidden/>
          </w:rPr>
          <w:t>90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6" w:history="1">
        <w:r w:rsidR="0011185B" w:rsidRPr="00103B86">
          <w:rPr>
            <w:rStyle w:val="Hyperlink"/>
            <w:rFonts w:cs="Calibri"/>
            <w:noProof/>
            <w:lang w:val="en-US"/>
          </w:rPr>
          <w:t>4.4</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O&amp;M EXPENSES</w:t>
        </w:r>
        <w:r w:rsidR="0011185B">
          <w:rPr>
            <w:noProof/>
            <w:webHidden/>
          </w:rPr>
          <w:tab/>
        </w:r>
        <w:r>
          <w:rPr>
            <w:noProof/>
            <w:webHidden/>
          </w:rPr>
          <w:fldChar w:fldCharType="begin"/>
        </w:r>
        <w:r w:rsidR="0011185B">
          <w:rPr>
            <w:noProof/>
            <w:webHidden/>
          </w:rPr>
          <w:instrText xml:space="preserve"> PAGEREF _Toc457355476 \h </w:instrText>
        </w:r>
        <w:r>
          <w:rPr>
            <w:noProof/>
            <w:webHidden/>
          </w:rPr>
        </w:r>
        <w:r>
          <w:rPr>
            <w:noProof/>
            <w:webHidden/>
          </w:rPr>
          <w:fldChar w:fldCharType="separate"/>
        </w:r>
        <w:r w:rsidR="0011185B">
          <w:rPr>
            <w:noProof/>
            <w:webHidden/>
          </w:rPr>
          <w:t>91</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7" w:history="1">
        <w:r w:rsidR="0011185B" w:rsidRPr="00103B86">
          <w:rPr>
            <w:rStyle w:val="Hyperlink"/>
            <w:rFonts w:cs="Calibri"/>
            <w:noProof/>
            <w:lang w:val="en-US"/>
          </w:rPr>
          <w:t>4.5</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INTEREST AND FINANCE CHARGES</w:t>
        </w:r>
        <w:r w:rsidR="0011185B">
          <w:rPr>
            <w:noProof/>
            <w:webHidden/>
          </w:rPr>
          <w:tab/>
        </w:r>
        <w:r>
          <w:rPr>
            <w:noProof/>
            <w:webHidden/>
          </w:rPr>
          <w:fldChar w:fldCharType="begin"/>
        </w:r>
        <w:r w:rsidR="0011185B">
          <w:rPr>
            <w:noProof/>
            <w:webHidden/>
          </w:rPr>
          <w:instrText xml:space="preserve"> PAGEREF _Toc457355477 \h </w:instrText>
        </w:r>
        <w:r>
          <w:rPr>
            <w:noProof/>
            <w:webHidden/>
          </w:rPr>
        </w:r>
        <w:r>
          <w:rPr>
            <w:noProof/>
            <w:webHidden/>
          </w:rPr>
          <w:fldChar w:fldCharType="separate"/>
        </w:r>
        <w:r w:rsidR="0011185B">
          <w:rPr>
            <w:noProof/>
            <w:webHidden/>
          </w:rPr>
          <w:t>95</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8" w:history="1">
        <w:r w:rsidR="0011185B" w:rsidRPr="00103B86">
          <w:rPr>
            <w:rStyle w:val="Hyperlink"/>
            <w:rFonts w:cs="Calibri"/>
            <w:noProof/>
            <w:lang w:val="en-US"/>
          </w:rPr>
          <w:t>4.6</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DEPRECIATION</w:t>
        </w:r>
        <w:r w:rsidR="0011185B">
          <w:rPr>
            <w:noProof/>
            <w:webHidden/>
          </w:rPr>
          <w:tab/>
        </w:r>
        <w:r>
          <w:rPr>
            <w:noProof/>
            <w:webHidden/>
          </w:rPr>
          <w:fldChar w:fldCharType="begin"/>
        </w:r>
        <w:r w:rsidR="0011185B">
          <w:rPr>
            <w:noProof/>
            <w:webHidden/>
          </w:rPr>
          <w:instrText xml:space="preserve"> PAGEREF _Toc457355478 \h </w:instrText>
        </w:r>
        <w:r>
          <w:rPr>
            <w:noProof/>
            <w:webHidden/>
          </w:rPr>
        </w:r>
        <w:r>
          <w:rPr>
            <w:noProof/>
            <w:webHidden/>
          </w:rPr>
          <w:fldChar w:fldCharType="separate"/>
        </w:r>
        <w:r w:rsidR="0011185B">
          <w:rPr>
            <w:noProof/>
            <w:webHidden/>
          </w:rPr>
          <w:t>102</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79" w:history="1">
        <w:r w:rsidR="0011185B" w:rsidRPr="00103B86">
          <w:rPr>
            <w:rStyle w:val="Hyperlink"/>
            <w:rFonts w:cs="Calibri"/>
            <w:noProof/>
            <w:lang w:val="en-US"/>
          </w:rPr>
          <w:t>4.7</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PRIOR PERIOD EXPENSES</w:t>
        </w:r>
        <w:r w:rsidR="0011185B">
          <w:rPr>
            <w:noProof/>
            <w:webHidden/>
          </w:rPr>
          <w:tab/>
        </w:r>
        <w:r>
          <w:rPr>
            <w:noProof/>
            <w:webHidden/>
          </w:rPr>
          <w:fldChar w:fldCharType="begin"/>
        </w:r>
        <w:r w:rsidR="0011185B">
          <w:rPr>
            <w:noProof/>
            <w:webHidden/>
          </w:rPr>
          <w:instrText xml:space="preserve"> PAGEREF _Toc457355479 \h </w:instrText>
        </w:r>
        <w:r>
          <w:rPr>
            <w:noProof/>
            <w:webHidden/>
          </w:rPr>
        </w:r>
        <w:r>
          <w:rPr>
            <w:noProof/>
            <w:webHidden/>
          </w:rPr>
          <w:fldChar w:fldCharType="separate"/>
        </w:r>
        <w:r w:rsidR="0011185B">
          <w:rPr>
            <w:noProof/>
            <w:webHidden/>
          </w:rPr>
          <w:t>103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0" w:history="1">
        <w:r w:rsidR="0011185B" w:rsidRPr="00103B86">
          <w:rPr>
            <w:rStyle w:val="Hyperlink"/>
            <w:rFonts w:cs="Calibri"/>
            <w:noProof/>
            <w:lang w:val="en-US"/>
          </w:rPr>
          <w:t>4.8</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PROVISION FOR BAD AND DOUBTFUL DEBTS</w:t>
        </w:r>
        <w:r w:rsidR="0011185B">
          <w:rPr>
            <w:noProof/>
            <w:webHidden/>
          </w:rPr>
          <w:tab/>
        </w:r>
        <w:r>
          <w:rPr>
            <w:noProof/>
            <w:webHidden/>
          </w:rPr>
          <w:fldChar w:fldCharType="begin"/>
        </w:r>
        <w:r w:rsidR="0011185B">
          <w:rPr>
            <w:noProof/>
            <w:webHidden/>
          </w:rPr>
          <w:instrText xml:space="preserve"> PAGEREF _Toc457355480 \h </w:instrText>
        </w:r>
        <w:r>
          <w:rPr>
            <w:noProof/>
            <w:webHidden/>
          </w:rPr>
        </w:r>
        <w:r>
          <w:rPr>
            <w:noProof/>
            <w:webHidden/>
          </w:rPr>
          <w:fldChar w:fldCharType="separate"/>
        </w:r>
        <w:r w:rsidR="0011185B">
          <w:rPr>
            <w:noProof/>
            <w:webHidden/>
          </w:rPr>
          <w:t>107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1" w:history="1">
        <w:r w:rsidR="0011185B" w:rsidRPr="00103B86">
          <w:rPr>
            <w:rStyle w:val="Hyperlink"/>
            <w:rFonts w:cs="Calibri"/>
            <w:noProof/>
            <w:lang w:val="en-US"/>
          </w:rPr>
          <w:t>4.9</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RETURN ON EQUITY</w:t>
        </w:r>
        <w:r w:rsidR="0011185B">
          <w:rPr>
            <w:noProof/>
            <w:webHidden/>
          </w:rPr>
          <w:tab/>
        </w:r>
        <w:r>
          <w:rPr>
            <w:noProof/>
            <w:webHidden/>
          </w:rPr>
          <w:fldChar w:fldCharType="begin"/>
        </w:r>
        <w:r w:rsidR="0011185B">
          <w:rPr>
            <w:noProof/>
            <w:webHidden/>
          </w:rPr>
          <w:instrText xml:space="preserve"> PAGEREF _Toc457355481 \h </w:instrText>
        </w:r>
        <w:r>
          <w:rPr>
            <w:noProof/>
            <w:webHidden/>
          </w:rPr>
        </w:r>
        <w:r>
          <w:rPr>
            <w:noProof/>
            <w:webHidden/>
          </w:rPr>
          <w:fldChar w:fldCharType="separate"/>
        </w:r>
        <w:r w:rsidR="0011185B">
          <w:rPr>
            <w:noProof/>
            <w:webHidden/>
          </w:rPr>
          <w:t>110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82" w:history="1">
        <w:r w:rsidR="0011185B" w:rsidRPr="00103B86">
          <w:rPr>
            <w:rStyle w:val="Hyperlink"/>
            <w:rFonts w:cs="Calibri"/>
            <w:noProof/>
            <w:lang w:val="en-US"/>
          </w:rPr>
          <w:t>4.10</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REVENUE SIDE TRUING UP</w:t>
        </w:r>
        <w:r w:rsidR="0011185B">
          <w:rPr>
            <w:noProof/>
            <w:webHidden/>
          </w:rPr>
          <w:tab/>
        </w:r>
        <w:r>
          <w:rPr>
            <w:noProof/>
            <w:webHidden/>
          </w:rPr>
          <w:fldChar w:fldCharType="begin"/>
        </w:r>
        <w:r w:rsidR="0011185B">
          <w:rPr>
            <w:noProof/>
            <w:webHidden/>
          </w:rPr>
          <w:instrText xml:space="preserve"> PAGEREF _Toc457355482 \h </w:instrText>
        </w:r>
        <w:r>
          <w:rPr>
            <w:noProof/>
            <w:webHidden/>
          </w:rPr>
        </w:r>
        <w:r>
          <w:rPr>
            <w:noProof/>
            <w:webHidden/>
          </w:rPr>
          <w:fldChar w:fldCharType="separate"/>
        </w:r>
        <w:r w:rsidR="0011185B">
          <w:rPr>
            <w:noProof/>
            <w:webHidden/>
          </w:rPr>
          <w:t>110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83" w:history="1">
        <w:r w:rsidR="0011185B" w:rsidRPr="00103B86">
          <w:rPr>
            <w:rStyle w:val="Hyperlink"/>
            <w:rFonts w:cs="Calibri"/>
            <w:noProof/>
            <w:lang w:val="en-US"/>
          </w:rPr>
          <w:t>4.11</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REVENUE FROM SALE OF POWER</w:t>
        </w:r>
        <w:r w:rsidR="0011185B">
          <w:rPr>
            <w:noProof/>
            <w:webHidden/>
          </w:rPr>
          <w:tab/>
        </w:r>
        <w:r>
          <w:rPr>
            <w:noProof/>
            <w:webHidden/>
          </w:rPr>
          <w:fldChar w:fldCharType="begin"/>
        </w:r>
        <w:r w:rsidR="0011185B">
          <w:rPr>
            <w:noProof/>
            <w:webHidden/>
          </w:rPr>
          <w:instrText xml:space="preserve"> PAGEREF _Toc457355483 \h </w:instrText>
        </w:r>
        <w:r>
          <w:rPr>
            <w:noProof/>
            <w:webHidden/>
          </w:rPr>
        </w:r>
        <w:r>
          <w:rPr>
            <w:noProof/>
            <w:webHidden/>
          </w:rPr>
          <w:fldChar w:fldCharType="separate"/>
        </w:r>
        <w:r w:rsidR="0011185B">
          <w:rPr>
            <w:noProof/>
            <w:webHidden/>
          </w:rPr>
          <w:t>110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84" w:history="1">
        <w:r w:rsidR="0011185B" w:rsidRPr="00103B86">
          <w:rPr>
            <w:rStyle w:val="Hyperlink"/>
            <w:rFonts w:cs="Calibri"/>
            <w:noProof/>
            <w:lang w:val="en-US"/>
          </w:rPr>
          <w:t>4.12</w:t>
        </w:r>
        <w:r w:rsidR="0011185B">
          <w:rPr>
            <w:rFonts w:eastAsiaTheme="minorEastAsia" w:cstheme="minorBidi"/>
            <w:smallCaps w:val="0"/>
            <w:noProof/>
            <w:sz w:val="22"/>
            <w:szCs w:val="22"/>
            <w:lang w:val="en-IN" w:eastAsia="en-IN"/>
          </w:rPr>
          <w:tab/>
        </w:r>
        <w:r w:rsidR="0011185B" w:rsidRPr="00103B86">
          <w:rPr>
            <w:rStyle w:val="Hyperlink"/>
            <w:rFonts w:cs="Calibri"/>
            <w:noProof/>
            <w:lang w:val="en-US"/>
          </w:rPr>
          <w:t>ARR AND REVENUE GAP/ (SURPLUS) FOR FY 2013-14 AFTER TRUING UP</w:t>
        </w:r>
        <w:r w:rsidR="0011185B">
          <w:rPr>
            <w:noProof/>
            <w:webHidden/>
          </w:rPr>
          <w:tab/>
        </w:r>
        <w:r>
          <w:rPr>
            <w:noProof/>
            <w:webHidden/>
          </w:rPr>
          <w:fldChar w:fldCharType="begin"/>
        </w:r>
        <w:r w:rsidR="0011185B">
          <w:rPr>
            <w:noProof/>
            <w:webHidden/>
          </w:rPr>
          <w:instrText xml:space="preserve"> PAGEREF _Toc457355484 \h </w:instrText>
        </w:r>
        <w:r>
          <w:rPr>
            <w:noProof/>
            <w:webHidden/>
          </w:rPr>
        </w:r>
        <w:r>
          <w:rPr>
            <w:noProof/>
            <w:webHidden/>
          </w:rPr>
          <w:fldChar w:fldCharType="separate"/>
        </w:r>
        <w:r w:rsidR="0011185B">
          <w:rPr>
            <w:noProof/>
            <w:webHidden/>
          </w:rPr>
          <w:t>111</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485" w:history="1">
        <w:r w:rsidR="0011185B" w:rsidRPr="00103B86">
          <w:rPr>
            <w:rStyle w:val="Hyperlink"/>
            <w:noProof/>
          </w:rPr>
          <w:t>5.</w:t>
        </w:r>
        <w:r w:rsidR="0011185B">
          <w:rPr>
            <w:rFonts w:eastAsiaTheme="minorEastAsia" w:cstheme="minorBidi"/>
            <w:bCs w:val="0"/>
            <w:caps w:val="0"/>
            <w:noProof/>
            <w:sz w:val="22"/>
            <w:szCs w:val="22"/>
            <w:lang w:val="en-IN" w:eastAsia="en-IN"/>
          </w:rPr>
          <w:tab/>
        </w:r>
        <w:r w:rsidR="0011185B" w:rsidRPr="00103B86">
          <w:rPr>
            <w:rStyle w:val="Hyperlink"/>
            <w:noProof/>
          </w:rPr>
          <w:t>ANNUAL REVENUE REQUIREMENT FOR 2016-17</w:t>
        </w:r>
        <w:r w:rsidR="0011185B">
          <w:rPr>
            <w:noProof/>
            <w:webHidden/>
          </w:rPr>
          <w:tab/>
        </w:r>
        <w:r>
          <w:rPr>
            <w:noProof/>
            <w:webHidden/>
          </w:rPr>
          <w:fldChar w:fldCharType="begin"/>
        </w:r>
        <w:r w:rsidR="0011185B">
          <w:rPr>
            <w:noProof/>
            <w:webHidden/>
          </w:rPr>
          <w:instrText xml:space="preserve"> PAGEREF _Toc457355485 \h </w:instrText>
        </w:r>
        <w:r>
          <w:rPr>
            <w:noProof/>
            <w:webHidden/>
          </w:rPr>
        </w:r>
        <w:r>
          <w:rPr>
            <w:noProof/>
            <w:webHidden/>
          </w:rPr>
          <w:fldChar w:fldCharType="separate"/>
        </w:r>
        <w:r w:rsidR="0011185B">
          <w:rPr>
            <w:noProof/>
            <w:webHidden/>
          </w:rPr>
          <w:t>113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6" w:history="1">
        <w:r w:rsidR="0011185B" w:rsidRPr="00103B86">
          <w:rPr>
            <w:rStyle w:val="Hyperlink"/>
            <w:noProof/>
          </w:rPr>
          <w:t>5.1</w:t>
        </w:r>
        <w:r w:rsidR="0011185B">
          <w:rPr>
            <w:rFonts w:eastAsiaTheme="minorEastAsia" w:cstheme="minorBidi"/>
            <w:smallCaps w:val="0"/>
            <w:noProof/>
            <w:sz w:val="22"/>
            <w:szCs w:val="22"/>
            <w:lang w:val="en-IN" w:eastAsia="en-IN"/>
          </w:rPr>
          <w:tab/>
        </w:r>
        <w:r w:rsidR="0011185B" w:rsidRPr="00103B86">
          <w:rPr>
            <w:rStyle w:val="Hyperlink"/>
            <w:noProof/>
          </w:rPr>
          <w:t>INTRODUCTION</w:t>
        </w:r>
        <w:r w:rsidR="0011185B">
          <w:rPr>
            <w:noProof/>
            <w:webHidden/>
          </w:rPr>
          <w:tab/>
        </w:r>
        <w:r>
          <w:rPr>
            <w:noProof/>
            <w:webHidden/>
          </w:rPr>
          <w:fldChar w:fldCharType="begin"/>
        </w:r>
        <w:r w:rsidR="0011185B">
          <w:rPr>
            <w:noProof/>
            <w:webHidden/>
          </w:rPr>
          <w:instrText xml:space="preserve"> PAGEREF _Toc457355486 \h </w:instrText>
        </w:r>
        <w:r>
          <w:rPr>
            <w:noProof/>
            <w:webHidden/>
          </w:rPr>
        </w:r>
        <w:r>
          <w:rPr>
            <w:noProof/>
            <w:webHidden/>
          </w:rPr>
          <w:fldChar w:fldCharType="separate"/>
        </w:r>
        <w:r w:rsidR="0011185B">
          <w:rPr>
            <w:noProof/>
            <w:webHidden/>
          </w:rPr>
          <w:t>113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7" w:history="1">
        <w:r w:rsidR="0011185B" w:rsidRPr="00103B86">
          <w:rPr>
            <w:rStyle w:val="Hyperlink"/>
            <w:noProof/>
          </w:rPr>
          <w:t>5.2</w:t>
        </w:r>
        <w:r w:rsidR="0011185B">
          <w:rPr>
            <w:rFonts w:eastAsiaTheme="minorEastAsia" w:cstheme="minorBidi"/>
            <w:smallCaps w:val="0"/>
            <w:noProof/>
            <w:sz w:val="22"/>
            <w:szCs w:val="22"/>
            <w:lang w:val="en-IN" w:eastAsia="en-IN"/>
          </w:rPr>
          <w:tab/>
        </w:r>
        <w:r w:rsidR="0011185B" w:rsidRPr="00103B86">
          <w:rPr>
            <w:rStyle w:val="Hyperlink"/>
            <w:noProof/>
          </w:rPr>
          <w:t>CONSUMPTION PARAMETERS: CONSUMER NUMBERS, CONNECTED LOAD, SALES</w:t>
        </w:r>
        <w:r w:rsidR="0011185B">
          <w:rPr>
            <w:noProof/>
            <w:webHidden/>
          </w:rPr>
          <w:tab/>
        </w:r>
        <w:r>
          <w:rPr>
            <w:noProof/>
            <w:webHidden/>
          </w:rPr>
          <w:fldChar w:fldCharType="begin"/>
        </w:r>
        <w:r w:rsidR="0011185B">
          <w:rPr>
            <w:noProof/>
            <w:webHidden/>
          </w:rPr>
          <w:instrText xml:space="preserve"> PAGEREF _Toc457355487 \h </w:instrText>
        </w:r>
        <w:r>
          <w:rPr>
            <w:noProof/>
            <w:webHidden/>
          </w:rPr>
        </w:r>
        <w:r>
          <w:rPr>
            <w:noProof/>
            <w:webHidden/>
          </w:rPr>
          <w:fldChar w:fldCharType="separate"/>
        </w:r>
        <w:r w:rsidR="0011185B">
          <w:rPr>
            <w:noProof/>
            <w:webHidden/>
          </w:rPr>
          <w:t>113</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8" w:history="1">
        <w:r w:rsidR="0011185B" w:rsidRPr="00103B86">
          <w:rPr>
            <w:rStyle w:val="Hyperlink"/>
            <w:noProof/>
          </w:rPr>
          <w:t>5.3</w:t>
        </w:r>
        <w:r w:rsidR="0011185B">
          <w:rPr>
            <w:rFonts w:eastAsiaTheme="minorEastAsia" w:cstheme="minorBidi"/>
            <w:smallCaps w:val="0"/>
            <w:noProof/>
            <w:sz w:val="22"/>
            <w:szCs w:val="22"/>
            <w:lang w:val="en-IN" w:eastAsia="en-IN"/>
          </w:rPr>
          <w:tab/>
        </w:r>
        <w:r w:rsidR="0011185B" w:rsidRPr="00103B86">
          <w:rPr>
            <w:rStyle w:val="Hyperlink"/>
            <w:noProof/>
          </w:rPr>
          <w:t>DISTRIBUTION LOSSES AND ENERGY BALANCE</w:t>
        </w:r>
        <w:r w:rsidR="0011185B">
          <w:rPr>
            <w:noProof/>
            <w:webHidden/>
          </w:rPr>
          <w:tab/>
        </w:r>
        <w:r>
          <w:rPr>
            <w:noProof/>
            <w:webHidden/>
          </w:rPr>
          <w:fldChar w:fldCharType="begin"/>
        </w:r>
        <w:r w:rsidR="0011185B">
          <w:rPr>
            <w:noProof/>
            <w:webHidden/>
          </w:rPr>
          <w:instrText xml:space="preserve"> PAGEREF _Toc457355488 \h </w:instrText>
        </w:r>
        <w:r>
          <w:rPr>
            <w:noProof/>
            <w:webHidden/>
          </w:rPr>
        </w:r>
        <w:r>
          <w:rPr>
            <w:noProof/>
            <w:webHidden/>
          </w:rPr>
          <w:fldChar w:fldCharType="separate"/>
        </w:r>
        <w:r w:rsidR="0011185B">
          <w:rPr>
            <w:noProof/>
            <w:webHidden/>
          </w:rPr>
          <w:t>127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89" w:history="1">
        <w:r w:rsidR="0011185B" w:rsidRPr="00103B86">
          <w:rPr>
            <w:rStyle w:val="Hyperlink"/>
            <w:noProof/>
          </w:rPr>
          <w:t>5.4</w:t>
        </w:r>
        <w:r w:rsidR="0011185B">
          <w:rPr>
            <w:rFonts w:eastAsiaTheme="minorEastAsia" w:cstheme="minorBidi"/>
            <w:smallCaps w:val="0"/>
            <w:noProof/>
            <w:sz w:val="22"/>
            <w:szCs w:val="22"/>
            <w:lang w:val="en-IN" w:eastAsia="en-IN"/>
          </w:rPr>
          <w:tab/>
        </w:r>
        <w:r w:rsidR="0011185B" w:rsidRPr="00103B86">
          <w:rPr>
            <w:rStyle w:val="Hyperlink"/>
            <w:noProof/>
          </w:rPr>
          <w:t>ANNUAL REVENUE REQUIREMENT OF KESCO FOR FY 2016-17</w:t>
        </w:r>
        <w:r w:rsidR="0011185B">
          <w:rPr>
            <w:noProof/>
            <w:webHidden/>
          </w:rPr>
          <w:tab/>
        </w:r>
        <w:r>
          <w:rPr>
            <w:noProof/>
            <w:webHidden/>
          </w:rPr>
          <w:fldChar w:fldCharType="begin"/>
        </w:r>
        <w:r w:rsidR="0011185B">
          <w:rPr>
            <w:noProof/>
            <w:webHidden/>
          </w:rPr>
          <w:instrText xml:space="preserve"> PAGEREF _Toc457355489 \h </w:instrText>
        </w:r>
        <w:r>
          <w:rPr>
            <w:noProof/>
            <w:webHidden/>
          </w:rPr>
        </w:r>
        <w:r>
          <w:rPr>
            <w:noProof/>
            <w:webHidden/>
          </w:rPr>
          <w:fldChar w:fldCharType="separate"/>
        </w:r>
        <w:r w:rsidR="0011185B">
          <w:rPr>
            <w:noProof/>
            <w:webHidden/>
          </w:rPr>
          <w:t>137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90" w:history="1">
        <w:r w:rsidR="0011185B" w:rsidRPr="00103B86">
          <w:rPr>
            <w:rStyle w:val="Hyperlink"/>
            <w:noProof/>
          </w:rPr>
          <w:t>5.5</w:t>
        </w:r>
        <w:r w:rsidR="0011185B">
          <w:rPr>
            <w:rFonts w:eastAsiaTheme="minorEastAsia" w:cstheme="minorBidi"/>
            <w:smallCaps w:val="0"/>
            <w:noProof/>
            <w:sz w:val="22"/>
            <w:szCs w:val="22"/>
            <w:lang w:val="en-IN" w:eastAsia="en-IN"/>
          </w:rPr>
          <w:tab/>
        </w:r>
        <w:r w:rsidR="0011185B" w:rsidRPr="00103B86">
          <w:rPr>
            <w:rStyle w:val="Hyperlink"/>
            <w:noProof/>
          </w:rPr>
          <w:t>POWER PROCUREMENT COST</w:t>
        </w:r>
        <w:r w:rsidR="0011185B">
          <w:rPr>
            <w:noProof/>
            <w:webHidden/>
          </w:rPr>
          <w:tab/>
        </w:r>
        <w:r>
          <w:rPr>
            <w:noProof/>
            <w:webHidden/>
          </w:rPr>
          <w:fldChar w:fldCharType="begin"/>
        </w:r>
        <w:r w:rsidR="0011185B">
          <w:rPr>
            <w:noProof/>
            <w:webHidden/>
          </w:rPr>
          <w:instrText xml:space="preserve"> PAGEREF _Toc457355490 \h </w:instrText>
        </w:r>
        <w:r>
          <w:rPr>
            <w:noProof/>
            <w:webHidden/>
          </w:rPr>
        </w:r>
        <w:r>
          <w:rPr>
            <w:noProof/>
            <w:webHidden/>
          </w:rPr>
          <w:fldChar w:fldCharType="separate"/>
        </w:r>
        <w:r w:rsidR="0011185B">
          <w:rPr>
            <w:noProof/>
            <w:webHidden/>
          </w:rPr>
          <w:t>138</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91" w:history="1">
        <w:r w:rsidR="0011185B" w:rsidRPr="00103B86">
          <w:rPr>
            <w:rStyle w:val="Hyperlink"/>
            <w:noProof/>
          </w:rPr>
          <w:t>5.6</w:t>
        </w:r>
        <w:r w:rsidR="0011185B">
          <w:rPr>
            <w:rFonts w:eastAsiaTheme="minorEastAsia" w:cstheme="minorBidi"/>
            <w:smallCaps w:val="0"/>
            <w:noProof/>
            <w:sz w:val="22"/>
            <w:szCs w:val="22"/>
            <w:lang w:val="en-IN" w:eastAsia="en-IN"/>
          </w:rPr>
          <w:tab/>
        </w:r>
        <w:r w:rsidR="0011185B" w:rsidRPr="00103B86">
          <w:rPr>
            <w:rStyle w:val="Hyperlink"/>
            <w:noProof/>
          </w:rPr>
          <w:t>FUEL &amp; POWER PURCHASE COST ADJUSTMENT SURCHARGE (FPPCA)</w:t>
        </w:r>
        <w:r w:rsidR="0011185B">
          <w:rPr>
            <w:noProof/>
            <w:webHidden/>
          </w:rPr>
          <w:tab/>
        </w:r>
        <w:r>
          <w:rPr>
            <w:noProof/>
            <w:webHidden/>
          </w:rPr>
          <w:fldChar w:fldCharType="begin"/>
        </w:r>
        <w:r w:rsidR="0011185B">
          <w:rPr>
            <w:noProof/>
            <w:webHidden/>
          </w:rPr>
          <w:instrText xml:space="preserve"> PAGEREF _Toc457355491 \h </w:instrText>
        </w:r>
        <w:r>
          <w:rPr>
            <w:noProof/>
            <w:webHidden/>
          </w:rPr>
        </w:r>
        <w:r>
          <w:rPr>
            <w:noProof/>
            <w:webHidden/>
          </w:rPr>
          <w:fldChar w:fldCharType="separate"/>
        </w:r>
        <w:r w:rsidR="0011185B">
          <w:rPr>
            <w:noProof/>
            <w:webHidden/>
          </w:rPr>
          <w:t>139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92" w:history="1">
        <w:r w:rsidR="0011185B" w:rsidRPr="00103B86">
          <w:rPr>
            <w:rStyle w:val="Hyperlink"/>
            <w:noProof/>
          </w:rPr>
          <w:t>5.7</w:t>
        </w:r>
        <w:r w:rsidR="0011185B">
          <w:rPr>
            <w:rFonts w:eastAsiaTheme="minorEastAsia" w:cstheme="minorBidi"/>
            <w:smallCaps w:val="0"/>
            <w:noProof/>
            <w:sz w:val="22"/>
            <w:szCs w:val="22"/>
            <w:lang w:val="en-IN" w:eastAsia="en-IN"/>
          </w:rPr>
          <w:tab/>
        </w:r>
        <w:r w:rsidR="0011185B" w:rsidRPr="00103B86">
          <w:rPr>
            <w:rStyle w:val="Hyperlink"/>
            <w:noProof/>
          </w:rPr>
          <w:t>TRANSMISSION AND SLDC CHARGES</w:t>
        </w:r>
        <w:r w:rsidR="0011185B">
          <w:rPr>
            <w:noProof/>
            <w:webHidden/>
          </w:rPr>
          <w:tab/>
        </w:r>
        <w:r>
          <w:rPr>
            <w:noProof/>
            <w:webHidden/>
          </w:rPr>
          <w:fldChar w:fldCharType="begin"/>
        </w:r>
        <w:r w:rsidR="0011185B">
          <w:rPr>
            <w:noProof/>
            <w:webHidden/>
          </w:rPr>
          <w:instrText xml:space="preserve"> PAGEREF _Toc457355492 \h </w:instrText>
        </w:r>
        <w:r>
          <w:rPr>
            <w:noProof/>
            <w:webHidden/>
          </w:rPr>
        </w:r>
        <w:r>
          <w:rPr>
            <w:noProof/>
            <w:webHidden/>
          </w:rPr>
          <w:fldChar w:fldCharType="separate"/>
        </w:r>
        <w:r w:rsidR="0011185B">
          <w:rPr>
            <w:noProof/>
            <w:webHidden/>
          </w:rPr>
          <w:t>148</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93" w:history="1">
        <w:r w:rsidR="0011185B" w:rsidRPr="00103B86">
          <w:rPr>
            <w:rStyle w:val="Hyperlink"/>
            <w:noProof/>
          </w:rPr>
          <w:t>5.8</w:t>
        </w:r>
        <w:r w:rsidR="0011185B">
          <w:rPr>
            <w:rFonts w:eastAsiaTheme="minorEastAsia" w:cstheme="minorBidi"/>
            <w:smallCaps w:val="0"/>
            <w:noProof/>
            <w:sz w:val="22"/>
            <w:szCs w:val="22"/>
            <w:lang w:val="en-IN" w:eastAsia="en-IN"/>
          </w:rPr>
          <w:tab/>
        </w:r>
        <w:r w:rsidR="0011185B" w:rsidRPr="00103B86">
          <w:rPr>
            <w:rStyle w:val="Hyperlink"/>
            <w:noProof/>
          </w:rPr>
          <w:t>ESCALATION INDEX</w:t>
        </w:r>
        <w:r w:rsidR="0011185B">
          <w:rPr>
            <w:noProof/>
            <w:webHidden/>
          </w:rPr>
          <w:tab/>
        </w:r>
        <w:r>
          <w:rPr>
            <w:noProof/>
            <w:webHidden/>
          </w:rPr>
          <w:fldChar w:fldCharType="begin"/>
        </w:r>
        <w:r w:rsidR="0011185B">
          <w:rPr>
            <w:noProof/>
            <w:webHidden/>
          </w:rPr>
          <w:instrText xml:space="preserve"> PAGEREF _Toc457355493 \h </w:instrText>
        </w:r>
        <w:r>
          <w:rPr>
            <w:noProof/>
            <w:webHidden/>
          </w:rPr>
        </w:r>
        <w:r>
          <w:rPr>
            <w:noProof/>
            <w:webHidden/>
          </w:rPr>
          <w:fldChar w:fldCharType="separate"/>
        </w:r>
        <w:r w:rsidR="0011185B">
          <w:rPr>
            <w:noProof/>
            <w:webHidden/>
          </w:rPr>
          <w:t>149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494" w:history="1">
        <w:r w:rsidR="0011185B" w:rsidRPr="00103B86">
          <w:rPr>
            <w:rStyle w:val="Hyperlink"/>
            <w:noProof/>
          </w:rPr>
          <w:t>5.9</w:t>
        </w:r>
        <w:r w:rsidR="0011185B">
          <w:rPr>
            <w:rFonts w:eastAsiaTheme="minorEastAsia" w:cstheme="minorBidi"/>
            <w:smallCaps w:val="0"/>
            <w:noProof/>
            <w:sz w:val="22"/>
            <w:szCs w:val="22"/>
            <w:lang w:val="en-IN" w:eastAsia="en-IN"/>
          </w:rPr>
          <w:tab/>
        </w:r>
        <w:r w:rsidR="0011185B" w:rsidRPr="00103B86">
          <w:rPr>
            <w:rStyle w:val="Hyperlink"/>
            <w:noProof/>
          </w:rPr>
          <w:t>O&amp;M EXPENSES</w:t>
        </w:r>
        <w:r w:rsidR="0011185B">
          <w:rPr>
            <w:noProof/>
            <w:webHidden/>
          </w:rPr>
          <w:tab/>
        </w:r>
        <w:r>
          <w:rPr>
            <w:noProof/>
            <w:webHidden/>
          </w:rPr>
          <w:fldChar w:fldCharType="begin"/>
        </w:r>
        <w:r w:rsidR="0011185B">
          <w:rPr>
            <w:noProof/>
            <w:webHidden/>
          </w:rPr>
          <w:instrText xml:space="preserve"> PAGEREF _Toc457355494 \h </w:instrText>
        </w:r>
        <w:r>
          <w:rPr>
            <w:noProof/>
            <w:webHidden/>
          </w:rPr>
        </w:r>
        <w:r>
          <w:rPr>
            <w:noProof/>
            <w:webHidden/>
          </w:rPr>
          <w:fldChar w:fldCharType="separate"/>
        </w:r>
        <w:r w:rsidR="0011185B">
          <w:rPr>
            <w:noProof/>
            <w:webHidden/>
          </w:rPr>
          <w:t>150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95" w:history="1">
        <w:r w:rsidR="0011185B" w:rsidRPr="00103B86">
          <w:rPr>
            <w:rStyle w:val="Hyperlink"/>
            <w:noProof/>
          </w:rPr>
          <w:t>5.10</w:t>
        </w:r>
        <w:r w:rsidR="0011185B">
          <w:rPr>
            <w:rFonts w:eastAsiaTheme="minorEastAsia" w:cstheme="minorBidi"/>
            <w:smallCaps w:val="0"/>
            <w:noProof/>
            <w:sz w:val="22"/>
            <w:szCs w:val="22"/>
            <w:lang w:val="en-IN" w:eastAsia="en-IN"/>
          </w:rPr>
          <w:tab/>
        </w:r>
        <w:r w:rsidR="0011185B" w:rsidRPr="00103B86">
          <w:rPr>
            <w:rStyle w:val="Hyperlink"/>
            <w:noProof/>
          </w:rPr>
          <w:t>GFA BALANCES AND CAPITAL FORMATION ASSUMPTIONS</w:t>
        </w:r>
        <w:r w:rsidR="0011185B">
          <w:rPr>
            <w:noProof/>
            <w:webHidden/>
          </w:rPr>
          <w:tab/>
        </w:r>
        <w:r>
          <w:rPr>
            <w:noProof/>
            <w:webHidden/>
          </w:rPr>
          <w:fldChar w:fldCharType="begin"/>
        </w:r>
        <w:r w:rsidR="0011185B">
          <w:rPr>
            <w:noProof/>
            <w:webHidden/>
          </w:rPr>
          <w:instrText xml:space="preserve"> PAGEREF _Toc457355495 \h </w:instrText>
        </w:r>
        <w:r>
          <w:rPr>
            <w:noProof/>
            <w:webHidden/>
          </w:rPr>
        </w:r>
        <w:r>
          <w:rPr>
            <w:noProof/>
            <w:webHidden/>
          </w:rPr>
          <w:fldChar w:fldCharType="separate"/>
        </w:r>
        <w:r w:rsidR="0011185B">
          <w:rPr>
            <w:noProof/>
            <w:webHidden/>
          </w:rPr>
          <w:t>152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96" w:history="1">
        <w:r w:rsidR="0011185B" w:rsidRPr="00103B86">
          <w:rPr>
            <w:rStyle w:val="Hyperlink"/>
            <w:noProof/>
          </w:rPr>
          <w:t>5.11</w:t>
        </w:r>
        <w:r w:rsidR="0011185B">
          <w:rPr>
            <w:rFonts w:eastAsiaTheme="minorEastAsia" w:cstheme="minorBidi"/>
            <w:smallCaps w:val="0"/>
            <w:noProof/>
            <w:sz w:val="22"/>
            <w:szCs w:val="22"/>
            <w:lang w:val="en-IN" w:eastAsia="en-IN"/>
          </w:rPr>
          <w:tab/>
        </w:r>
        <w:r w:rsidR="0011185B" w:rsidRPr="00103B86">
          <w:rPr>
            <w:rStyle w:val="Hyperlink"/>
            <w:noProof/>
          </w:rPr>
          <w:t>FINANCING OF THE CAPITAL INVESTMENT</w:t>
        </w:r>
        <w:r w:rsidR="0011185B">
          <w:rPr>
            <w:noProof/>
            <w:webHidden/>
          </w:rPr>
          <w:tab/>
        </w:r>
        <w:r>
          <w:rPr>
            <w:noProof/>
            <w:webHidden/>
          </w:rPr>
          <w:fldChar w:fldCharType="begin"/>
        </w:r>
        <w:r w:rsidR="0011185B">
          <w:rPr>
            <w:noProof/>
            <w:webHidden/>
          </w:rPr>
          <w:instrText xml:space="preserve"> PAGEREF _Toc457355496 \h </w:instrText>
        </w:r>
        <w:r>
          <w:rPr>
            <w:noProof/>
            <w:webHidden/>
          </w:rPr>
        </w:r>
        <w:r>
          <w:rPr>
            <w:noProof/>
            <w:webHidden/>
          </w:rPr>
          <w:fldChar w:fldCharType="separate"/>
        </w:r>
        <w:r w:rsidR="0011185B">
          <w:rPr>
            <w:noProof/>
            <w:webHidden/>
          </w:rPr>
          <w:t>156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97" w:history="1">
        <w:r w:rsidR="0011185B" w:rsidRPr="00103B86">
          <w:rPr>
            <w:rStyle w:val="Hyperlink"/>
            <w:noProof/>
          </w:rPr>
          <w:t>5.12</w:t>
        </w:r>
        <w:r w:rsidR="0011185B">
          <w:rPr>
            <w:rFonts w:eastAsiaTheme="minorEastAsia" w:cstheme="minorBidi"/>
            <w:smallCaps w:val="0"/>
            <w:noProof/>
            <w:sz w:val="22"/>
            <w:szCs w:val="22"/>
            <w:lang w:val="en-IN" w:eastAsia="en-IN"/>
          </w:rPr>
          <w:tab/>
        </w:r>
        <w:r w:rsidR="0011185B" w:rsidRPr="00103B86">
          <w:rPr>
            <w:rStyle w:val="Hyperlink"/>
            <w:noProof/>
          </w:rPr>
          <w:t>DEPRECIATION EXPENSE</w:t>
        </w:r>
        <w:r w:rsidR="0011185B">
          <w:rPr>
            <w:noProof/>
            <w:webHidden/>
          </w:rPr>
          <w:tab/>
        </w:r>
        <w:r>
          <w:rPr>
            <w:noProof/>
            <w:webHidden/>
          </w:rPr>
          <w:fldChar w:fldCharType="begin"/>
        </w:r>
        <w:r w:rsidR="0011185B">
          <w:rPr>
            <w:noProof/>
            <w:webHidden/>
          </w:rPr>
          <w:instrText xml:space="preserve"> PAGEREF _Toc457355497 \h </w:instrText>
        </w:r>
        <w:r>
          <w:rPr>
            <w:noProof/>
            <w:webHidden/>
          </w:rPr>
        </w:r>
        <w:r>
          <w:rPr>
            <w:noProof/>
            <w:webHidden/>
          </w:rPr>
          <w:fldChar w:fldCharType="separate"/>
        </w:r>
        <w:r w:rsidR="0011185B">
          <w:rPr>
            <w:noProof/>
            <w:webHidden/>
          </w:rPr>
          <w:t>158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98" w:history="1">
        <w:r w:rsidR="0011185B" w:rsidRPr="00103B86">
          <w:rPr>
            <w:rStyle w:val="Hyperlink"/>
            <w:noProof/>
          </w:rPr>
          <w:t>5.13</w:t>
        </w:r>
        <w:r w:rsidR="0011185B">
          <w:rPr>
            <w:rFonts w:eastAsiaTheme="minorEastAsia" w:cstheme="minorBidi"/>
            <w:smallCaps w:val="0"/>
            <w:noProof/>
            <w:sz w:val="22"/>
            <w:szCs w:val="22"/>
            <w:lang w:val="en-IN" w:eastAsia="en-IN"/>
          </w:rPr>
          <w:tab/>
        </w:r>
        <w:r w:rsidR="0011185B" w:rsidRPr="00103B86">
          <w:rPr>
            <w:rStyle w:val="Hyperlink"/>
            <w:noProof/>
          </w:rPr>
          <w:t>INTEREST AND FINANCING COST</w:t>
        </w:r>
        <w:r w:rsidR="0011185B">
          <w:rPr>
            <w:noProof/>
            <w:webHidden/>
          </w:rPr>
          <w:tab/>
        </w:r>
        <w:r>
          <w:rPr>
            <w:noProof/>
            <w:webHidden/>
          </w:rPr>
          <w:fldChar w:fldCharType="begin"/>
        </w:r>
        <w:r w:rsidR="0011185B">
          <w:rPr>
            <w:noProof/>
            <w:webHidden/>
          </w:rPr>
          <w:instrText xml:space="preserve"> PAGEREF _Toc457355498 \h </w:instrText>
        </w:r>
        <w:r>
          <w:rPr>
            <w:noProof/>
            <w:webHidden/>
          </w:rPr>
        </w:r>
        <w:r>
          <w:rPr>
            <w:noProof/>
            <w:webHidden/>
          </w:rPr>
          <w:fldChar w:fldCharType="separate"/>
        </w:r>
        <w:r w:rsidR="0011185B">
          <w:rPr>
            <w:noProof/>
            <w:webHidden/>
          </w:rPr>
          <w:t>162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499" w:history="1">
        <w:r w:rsidR="0011185B" w:rsidRPr="00103B86">
          <w:rPr>
            <w:rStyle w:val="Hyperlink"/>
            <w:noProof/>
          </w:rPr>
          <w:t>5.14</w:t>
        </w:r>
        <w:r w:rsidR="0011185B">
          <w:rPr>
            <w:rFonts w:eastAsiaTheme="minorEastAsia" w:cstheme="minorBidi"/>
            <w:smallCaps w:val="0"/>
            <w:noProof/>
            <w:sz w:val="22"/>
            <w:szCs w:val="22"/>
            <w:lang w:val="en-IN" w:eastAsia="en-IN"/>
          </w:rPr>
          <w:tab/>
        </w:r>
        <w:r w:rsidR="0011185B" w:rsidRPr="00103B86">
          <w:rPr>
            <w:rStyle w:val="Hyperlink"/>
            <w:noProof/>
          </w:rPr>
          <w:t>PROVISION FOR BAD AND DOUBTFUL DEBTS</w:t>
        </w:r>
        <w:r w:rsidR="0011185B">
          <w:rPr>
            <w:noProof/>
            <w:webHidden/>
          </w:rPr>
          <w:tab/>
        </w:r>
        <w:r>
          <w:rPr>
            <w:noProof/>
            <w:webHidden/>
          </w:rPr>
          <w:fldChar w:fldCharType="begin"/>
        </w:r>
        <w:r w:rsidR="0011185B">
          <w:rPr>
            <w:noProof/>
            <w:webHidden/>
          </w:rPr>
          <w:instrText xml:space="preserve"> PAGEREF _Toc457355499 \h </w:instrText>
        </w:r>
        <w:r>
          <w:rPr>
            <w:noProof/>
            <w:webHidden/>
          </w:rPr>
        </w:r>
        <w:r>
          <w:rPr>
            <w:noProof/>
            <w:webHidden/>
          </w:rPr>
          <w:fldChar w:fldCharType="separate"/>
        </w:r>
        <w:r w:rsidR="0011185B">
          <w:rPr>
            <w:noProof/>
            <w:webHidden/>
          </w:rPr>
          <w:t>167</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0" w:history="1">
        <w:r w:rsidR="0011185B" w:rsidRPr="00103B86">
          <w:rPr>
            <w:rStyle w:val="Hyperlink"/>
            <w:noProof/>
          </w:rPr>
          <w:t>5.15</w:t>
        </w:r>
        <w:r w:rsidR="0011185B">
          <w:rPr>
            <w:rFonts w:eastAsiaTheme="minorEastAsia" w:cstheme="minorBidi"/>
            <w:smallCaps w:val="0"/>
            <w:noProof/>
            <w:sz w:val="22"/>
            <w:szCs w:val="22"/>
            <w:lang w:val="en-IN" w:eastAsia="en-IN"/>
          </w:rPr>
          <w:tab/>
        </w:r>
        <w:r w:rsidR="0011185B" w:rsidRPr="00103B86">
          <w:rPr>
            <w:rStyle w:val="Hyperlink"/>
            <w:noProof/>
          </w:rPr>
          <w:t>OTHER INCOME</w:t>
        </w:r>
        <w:r w:rsidR="0011185B">
          <w:rPr>
            <w:noProof/>
            <w:webHidden/>
          </w:rPr>
          <w:tab/>
        </w:r>
        <w:r>
          <w:rPr>
            <w:noProof/>
            <w:webHidden/>
          </w:rPr>
          <w:fldChar w:fldCharType="begin"/>
        </w:r>
        <w:r w:rsidR="0011185B">
          <w:rPr>
            <w:noProof/>
            <w:webHidden/>
          </w:rPr>
          <w:instrText xml:space="preserve"> PAGEREF _Toc457355500 \h </w:instrText>
        </w:r>
        <w:r>
          <w:rPr>
            <w:noProof/>
            <w:webHidden/>
          </w:rPr>
        </w:r>
        <w:r>
          <w:rPr>
            <w:noProof/>
            <w:webHidden/>
          </w:rPr>
          <w:fldChar w:fldCharType="separate"/>
        </w:r>
        <w:r w:rsidR="0011185B">
          <w:rPr>
            <w:noProof/>
            <w:webHidden/>
          </w:rPr>
          <w:t>170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1" w:history="1">
        <w:r w:rsidR="0011185B" w:rsidRPr="00103B86">
          <w:rPr>
            <w:rStyle w:val="Hyperlink"/>
            <w:noProof/>
          </w:rPr>
          <w:t>5.16</w:t>
        </w:r>
        <w:r w:rsidR="0011185B">
          <w:rPr>
            <w:rFonts w:eastAsiaTheme="minorEastAsia" w:cstheme="minorBidi"/>
            <w:smallCaps w:val="0"/>
            <w:noProof/>
            <w:sz w:val="22"/>
            <w:szCs w:val="22"/>
            <w:lang w:val="en-IN" w:eastAsia="en-IN"/>
          </w:rPr>
          <w:tab/>
        </w:r>
        <w:r w:rsidR="0011185B" w:rsidRPr="00103B86">
          <w:rPr>
            <w:rStyle w:val="Hyperlink"/>
            <w:noProof/>
          </w:rPr>
          <w:t>RETURN ON EQUITY</w:t>
        </w:r>
        <w:r w:rsidR="0011185B">
          <w:rPr>
            <w:noProof/>
            <w:webHidden/>
          </w:rPr>
          <w:tab/>
        </w:r>
        <w:r>
          <w:rPr>
            <w:noProof/>
            <w:webHidden/>
          </w:rPr>
          <w:fldChar w:fldCharType="begin"/>
        </w:r>
        <w:r w:rsidR="0011185B">
          <w:rPr>
            <w:noProof/>
            <w:webHidden/>
          </w:rPr>
          <w:instrText xml:space="preserve"> PAGEREF _Toc457355501 \h </w:instrText>
        </w:r>
        <w:r>
          <w:rPr>
            <w:noProof/>
            <w:webHidden/>
          </w:rPr>
        </w:r>
        <w:r>
          <w:rPr>
            <w:noProof/>
            <w:webHidden/>
          </w:rPr>
          <w:fldChar w:fldCharType="separate"/>
        </w:r>
        <w:r w:rsidR="0011185B">
          <w:rPr>
            <w:noProof/>
            <w:webHidden/>
          </w:rPr>
          <w:t>170</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2" w:history="1">
        <w:r w:rsidR="0011185B" w:rsidRPr="00103B86">
          <w:rPr>
            <w:rStyle w:val="Hyperlink"/>
            <w:noProof/>
          </w:rPr>
          <w:t>5.17</w:t>
        </w:r>
        <w:r w:rsidR="0011185B">
          <w:rPr>
            <w:rFonts w:eastAsiaTheme="minorEastAsia" w:cstheme="minorBidi"/>
            <w:smallCaps w:val="0"/>
            <w:noProof/>
            <w:sz w:val="22"/>
            <w:szCs w:val="22"/>
            <w:lang w:val="en-IN" w:eastAsia="en-IN"/>
          </w:rPr>
          <w:tab/>
        </w:r>
        <w:r w:rsidR="0011185B" w:rsidRPr="00103B86">
          <w:rPr>
            <w:rStyle w:val="Hyperlink"/>
            <w:noProof/>
          </w:rPr>
          <w:t>CONTRIBUTION TO CONTINGENCY RESERVE</w:t>
        </w:r>
        <w:r w:rsidR="0011185B">
          <w:rPr>
            <w:noProof/>
            <w:webHidden/>
          </w:rPr>
          <w:tab/>
        </w:r>
        <w:r>
          <w:rPr>
            <w:noProof/>
            <w:webHidden/>
          </w:rPr>
          <w:fldChar w:fldCharType="begin"/>
        </w:r>
        <w:r w:rsidR="0011185B">
          <w:rPr>
            <w:noProof/>
            <w:webHidden/>
          </w:rPr>
          <w:instrText xml:space="preserve"> PAGEREF _Toc457355502 \h </w:instrText>
        </w:r>
        <w:r>
          <w:rPr>
            <w:noProof/>
            <w:webHidden/>
          </w:rPr>
        </w:r>
        <w:r>
          <w:rPr>
            <w:noProof/>
            <w:webHidden/>
          </w:rPr>
          <w:fldChar w:fldCharType="separate"/>
        </w:r>
        <w:r w:rsidR="0011185B">
          <w:rPr>
            <w:noProof/>
            <w:webHidden/>
          </w:rPr>
          <w:t>172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3" w:history="1">
        <w:r w:rsidR="0011185B" w:rsidRPr="00103B86">
          <w:rPr>
            <w:rStyle w:val="Hyperlink"/>
            <w:noProof/>
          </w:rPr>
          <w:t>5.18</w:t>
        </w:r>
        <w:r w:rsidR="0011185B">
          <w:rPr>
            <w:rFonts w:eastAsiaTheme="minorEastAsia" w:cstheme="minorBidi"/>
            <w:smallCaps w:val="0"/>
            <w:noProof/>
            <w:sz w:val="22"/>
            <w:szCs w:val="22"/>
            <w:lang w:val="en-IN" w:eastAsia="en-IN"/>
          </w:rPr>
          <w:tab/>
        </w:r>
        <w:r w:rsidR="0011185B" w:rsidRPr="00103B86">
          <w:rPr>
            <w:rStyle w:val="Hyperlink"/>
            <w:noProof/>
          </w:rPr>
          <w:t>APPORTIONMENT OF O&amp;M EXPENSES AND INTEREST &amp; FINANCE CHARGES OF UPPCL</w:t>
        </w:r>
        <w:r w:rsidR="0011185B">
          <w:rPr>
            <w:noProof/>
            <w:webHidden/>
          </w:rPr>
          <w:tab/>
        </w:r>
        <w:r>
          <w:rPr>
            <w:noProof/>
            <w:webHidden/>
          </w:rPr>
          <w:fldChar w:fldCharType="begin"/>
        </w:r>
        <w:r w:rsidR="0011185B">
          <w:rPr>
            <w:noProof/>
            <w:webHidden/>
          </w:rPr>
          <w:instrText xml:space="preserve"> PAGEREF _Toc457355503 \h </w:instrText>
        </w:r>
        <w:r>
          <w:rPr>
            <w:noProof/>
            <w:webHidden/>
          </w:rPr>
        </w:r>
        <w:r>
          <w:rPr>
            <w:noProof/>
            <w:webHidden/>
          </w:rPr>
          <w:fldChar w:fldCharType="separate"/>
        </w:r>
        <w:r w:rsidR="0011185B">
          <w:rPr>
            <w:noProof/>
            <w:webHidden/>
          </w:rPr>
          <w:t>172</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4" w:history="1">
        <w:r w:rsidR="0011185B" w:rsidRPr="00103B86">
          <w:rPr>
            <w:rStyle w:val="Hyperlink"/>
            <w:noProof/>
          </w:rPr>
          <w:t>5.19</w:t>
        </w:r>
        <w:r w:rsidR="0011185B">
          <w:rPr>
            <w:rFonts w:eastAsiaTheme="minorEastAsia" w:cstheme="minorBidi"/>
            <w:smallCaps w:val="0"/>
            <w:noProof/>
            <w:sz w:val="22"/>
            <w:szCs w:val="22"/>
            <w:lang w:val="en-IN" w:eastAsia="en-IN"/>
          </w:rPr>
          <w:tab/>
        </w:r>
        <w:r w:rsidR="0011185B" w:rsidRPr="00103B86">
          <w:rPr>
            <w:rStyle w:val="Hyperlink"/>
            <w:noProof/>
          </w:rPr>
          <w:t>REVENUE FROM SALE OF ELECTRICITY</w:t>
        </w:r>
        <w:r w:rsidR="0011185B">
          <w:rPr>
            <w:noProof/>
            <w:webHidden/>
          </w:rPr>
          <w:tab/>
        </w:r>
        <w:r>
          <w:rPr>
            <w:noProof/>
            <w:webHidden/>
          </w:rPr>
          <w:fldChar w:fldCharType="begin"/>
        </w:r>
        <w:r w:rsidR="0011185B">
          <w:rPr>
            <w:noProof/>
            <w:webHidden/>
          </w:rPr>
          <w:instrText xml:space="preserve"> PAGEREF _Toc457355504 \h </w:instrText>
        </w:r>
        <w:r>
          <w:rPr>
            <w:noProof/>
            <w:webHidden/>
          </w:rPr>
        </w:r>
        <w:r>
          <w:rPr>
            <w:noProof/>
            <w:webHidden/>
          </w:rPr>
          <w:fldChar w:fldCharType="separate"/>
        </w:r>
        <w:r w:rsidR="0011185B">
          <w:rPr>
            <w:noProof/>
            <w:webHidden/>
          </w:rPr>
          <w:t>173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05" w:history="1">
        <w:r w:rsidR="0011185B" w:rsidRPr="00103B86">
          <w:rPr>
            <w:rStyle w:val="Hyperlink"/>
            <w:noProof/>
          </w:rPr>
          <w:t>5.20</w:t>
        </w:r>
        <w:r w:rsidR="0011185B">
          <w:rPr>
            <w:rFonts w:eastAsiaTheme="minorEastAsia" w:cstheme="minorBidi"/>
            <w:smallCaps w:val="0"/>
            <w:noProof/>
            <w:sz w:val="22"/>
            <w:szCs w:val="22"/>
            <w:lang w:val="en-IN" w:eastAsia="en-IN"/>
          </w:rPr>
          <w:tab/>
        </w:r>
        <w:r w:rsidR="0011185B" w:rsidRPr="00103B86">
          <w:rPr>
            <w:rStyle w:val="Hyperlink"/>
            <w:noProof/>
          </w:rPr>
          <w:t>APPROVED ARR SUMMARY, REVENUE FROM TARIFFS AND RESULTANT GAP</w:t>
        </w:r>
        <w:r w:rsidR="0011185B">
          <w:rPr>
            <w:noProof/>
            <w:webHidden/>
          </w:rPr>
          <w:tab/>
        </w:r>
        <w:r>
          <w:rPr>
            <w:noProof/>
            <w:webHidden/>
          </w:rPr>
          <w:fldChar w:fldCharType="begin"/>
        </w:r>
        <w:r w:rsidR="0011185B">
          <w:rPr>
            <w:noProof/>
            <w:webHidden/>
          </w:rPr>
          <w:instrText xml:space="preserve"> PAGEREF _Toc457355505 \h </w:instrText>
        </w:r>
        <w:r>
          <w:rPr>
            <w:noProof/>
            <w:webHidden/>
          </w:rPr>
        </w:r>
        <w:r>
          <w:rPr>
            <w:noProof/>
            <w:webHidden/>
          </w:rPr>
          <w:fldChar w:fldCharType="separate"/>
        </w:r>
        <w:r w:rsidR="0011185B">
          <w:rPr>
            <w:noProof/>
            <w:webHidden/>
          </w:rPr>
          <w:t>174</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06" w:history="1">
        <w:r w:rsidR="0011185B" w:rsidRPr="00103B86">
          <w:rPr>
            <w:rStyle w:val="Hyperlink"/>
            <w:noProof/>
          </w:rPr>
          <w:t>6.</w:t>
        </w:r>
        <w:r w:rsidR="0011185B">
          <w:rPr>
            <w:rFonts w:eastAsiaTheme="minorEastAsia" w:cstheme="minorBidi"/>
            <w:bCs w:val="0"/>
            <w:caps w:val="0"/>
            <w:noProof/>
            <w:sz w:val="22"/>
            <w:szCs w:val="22"/>
            <w:lang w:val="en-IN" w:eastAsia="en-IN"/>
          </w:rPr>
          <w:tab/>
        </w:r>
        <w:r w:rsidR="0011185B" w:rsidRPr="00103B86">
          <w:rPr>
            <w:rStyle w:val="Hyperlink"/>
            <w:noProof/>
          </w:rPr>
          <w:t>OPEN ACCESS CHARGES</w:t>
        </w:r>
        <w:r w:rsidR="0011185B">
          <w:rPr>
            <w:noProof/>
            <w:webHidden/>
          </w:rPr>
          <w:tab/>
        </w:r>
        <w:r>
          <w:rPr>
            <w:noProof/>
            <w:webHidden/>
          </w:rPr>
          <w:fldChar w:fldCharType="begin"/>
        </w:r>
        <w:r w:rsidR="0011185B">
          <w:rPr>
            <w:noProof/>
            <w:webHidden/>
          </w:rPr>
          <w:instrText xml:space="preserve"> PAGEREF _Toc457355506 \h </w:instrText>
        </w:r>
        <w:r>
          <w:rPr>
            <w:noProof/>
            <w:webHidden/>
          </w:rPr>
        </w:r>
        <w:r>
          <w:rPr>
            <w:noProof/>
            <w:webHidden/>
          </w:rPr>
          <w:fldChar w:fldCharType="separate"/>
        </w:r>
        <w:r w:rsidR="0011185B">
          <w:rPr>
            <w:noProof/>
            <w:webHidden/>
          </w:rPr>
          <w:t>176</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07" w:history="1">
        <w:r w:rsidR="0011185B" w:rsidRPr="00103B86">
          <w:rPr>
            <w:rStyle w:val="Hyperlink"/>
            <w:rFonts w:cs="Calibri"/>
            <w:noProof/>
          </w:rPr>
          <w:t>6.2</w:t>
        </w:r>
        <w:r w:rsidR="0011185B">
          <w:rPr>
            <w:rFonts w:eastAsiaTheme="minorEastAsia" w:cstheme="minorBidi"/>
            <w:smallCaps w:val="0"/>
            <w:noProof/>
            <w:sz w:val="22"/>
            <w:szCs w:val="22"/>
            <w:lang w:val="en-IN" w:eastAsia="en-IN"/>
          </w:rPr>
          <w:tab/>
        </w:r>
        <w:r w:rsidR="0011185B" w:rsidRPr="00103B86">
          <w:rPr>
            <w:rStyle w:val="Hyperlink"/>
            <w:rFonts w:cs="Calibri"/>
            <w:noProof/>
          </w:rPr>
          <w:t>BACKGROUND:</w:t>
        </w:r>
        <w:r w:rsidR="0011185B">
          <w:rPr>
            <w:noProof/>
            <w:webHidden/>
          </w:rPr>
          <w:tab/>
        </w:r>
        <w:r>
          <w:rPr>
            <w:noProof/>
            <w:webHidden/>
          </w:rPr>
          <w:fldChar w:fldCharType="begin"/>
        </w:r>
        <w:r w:rsidR="0011185B">
          <w:rPr>
            <w:noProof/>
            <w:webHidden/>
          </w:rPr>
          <w:instrText xml:space="preserve"> PAGEREF _Toc457355507 \h </w:instrText>
        </w:r>
        <w:r>
          <w:rPr>
            <w:noProof/>
            <w:webHidden/>
          </w:rPr>
        </w:r>
        <w:r>
          <w:rPr>
            <w:noProof/>
            <w:webHidden/>
          </w:rPr>
          <w:fldChar w:fldCharType="separate"/>
        </w:r>
        <w:r w:rsidR="0011185B">
          <w:rPr>
            <w:noProof/>
            <w:webHidden/>
          </w:rPr>
          <w:t>176</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08" w:history="1">
        <w:r w:rsidR="0011185B" w:rsidRPr="00103B86">
          <w:rPr>
            <w:rStyle w:val="Hyperlink"/>
            <w:rFonts w:cs="Calibri"/>
            <w:noProof/>
          </w:rPr>
          <w:t>6.3</w:t>
        </w:r>
        <w:r w:rsidR="0011185B">
          <w:rPr>
            <w:rFonts w:eastAsiaTheme="minorEastAsia" w:cstheme="minorBidi"/>
            <w:smallCaps w:val="0"/>
            <w:noProof/>
            <w:sz w:val="22"/>
            <w:szCs w:val="22"/>
            <w:lang w:val="en-IN" w:eastAsia="en-IN"/>
          </w:rPr>
          <w:tab/>
        </w:r>
        <w:r w:rsidR="0011185B" w:rsidRPr="00103B86">
          <w:rPr>
            <w:rStyle w:val="Hyperlink"/>
            <w:rFonts w:cs="Calibri"/>
            <w:noProof/>
          </w:rPr>
          <w:t>OPEN ACCESS CHARGES</w:t>
        </w:r>
        <w:r w:rsidR="0011185B">
          <w:rPr>
            <w:noProof/>
            <w:webHidden/>
          </w:rPr>
          <w:tab/>
        </w:r>
        <w:r>
          <w:rPr>
            <w:noProof/>
            <w:webHidden/>
          </w:rPr>
          <w:fldChar w:fldCharType="begin"/>
        </w:r>
        <w:r w:rsidR="0011185B">
          <w:rPr>
            <w:noProof/>
            <w:webHidden/>
          </w:rPr>
          <w:instrText xml:space="preserve"> PAGEREF _Toc457355508 \h </w:instrText>
        </w:r>
        <w:r>
          <w:rPr>
            <w:noProof/>
            <w:webHidden/>
          </w:rPr>
        </w:r>
        <w:r>
          <w:rPr>
            <w:noProof/>
            <w:webHidden/>
          </w:rPr>
          <w:fldChar w:fldCharType="separate"/>
        </w:r>
        <w:r w:rsidR="0011185B">
          <w:rPr>
            <w:noProof/>
            <w:webHidden/>
          </w:rPr>
          <w:t>179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09" w:history="1">
        <w:r w:rsidR="0011185B" w:rsidRPr="00103B86">
          <w:rPr>
            <w:rStyle w:val="Hyperlink"/>
            <w:rFonts w:cs="Calibri"/>
            <w:noProof/>
          </w:rPr>
          <w:t>6.4</w:t>
        </w:r>
        <w:r w:rsidR="0011185B">
          <w:rPr>
            <w:rFonts w:eastAsiaTheme="minorEastAsia" w:cstheme="minorBidi"/>
            <w:smallCaps w:val="0"/>
            <w:noProof/>
            <w:sz w:val="22"/>
            <w:szCs w:val="22"/>
            <w:lang w:val="en-IN" w:eastAsia="en-IN"/>
          </w:rPr>
          <w:tab/>
        </w:r>
        <w:r w:rsidR="0011185B" w:rsidRPr="00103B86">
          <w:rPr>
            <w:rStyle w:val="Hyperlink"/>
            <w:rFonts w:cs="Calibri"/>
            <w:noProof/>
          </w:rPr>
          <w:t>WHEELING CHARGES</w:t>
        </w:r>
        <w:r w:rsidR="0011185B">
          <w:rPr>
            <w:noProof/>
            <w:webHidden/>
          </w:rPr>
          <w:tab/>
        </w:r>
        <w:r>
          <w:rPr>
            <w:noProof/>
            <w:webHidden/>
          </w:rPr>
          <w:fldChar w:fldCharType="begin"/>
        </w:r>
        <w:r w:rsidR="0011185B">
          <w:rPr>
            <w:noProof/>
            <w:webHidden/>
          </w:rPr>
          <w:instrText xml:space="preserve"> PAGEREF _Toc457355509 \h </w:instrText>
        </w:r>
        <w:r>
          <w:rPr>
            <w:noProof/>
            <w:webHidden/>
          </w:rPr>
        </w:r>
        <w:r>
          <w:rPr>
            <w:noProof/>
            <w:webHidden/>
          </w:rPr>
          <w:fldChar w:fldCharType="separate"/>
        </w:r>
        <w:r w:rsidR="0011185B">
          <w:rPr>
            <w:noProof/>
            <w:webHidden/>
          </w:rPr>
          <w:t>180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0" w:history="1">
        <w:r w:rsidR="0011185B" w:rsidRPr="00103B86">
          <w:rPr>
            <w:rStyle w:val="Hyperlink"/>
            <w:rFonts w:cs="Calibri"/>
            <w:noProof/>
          </w:rPr>
          <w:t>6.5</w:t>
        </w:r>
        <w:r w:rsidR="0011185B">
          <w:rPr>
            <w:rFonts w:eastAsiaTheme="minorEastAsia" w:cstheme="minorBidi"/>
            <w:smallCaps w:val="0"/>
            <w:noProof/>
            <w:sz w:val="22"/>
            <w:szCs w:val="22"/>
            <w:lang w:val="en-IN" w:eastAsia="en-IN"/>
          </w:rPr>
          <w:tab/>
        </w:r>
        <w:r w:rsidR="0011185B" w:rsidRPr="00103B86">
          <w:rPr>
            <w:rStyle w:val="Hyperlink"/>
            <w:rFonts w:cs="Calibri"/>
            <w:noProof/>
          </w:rPr>
          <w:t>CROSS SUBSIDY SURCHARGE</w:t>
        </w:r>
        <w:r w:rsidR="0011185B">
          <w:rPr>
            <w:noProof/>
            <w:webHidden/>
          </w:rPr>
          <w:tab/>
        </w:r>
        <w:r>
          <w:rPr>
            <w:noProof/>
            <w:webHidden/>
          </w:rPr>
          <w:fldChar w:fldCharType="begin"/>
        </w:r>
        <w:r w:rsidR="0011185B">
          <w:rPr>
            <w:noProof/>
            <w:webHidden/>
          </w:rPr>
          <w:instrText xml:space="preserve"> PAGEREF _Toc457355510 \h </w:instrText>
        </w:r>
        <w:r>
          <w:rPr>
            <w:noProof/>
            <w:webHidden/>
          </w:rPr>
        </w:r>
        <w:r>
          <w:rPr>
            <w:noProof/>
            <w:webHidden/>
          </w:rPr>
          <w:fldChar w:fldCharType="separate"/>
        </w:r>
        <w:r w:rsidR="0011185B">
          <w:rPr>
            <w:noProof/>
            <w:webHidden/>
          </w:rPr>
          <w:t>182</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1" w:history="1">
        <w:r w:rsidR="0011185B" w:rsidRPr="00103B86">
          <w:rPr>
            <w:rStyle w:val="Hyperlink"/>
            <w:rFonts w:cs="Calibri"/>
            <w:noProof/>
          </w:rPr>
          <w:t>6.6</w:t>
        </w:r>
        <w:r w:rsidR="0011185B">
          <w:rPr>
            <w:rFonts w:eastAsiaTheme="minorEastAsia" w:cstheme="minorBidi"/>
            <w:smallCaps w:val="0"/>
            <w:noProof/>
            <w:sz w:val="22"/>
            <w:szCs w:val="22"/>
            <w:lang w:val="en-IN" w:eastAsia="en-IN"/>
          </w:rPr>
          <w:tab/>
        </w:r>
        <w:r w:rsidR="0011185B" w:rsidRPr="00103B86">
          <w:rPr>
            <w:rStyle w:val="Hyperlink"/>
            <w:rFonts w:cs="Calibri"/>
            <w:noProof/>
          </w:rPr>
          <w:t>ADDITIONAL SURCHARGE</w:t>
        </w:r>
        <w:r w:rsidR="0011185B">
          <w:rPr>
            <w:noProof/>
            <w:webHidden/>
          </w:rPr>
          <w:tab/>
        </w:r>
        <w:r>
          <w:rPr>
            <w:noProof/>
            <w:webHidden/>
          </w:rPr>
          <w:fldChar w:fldCharType="begin"/>
        </w:r>
        <w:r w:rsidR="0011185B">
          <w:rPr>
            <w:noProof/>
            <w:webHidden/>
          </w:rPr>
          <w:instrText xml:space="preserve"> PAGEREF _Toc457355511 \h </w:instrText>
        </w:r>
        <w:r>
          <w:rPr>
            <w:noProof/>
            <w:webHidden/>
          </w:rPr>
        </w:r>
        <w:r>
          <w:rPr>
            <w:noProof/>
            <w:webHidden/>
          </w:rPr>
          <w:fldChar w:fldCharType="separate"/>
        </w:r>
        <w:r w:rsidR="0011185B">
          <w:rPr>
            <w:noProof/>
            <w:webHidden/>
          </w:rPr>
          <w:t>186</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2" w:history="1">
        <w:r w:rsidR="0011185B" w:rsidRPr="00103B86">
          <w:rPr>
            <w:rStyle w:val="Hyperlink"/>
            <w:rFonts w:cs="Calibri"/>
            <w:noProof/>
          </w:rPr>
          <w:t>6.7</w:t>
        </w:r>
        <w:r w:rsidR="0011185B">
          <w:rPr>
            <w:rFonts w:eastAsiaTheme="minorEastAsia" w:cstheme="minorBidi"/>
            <w:smallCaps w:val="0"/>
            <w:noProof/>
            <w:sz w:val="22"/>
            <w:szCs w:val="22"/>
            <w:lang w:val="en-IN" w:eastAsia="en-IN"/>
          </w:rPr>
          <w:tab/>
        </w:r>
        <w:r w:rsidR="0011185B" w:rsidRPr="00103B86">
          <w:rPr>
            <w:rStyle w:val="Hyperlink"/>
            <w:rFonts w:cs="Calibri"/>
            <w:noProof/>
          </w:rPr>
          <w:t>OTHER CHARGES</w:t>
        </w:r>
        <w:r w:rsidR="0011185B">
          <w:rPr>
            <w:noProof/>
            <w:webHidden/>
          </w:rPr>
          <w:tab/>
        </w:r>
        <w:r>
          <w:rPr>
            <w:noProof/>
            <w:webHidden/>
          </w:rPr>
          <w:fldChar w:fldCharType="begin"/>
        </w:r>
        <w:r w:rsidR="0011185B">
          <w:rPr>
            <w:noProof/>
            <w:webHidden/>
          </w:rPr>
          <w:instrText xml:space="preserve"> PAGEREF _Toc457355512 \h </w:instrText>
        </w:r>
        <w:r>
          <w:rPr>
            <w:noProof/>
            <w:webHidden/>
          </w:rPr>
        </w:r>
        <w:r>
          <w:rPr>
            <w:noProof/>
            <w:webHidden/>
          </w:rPr>
          <w:fldChar w:fldCharType="separate"/>
        </w:r>
        <w:r w:rsidR="0011185B">
          <w:rPr>
            <w:noProof/>
            <w:webHidden/>
          </w:rPr>
          <w:t>186</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13" w:history="1">
        <w:r w:rsidR="0011185B" w:rsidRPr="00103B86">
          <w:rPr>
            <w:rStyle w:val="Hyperlink"/>
            <w:noProof/>
          </w:rPr>
          <w:t>7.</w:t>
        </w:r>
        <w:r w:rsidR="0011185B">
          <w:rPr>
            <w:rFonts w:eastAsiaTheme="minorEastAsia" w:cstheme="minorBidi"/>
            <w:bCs w:val="0"/>
            <w:caps w:val="0"/>
            <w:noProof/>
            <w:sz w:val="22"/>
            <w:szCs w:val="22"/>
            <w:lang w:val="en-IN" w:eastAsia="en-IN"/>
          </w:rPr>
          <w:tab/>
        </w:r>
        <w:r w:rsidR="0011185B" w:rsidRPr="00103B86">
          <w:rPr>
            <w:rStyle w:val="Hyperlink"/>
            <w:noProof/>
          </w:rPr>
          <w:t>TARIFF PHILOSPHY</w:t>
        </w:r>
        <w:r w:rsidR="0011185B">
          <w:rPr>
            <w:noProof/>
            <w:webHidden/>
          </w:rPr>
          <w:tab/>
        </w:r>
        <w:r>
          <w:rPr>
            <w:noProof/>
            <w:webHidden/>
          </w:rPr>
          <w:fldChar w:fldCharType="begin"/>
        </w:r>
        <w:r w:rsidR="0011185B">
          <w:rPr>
            <w:noProof/>
            <w:webHidden/>
          </w:rPr>
          <w:instrText xml:space="preserve"> PAGEREF _Toc457355513 \h </w:instrText>
        </w:r>
        <w:r>
          <w:rPr>
            <w:noProof/>
            <w:webHidden/>
          </w:rPr>
        </w:r>
        <w:r>
          <w:rPr>
            <w:noProof/>
            <w:webHidden/>
          </w:rPr>
          <w:fldChar w:fldCharType="separate"/>
        </w:r>
        <w:r w:rsidR="0011185B">
          <w:rPr>
            <w:noProof/>
            <w:webHidden/>
          </w:rPr>
          <w:t>187</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4" w:history="1">
        <w:r w:rsidR="0011185B" w:rsidRPr="00103B86">
          <w:rPr>
            <w:rStyle w:val="Hyperlink"/>
            <w:rFonts w:cs="Calibri"/>
            <w:noProof/>
          </w:rPr>
          <w:t>7.1</w:t>
        </w:r>
        <w:r w:rsidR="0011185B">
          <w:rPr>
            <w:rFonts w:eastAsiaTheme="minorEastAsia" w:cstheme="minorBidi"/>
            <w:smallCaps w:val="0"/>
            <w:noProof/>
            <w:sz w:val="22"/>
            <w:szCs w:val="22"/>
            <w:lang w:val="en-IN" w:eastAsia="en-IN"/>
          </w:rPr>
          <w:tab/>
        </w:r>
        <w:r w:rsidR="0011185B" w:rsidRPr="00103B86">
          <w:rPr>
            <w:rStyle w:val="Hyperlink"/>
            <w:rFonts w:cs="Calibri"/>
            <w:noProof/>
          </w:rPr>
          <w:t>CONSIDERATIONS IN TARIFF DESIGN</w:t>
        </w:r>
        <w:r w:rsidR="0011185B">
          <w:rPr>
            <w:noProof/>
            <w:webHidden/>
          </w:rPr>
          <w:tab/>
        </w:r>
        <w:r>
          <w:rPr>
            <w:noProof/>
            <w:webHidden/>
          </w:rPr>
          <w:fldChar w:fldCharType="begin"/>
        </w:r>
        <w:r w:rsidR="0011185B">
          <w:rPr>
            <w:noProof/>
            <w:webHidden/>
          </w:rPr>
          <w:instrText xml:space="preserve"> PAGEREF _Toc457355514 \h </w:instrText>
        </w:r>
        <w:r>
          <w:rPr>
            <w:noProof/>
            <w:webHidden/>
          </w:rPr>
        </w:r>
        <w:r>
          <w:rPr>
            <w:noProof/>
            <w:webHidden/>
          </w:rPr>
          <w:fldChar w:fldCharType="separate"/>
        </w:r>
        <w:r w:rsidR="0011185B">
          <w:rPr>
            <w:noProof/>
            <w:webHidden/>
          </w:rPr>
          <w:t>187</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15" w:history="1">
        <w:r w:rsidR="0011185B" w:rsidRPr="00103B86">
          <w:rPr>
            <w:rStyle w:val="Hyperlink"/>
            <w:noProof/>
          </w:rPr>
          <w:t>8.</w:t>
        </w:r>
        <w:r w:rsidR="0011185B">
          <w:rPr>
            <w:rFonts w:eastAsiaTheme="minorEastAsia" w:cstheme="minorBidi"/>
            <w:bCs w:val="0"/>
            <w:caps w:val="0"/>
            <w:noProof/>
            <w:sz w:val="22"/>
            <w:szCs w:val="22"/>
            <w:lang w:val="en-IN" w:eastAsia="en-IN"/>
          </w:rPr>
          <w:tab/>
        </w:r>
        <w:r w:rsidR="0011185B" w:rsidRPr="00103B86">
          <w:rPr>
            <w:rStyle w:val="Hyperlink"/>
            <w:noProof/>
          </w:rPr>
          <w:t>REVENUE AT REVISED TARIFF AND REVENUE GAP</w:t>
        </w:r>
        <w:r w:rsidR="0011185B">
          <w:rPr>
            <w:noProof/>
            <w:webHidden/>
          </w:rPr>
          <w:tab/>
        </w:r>
        <w:r>
          <w:rPr>
            <w:noProof/>
            <w:webHidden/>
          </w:rPr>
          <w:fldChar w:fldCharType="begin"/>
        </w:r>
        <w:r w:rsidR="0011185B">
          <w:rPr>
            <w:noProof/>
            <w:webHidden/>
          </w:rPr>
          <w:instrText xml:space="preserve"> PAGEREF _Toc457355515 \h </w:instrText>
        </w:r>
        <w:r>
          <w:rPr>
            <w:noProof/>
            <w:webHidden/>
          </w:rPr>
        </w:r>
        <w:r>
          <w:rPr>
            <w:noProof/>
            <w:webHidden/>
          </w:rPr>
          <w:fldChar w:fldCharType="separate"/>
        </w:r>
        <w:r w:rsidR="0011185B">
          <w:rPr>
            <w:noProof/>
            <w:webHidden/>
          </w:rPr>
          <w:t>199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6" w:history="1">
        <w:r w:rsidR="0011185B" w:rsidRPr="00103B86">
          <w:rPr>
            <w:rStyle w:val="Hyperlink"/>
            <w:noProof/>
          </w:rPr>
          <w:t>8.1</w:t>
        </w:r>
        <w:r w:rsidR="0011185B">
          <w:rPr>
            <w:rFonts w:eastAsiaTheme="minorEastAsia" w:cstheme="minorBidi"/>
            <w:smallCaps w:val="0"/>
            <w:noProof/>
            <w:sz w:val="22"/>
            <w:szCs w:val="22"/>
            <w:lang w:val="en-IN" w:eastAsia="en-IN"/>
          </w:rPr>
          <w:tab/>
        </w:r>
        <w:r w:rsidR="0011185B" w:rsidRPr="00103B86">
          <w:rPr>
            <w:rStyle w:val="Hyperlink"/>
            <w:noProof/>
          </w:rPr>
          <w:t>REVENUE FROM SALE OF POWER AT APPROVED TARIFF</w:t>
        </w:r>
        <w:r w:rsidR="0011185B">
          <w:rPr>
            <w:noProof/>
            <w:webHidden/>
          </w:rPr>
          <w:tab/>
        </w:r>
        <w:r>
          <w:rPr>
            <w:noProof/>
            <w:webHidden/>
          </w:rPr>
          <w:fldChar w:fldCharType="begin"/>
        </w:r>
        <w:r w:rsidR="0011185B">
          <w:rPr>
            <w:noProof/>
            <w:webHidden/>
          </w:rPr>
          <w:instrText xml:space="preserve"> PAGEREF _Toc457355516 \h </w:instrText>
        </w:r>
        <w:r>
          <w:rPr>
            <w:noProof/>
            <w:webHidden/>
          </w:rPr>
        </w:r>
        <w:r>
          <w:rPr>
            <w:noProof/>
            <w:webHidden/>
          </w:rPr>
          <w:fldChar w:fldCharType="separate"/>
        </w:r>
        <w:r w:rsidR="0011185B">
          <w:rPr>
            <w:noProof/>
            <w:webHidden/>
          </w:rPr>
          <w:t>199</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7" w:history="1">
        <w:r w:rsidR="0011185B" w:rsidRPr="00103B86">
          <w:rPr>
            <w:rStyle w:val="Hyperlink"/>
            <w:noProof/>
          </w:rPr>
          <w:t>8.2</w:t>
        </w:r>
        <w:r w:rsidR="0011185B">
          <w:rPr>
            <w:rFonts w:eastAsiaTheme="minorEastAsia" w:cstheme="minorBidi"/>
            <w:smallCaps w:val="0"/>
            <w:noProof/>
            <w:sz w:val="22"/>
            <w:szCs w:val="22"/>
            <w:lang w:val="en-IN" w:eastAsia="en-IN"/>
          </w:rPr>
          <w:tab/>
        </w:r>
        <w:r w:rsidR="0011185B" w:rsidRPr="00103B86">
          <w:rPr>
            <w:rStyle w:val="Hyperlink"/>
            <w:noProof/>
          </w:rPr>
          <w:t>AVERAGE COST OF SUPPLY</w:t>
        </w:r>
        <w:r w:rsidR="0011185B">
          <w:rPr>
            <w:noProof/>
            <w:webHidden/>
          </w:rPr>
          <w:tab/>
        </w:r>
        <w:r>
          <w:rPr>
            <w:noProof/>
            <w:webHidden/>
          </w:rPr>
          <w:fldChar w:fldCharType="begin"/>
        </w:r>
        <w:r w:rsidR="0011185B">
          <w:rPr>
            <w:noProof/>
            <w:webHidden/>
          </w:rPr>
          <w:instrText xml:space="preserve"> PAGEREF _Toc457355517 \h </w:instrText>
        </w:r>
        <w:r>
          <w:rPr>
            <w:noProof/>
            <w:webHidden/>
          </w:rPr>
        </w:r>
        <w:r>
          <w:rPr>
            <w:noProof/>
            <w:webHidden/>
          </w:rPr>
          <w:fldChar w:fldCharType="separate"/>
        </w:r>
        <w:r w:rsidR="0011185B">
          <w:rPr>
            <w:noProof/>
            <w:webHidden/>
          </w:rPr>
          <w:t>200</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8" w:history="1">
        <w:r w:rsidR="0011185B" w:rsidRPr="00103B86">
          <w:rPr>
            <w:rStyle w:val="Hyperlink"/>
            <w:noProof/>
          </w:rPr>
          <w:t>8.3</w:t>
        </w:r>
        <w:r w:rsidR="0011185B">
          <w:rPr>
            <w:rFonts w:eastAsiaTheme="minorEastAsia" w:cstheme="minorBidi"/>
            <w:smallCaps w:val="0"/>
            <w:noProof/>
            <w:sz w:val="22"/>
            <w:szCs w:val="22"/>
            <w:lang w:val="en-IN" w:eastAsia="en-IN"/>
          </w:rPr>
          <w:tab/>
        </w:r>
        <w:r w:rsidR="0011185B" w:rsidRPr="00103B86">
          <w:rPr>
            <w:rStyle w:val="Hyperlink"/>
            <w:noProof/>
          </w:rPr>
          <w:t>REGULATORY SURCHARGE</w:t>
        </w:r>
        <w:r w:rsidR="0011185B">
          <w:rPr>
            <w:noProof/>
            <w:webHidden/>
          </w:rPr>
          <w:tab/>
        </w:r>
        <w:r>
          <w:rPr>
            <w:noProof/>
            <w:webHidden/>
          </w:rPr>
          <w:fldChar w:fldCharType="begin"/>
        </w:r>
        <w:r w:rsidR="0011185B">
          <w:rPr>
            <w:noProof/>
            <w:webHidden/>
          </w:rPr>
          <w:instrText xml:space="preserve"> PAGEREF _Toc457355518 \h </w:instrText>
        </w:r>
        <w:r>
          <w:rPr>
            <w:noProof/>
            <w:webHidden/>
          </w:rPr>
        </w:r>
        <w:r>
          <w:rPr>
            <w:noProof/>
            <w:webHidden/>
          </w:rPr>
          <w:fldChar w:fldCharType="separate"/>
        </w:r>
        <w:r w:rsidR="0011185B">
          <w:rPr>
            <w:noProof/>
            <w:webHidden/>
          </w:rPr>
          <w:t>201</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19" w:history="1">
        <w:r w:rsidR="0011185B" w:rsidRPr="00103B86">
          <w:rPr>
            <w:rStyle w:val="Hyperlink"/>
            <w:rFonts w:ascii="Calibri" w:hAnsi="Calibri"/>
            <w:noProof/>
          </w:rPr>
          <w:t>8.4</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TREATMENT OF REVENUE GAP / REGULATORY ASSET ADMITTED IN THIS ORDER</w:t>
        </w:r>
        <w:r w:rsidR="0011185B">
          <w:rPr>
            <w:noProof/>
            <w:webHidden/>
          </w:rPr>
          <w:tab/>
        </w:r>
        <w:r>
          <w:rPr>
            <w:noProof/>
            <w:webHidden/>
          </w:rPr>
          <w:fldChar w:fldCharType="begin"/>
        </w:r>
        <w:r w:rsidR="0011185B">
          <w:rPr>
            <w:noProof/>
            <w:webHidden/>
          </w:rPr>
          <w:instrText xml:space="preserve"> PAGEREF _Toc457355519 \h </w:instrText>
        </w:r>
        <w:r>
          <w:rPr>
            <w:noProof/>
            <w:webHidden/>
          </w:rPr>
        </w:r>
        <w:r>
          <w:rPr>
            <w:noProof/>
            <w:webHidden/>
          </w:rPr>
          <w:fldChar w:fldCharType="separate"/>
        </w:r>
        <w:r w:rsidR="0011185B">
          <w:rPr>
            <w:noProof/>
            <w:webHidden/>
          </w:rPr>
          <w:t>207</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20" w:history="1">
        <w:r w:rsidR="0011185B" w:rsidRPr="00103B86">
          <w:rPr>
            <w:rStyle w:val="Hyperlink"/>
            <w:noProof/>
          </w:rPr>
          <w:t>9.</w:t>
        </w:r>
        <w:r w:rsidR="0011185B">
          <w:rPr>
            <w:rFonts w:eastAsiaTheme="minorEastAsia" w:cstheme="minorBidi"/>
            <w:bCs w:val="0"/>
            <w:caps w:val="0"/>
            <w:noProof/>
            <w:sz w:val="22"/>
            <w:szCs w:val="22"/>
            <w:lang w:val="en-IN" w:eastAsia="en-IN"/>
          </w:rPr>
          <w:tab/>
        </w:r>
        <w:r w:rsidR="0011185B" w:rsidRPr="00103B86">
          <w:rPr>
            <w:rStyle w:val="Hyperlink"/>
            <w:noProof/>
          </w:rPr>
          <w:t>DIRECTIVES</w:t>
        </w:r>
        <w:r w:rsidR="0011185B">
          <w:rPr>
            <w:noProof/>
            <w:webHidden/>
          </w:rPr>
          <w:tab/>
        </w:r>
        <w:r>
          <w:rPr>
            <w:noProof/>
            <w:webHidden/>
          </w:rPr>
          <w:fldChar w:fldCharType="begin"/>
        </w:r>
        <w:r w:rsidR="0011185B">
          <w:rPr>
            <w:noProof/>
            <w:webHidden/>
          </w:rPr>
          <w:instrText xml:space="preserve"> PAGEREF _Toc457355520 \h </w:instrText>
        </w:r>
        <w:r>
          <w:rPr>
            <w:noProof/>
            <w:webHidden/>
          </w:rPr>
        </w:r>
        <w:r>
          <w:rPr>
            <w:noProof/>
            <w:webHidden/>
          </w:rPr>
          <w:fldChar w:fldCharType="separate"/>
        </w:r>
        <w:r w:rsidR="0011185B">
          <w:rPr>
            <w:noProof/>
            <w:webHidden/>
          </w:rPr>
          <w:t>212</w:t>
        </w:r>
        <w:r>
          <w:rPr>
            <w:noProof/>
            <w:webHidden/>
          </w:rPr>
          <w:fldChar w:fldCharType="end"/>
        </w:r>
      </w:hyperlink>
    </w:p>
    <w:p w:rsidR="0011185B" w:rsidRDefault="004A2D9E">
      <w:pPr>
        <w:pStyle w:val="TOC2"/>
        <w:tabs>
          <w:tab w:val="left" w:pos="720"/>
          <w:tab w:val="right" w:leader="dot" w:pos="9289"/>
        </w:tabs>
        <w:rPr>
          <w:rFonts w:eastAsiaTheme="minorEastAsia" w:cstheme="minorBidi"/>
          <w:smallCaps w:val="0"/>
          <w:noProof/>
          <w:sz w:val="22"/>
          <w:szCs w:val="22"/>
          <w:lang w:val="en-IN" w:eastAsia="en-IN"/>
        </w:rPr>
      </w:pPr>
      <w:hyperlink w:anchor="_Toc457355521" w:history="1">
        <w:r w:rsidR="0011185B" w:rsidRPr="00103B86">
          <w:rPr>
            <w:rStyle w:val="Hyperlink"/>
            <w:rFonts w:ascii="Calibri" w:hAnsi="Calibri"/>
            <w:noProof/>
          </w:rPr>
          <w:t>9.1</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DIRECTIVES PROVIDED BY COMMISSION AND THEIR COMPLIANCE BY LICENSEE</w:t>
        </w:r>
        <w:r w:rsidR="0011185B">
          <w:rPr>
            <w:noProof/>
            <w:webHidden/>
          </w:rPr>
          <w:tab/>
        </w:r>
        <w:r>
          <w:rPr>
            <w:noProof/>
            <w:webHidden/>
          </w:rPr>
          <w:fldChar w:fldCharType="begin"/>
        </w:r>
        <w:r w:rsidR="0011185B">
          <w:rPr>
            <w:noProof/>
            <w:webHidden/>
          </w:rPr>
          <w:instrText xml:space="preserve"> PAGEREF _Toc457355521 \h </w:instrText>
        </w:r>
        <w:r>
          <w:rPr>
            <w:noProof/>
            <w:webHidden/>
          </w:rPr>
        </w:r>
        <w:r>
          <w:rPr>
            <w:noProof/>
            <w:webHidden/>
          </w:rPr>
          <w:fldChar w:fldCharType="separate"/>
        </w:r>
        <w:r w:rsidR="0011185B">
          <w:rPr>
            <w:noProof/>
            <w:webHidden/>
          </w:rPr>
          <w:t>212</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22" w:history="1">
        <w:r w:rsidR="0011185B" w:rsidRPr="00103B86">
          <w:rPr>
            <w:rStyle w:val="Hyperlink"/>
            <w:noProof/>
          </w:rPr>
          <w:t>10.</w:t>
        </w:r>
        <w:r w:rsidR="0011185B">
          <w:rPr>
            <w:rFonts w:eastAsiaTheme="minorEastAsia" w:cstheme="minorBidi"/>
            <w:bCs w:val="0"/>
            <w:caps w:val="0"/>
            <w:noProof/>
            <w:sz w:val="22"/>
            <w:szCs w:val="22"/>
            <w:lang w:val="en-IN" w:eastAsia="en-IN"/>
          </w:rPr>
          <w:tab/>
        </w:r>
        <w:r w:rsidR="0011185B" w:rsidRPr="00103B86">
          <w:rPr>
            <w:rStyle w:val="Hyperlink"/>
            <w:noProof/>
          </w:rPr>
          <w:t>AP</w:t>
        </w:r>
        <w:r w:rsidR="0011185B" w:rsidRPr="00103B86">
          <w:rPr>
            <w:rStyle w:val="Hyperlink"/>
            <w:noProof/>
          </w:rPr>
          <w:t>P</w:t>
        </w:r>
        <w:r w:rsidR="0011185B" w:rsidRPr="00103B86">
          <w:rPr>
            <w:rStyle w:val="Hyperlink"/>
            <w:noProof/>
          </w:rPr>
          <w:t>LICABILITY OF THE ORDER</w:t>
        </w:r>
        <w:r w:rsidR="0011185B">
          <w:rPr>
            <w:noProof/>
            <w:webHidden/>
          </w:rPr>
          <w:tab/>
        </w:r>
        <w:r>
          <w:rPr>
            <w:noProof/>
            <w:webHidden/>
          </w:rPr>
          <w:fldChar w:fldCharType="begin"/>
        </w:r>
        <w:r w:rsidR="0011185B">
          <w:rPr>
            <w:noProof/>
            <w:webHidden/>
          </w:rPr>
          <w:instrText xml:space="preserve"> PAGEREF _Toc457355522 \h </w:instrText>
        </w:r>
        <w:r>
          <w:rPr>
            <w:noProof/>
            <w:webHidden/>
          </w:rPr>
        </w:r>
        <w:r>
          <w:rPr>
            <w:noProof/>
            <w:webHidden/>
          </w:rPr>
          <w:fldChar w:fldCharType="separate"/>
        </w:r>
        <w:r w:rsidR="0011185B">
          <w:rPr>
            <w:noProof/>
            <w:webHidden/>
          </w:rPr>
          <w:t>257</w:t>
        </w:r>
        <w:r>
          <w:rPr>
            <w:noProof/>
            <w:webHidden/>
          </w:rPr>
          <w:fldChar w:fldCharType="end"/>
        </w:r>
      </w:hyperlink>
    </w:p>
    <w:p w:rsidR="0011185B" w:rsidRDefault="004A2D9E">
      <w:pPr>
        <w:pStyle w:val="TOC1"/>
        <w:rPr>
          <w:rFonts w:eastAsiaTheme="minorEastAsia" w:cstheme="minorBidi"/>
          <w:bCs w:val="0"/>
          <w:caps w:val="0"/>
          <w:noProof/>
          <w:sz w:val="22"/>
          <w:szCs w:val="22"/>
          <w:lang w:val="en-IN" w:eastAsia="en-IN"/>
        </w:rPr>
      </w:pPr>
      <w:hyperlink w:anchor="_Toc457355523" w:history="1">
        <w:r w:rsidR="0011185B" w:rsidRPr="00103B86">
          <w:rPr>
            <w:rStyle w:val="Hyperlink"/>
            <w:noProof/>
          </w:rPr>
          <w:t>11.</w:t>
        </w:r>
        <w:r w:rsidR="0011185B">
          <w:rPr>
            <w:rFonts w:eastAsiaTheme="minorEastAsia" w:cstheme="minorBidi"/>
            <w:bCs w:val="0"/>
            <w:caps w:val="0"/>
            <w:noProof/>
            <w:sz w:val="22"/>
            <w:szCs w:val="22"/>
            <w:lang w:val="en-IN" w:eastAsia="en-IN"/>
          </w:rPr>
          <w:tab/>
        </w:r>
        <w:r w:rsidR="0011185B" w:rsidRPr="00103B86">
          <w:rPr>
            <w:rStyle w:val="Hyperlink"/>
            <w:noProof/>
          </w:rPr>
          <w:t>ANNEXURES</w:t>
        </w:r>
        <w:r w:rsidR="0011185B">
          <w:rPr>
            <w:noProof/>
            <w:webHidden/>
          </w:rPr>
          <w:tab/>
        </w:r>
        <w:r>
          <w:rPr>
            <w:noProof/>
            <w:webHidden/>
          </w:rPr>
          <w:fldChar w:fldCharType="begin"/>
        </w:r>
        <w:r w:rsidR="0011185B">
          <w:rPr>
            <w:noProof/>
            <w:webHidden/>
          </w:rPr>
          <w:instrText xml:space="preserve"> PAGEREF _Toc457355523 \h </w:instrText>
        </w:r>
        <w:r>
          <w:rPr>
            <w:noProof/>
            <w:webHidden/>
          </w:rPr>
        </w:r>
        <w:r>
          <w:rPr>
            <w:noProof/>
            <w:webHidden/>
          </w:rPr>
          <w:fldChar w:fldCharType="separate"/>
        </w:r>
        <w:r w:rsidR="0011185B">
          <w:rPr>
            <w:noProof/>
            <w:webHidden/>
          </w:rPr>
          <w:t>258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4" w:history="1">
        <w:r w:rsidR="0011185B" w:rsidRPr="00103B86">
          <w:rPr>
            <w:rStyle w:val="Hyperlink"/>
            <w:noProof/>
          </w:rPr>
          <w:t>11.1</w:t>
        </w:r>
        <w:r w:rsidR="0011185B">
          <w:rPr>
            <w:rFonts w:eastAsiaTheme="minorEastAsia" w:cstheme="minorBidi"/>
            <w:smallCaps w:val="0"/>
            <w:noProof/>
            <w:sz w:val="22"/>
            <w:szCs w:val="22"/>
            <w:lang w:val="en-IN" w:eastAsia="en-IN"/>
          </w:rPr>
          <w:tab/>
        </w:r>
        <w:r w:rsidR="0011185B" w:rsidRPr="00103B86">
          <w:rPr>
            <w:rStyle w:val="Hyperlink"/>
            <w:noProof/>
          </w:rPr>
          <w:t>COMMISSION FORECAST OF CONSUMPTION PARAMETERS FOR FY 2016-17</w:t>
        </w:r>
        <w:r w:rsidR="0011185B">
          <w:rPr>
            <w:noProof/>
            <w:webHidden/>
          </w:rPr>
          <w:tab/>
        </w:r>
        <w:r>
          <w:rPr>
            <w:noProof/>
            <w:webHidden/>
          </w:rPr>
          <w:fldChar w:fldCharType="begin"/>
        </w:r>
        <w:r w:rsidR="0011185B">
          <w:rPr>
            <w:noProof/>
            <w:webHidden/>
          </w:rPr>
          <w:instrText xml:space="preserve"> PAGEREF _Toc457355524 \h </w:instrText>
        </w:r>
        <w:r>
          <w:rPr>
            <w:noProof/>
            <w:webHidden/>
          </w:rPr>
        </w:r>
        <w:r>
          <w:rPr>
            <w:noProof/>
            <w:webHidden/>
          </w:rPr>
          <w:fldChar w:fldCharType="separate"/>
        </w:r>
        <w:r w:rsidR="0011185B">
          <w:rPr>
            <w:noProof/>
            <w:webHidden/>
          </w:rPr>
          <w:t>258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5" w:history="1">
        <w:r w:rsidR="0011185B" w:rsidRPr="00103B86">
          <w:rPr>
            <w:rStyle w:val="Hyperlink"/>
            <w:noProof/>
          </w:rPr>
          <w:t>11.2</w:t>
        </w:r>
        <w:r w:rsidR="0011185B">
          <w:rPr>
            <w:rFonts w:eastAsiaTheme="minorEastAsia" w:cstheme="minorBidi"/>
            <w:smallCaps w:val="0"/>
            <w:noProof/>
            <w:sz w:val="22"/>
            <w:szCs w:val="22"/>
            <w:lang w:val="en-IN" w:eastAsia="en-IN"/>
          </w:rPr>
          <w:tab/>
        </w:r>
        <w:r w:rsidR="0011185B" w:rsidRPr="00103B86">
          <w:rPr>
            <w:rStyle w:val="Hyperlink"/>
            <w:rFonts w:ascii="Calibri" w:hAnsi="Calibri"/>
            <w:noProof/>
          </w:rPr>
          <w:t>RATE SCHEDULE FOR FY 2016-17</w:t>
        </w:r>
        <w:r w:rsidR="0011185B">
          <w:rPr>
            <w:noProof/>
            <w:webHidden/>
          </w:rPr>
          <w:tab/>
        </w:r>
        <w:r>
          <w:rPr>
            <w:noProof/>
            <w:webHidden/>
          </w:rPr>
          <w:fldChar w:fldCharType="begin"/>
        </w:r>
        <w:r w:rsidR="0011185B">
          <w:rPr>
            <w:noProof/>
            <w:webHidden/>
          </w:rPr>
          <w:instrText xml:space="preserve"> PAGEREF _Toc457355525 \h </w:instrText>
        </w:r>
        <w:r>
          <w:rPr>
            <w:noProof/>
            <w:webHidden/>
          </w:rPr>
        </w:r>
        <w:r>
          <w:rPr>
            <w:noProof/>
            <w:webHidden/>
          </w:rPr>
          <w:fldChar w:fldCharType="separate"/>
        </w:r>
        <w:r w:rsidR="0011185B">
          <w:rPr>
            <w:noProof/>
            <w:webHidden/>
          </w:rPr>
          <w:t>268</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6" w:history="1">
        <w:r w:rsidR="0011185B" w:rsidRPr="00103B86">
          <w:rPr>
            <w:rStyle w:val="Hyperlink"/>
            <w:noProof/>
          </w:rPr>
          <w:t>11.3</w:t>
        </w:r>
        <w:r w:rsidR="0011185B">
          <w:rPr>
            <w:rFonts w:eastAsiaTheme="minorEastAsia" w:cstheme="minorBidi"/>
            <w:smallCaps w:val="0"/>
            <w:noProof/>
            <w:sz w:val="22"/>
            <w:szCs w:val="22"/>
            <w:lang w:val="en-IN" w:eastAsia="en-IN"/>
          </w:rPr>
          <w:tab/>
        </w:r>
        <w:r w:rsidR="0011185B" w:rsidRPr="00103B86">
          <w:rPr>
            <w:rStyle w:val="Hyperlink"/>
            <w:noProof/>
          </w:rPr>
          <w:t>SCHEDULE OF MISCELLANEOUS CHARGES</w:t>
        </w:r>
        <w:r w:rsidR="0011185B">
          <w:rPr>
            <w:noProof/>
            <w:webHidden/>
          </w:rPr>
          <w:tab/>
        </w:r>
        <w:r>
          <w:rPr>
            <w:noProof/>
            <w:webHidden/>
          </w:rPr>
          <w:fldChar w:fldCharType="begin"/>
        </w:r>
        <w:r w:rsidR="0011185B">
          <w:rPr>
            <w:noProof/>
            <w:webHidden/>
          </w:rPr>
          <w:instrText xml:space="preserve"> PAGEREF _Toc457355526 \h </w:instrText>
        </w:r>
        <w:r>
          <w:rPr>
            <w:noProof/>
            <w:webHidden/>
          </w:rPr>
        </w:r>
        <w:r>
          <w:rPr>
            <w:noProof/>
            <w:webHidden/>
          </w:rPr>
          <w:fldChar w:fldCharType="separate"/>
        </w:r>
        <w:r w:rsidR="0011185B">
          <w:rPr>
            <w:noProof/>
            <w:webHidden/>
          </w:rPr>
          <w:t>313</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7" w:history="1">
        <w:r w:rsidR="0011185B" w:rsidRPr="00103B86">
          <w:rPr>
            <w:rStyle w:val="Hyperlink"/>
            <w:noProof/>
          </w:rPr>
          <w:t>11.4</w:t>
        </w:r>
        <w:r w:rsidR="0011185B">
          <w:rPr>
            <w:rFonts w:eastAsiaTheme="minorEastAsia" w:cstheme="minorBidi"/>
            <w:smallCaps w:val="0"/>
            <w:noProof/>
            <w:sz w:val="22"/>
            <w:szCs w:val="22"/>
            <w:lang w:val="en-IN" w:eastAsia="en-IN"/>
          </w:rPr>
          <w:tab/>
        </w:r>
        <w:r w:rsidR="0011185B" w:rsidRPr="00103B86">
          <w:rPr>
            <w:rStyle w:val="Hyperlink"/>
            <w:noProof/>
          </w:rPr>
          <w:t>LIST OF POWER FACTOR APPARATUS</w:t>
        </w:r>
        <w:r w:rsidR="0011185B">
          <w:rPr>
            <w:noProof/>
            <w:webHidden/>
          </w:rPr>
          <w:tab/>
        </w:r>
        <w:r>
          <w:rPr>
            <w:noProof/>
            <w:webHidden/>
          </w:rPr>
          <w:fldChar w:fldCharType="begin"/>
        </w:r>
        <w:r w:rsidR="0011185B">
          <w:rPr>
            <w:noProof/>
            <w:webHidden/>
          </w:rPr>
          <w:instrText xml:space="preserve"> PAGEREF _Toc457355527 \h </w:instrText>
        </w:r>
        <w:r>
          <w:rPr>
            <w:noProof/>
            <w:webHidden/>
          </w:rPr>
        </w:r>
        <w:r>
          <w:rPr>
            <w:noProof/>
            <w:webHidden/>
          </w:rPr>
          <w:fldChar w:fldCharType="separate"/>
        </w:r>
        <w:r w:rsidR="0011185B">
          <w:rPr>
            <w:noProof/>
            <w:webHidden/>
          </w:rPr>
          <w:t>316</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8" w:history="1">
        <w:r w:rsidR="0011185B" w:rsidRPr="00103B86">
          <w:rPr>
            <w:rStyle w:val="Hyperlink"/>
            <w:noProof/>
          </w:rPr>
          <w:t>11.5</w:t>
        </w:r>
        <w:r w:rsidR="0011185B">
          <w:rPr>
            <w:rFonts w:eastAsiaTheme="minorEastAsia" w:cstheme="minorBidi"/>
            <w:smallCaps w:val="0"/>
            <w:noProof/>
            <w:sz w:val="22"/>
            <w:szCs w:val="22"/>
            <w:lang w:val="en-IN" w:eastAsia="en-IN"/>
          </w:rPr>
          <w:tab/>
        </w:r>
        <w:r w:rsidR="0011185B" w:rsidRPr="00103B86">
          <w:rPr>
            <w:rStyle w:val="Hyperlink"/>
            <w:noProof/>
          </w:rPr>
          <w:t>LIST OF PERSONS WHO HAVE ATTENDED PUBLIC HEARING AT GREATER NOIDA, LUCKNOW AND ALIGARH IN RESPECT OF PROCEEDINGS FOR ARR &amp; TARIFF DETERMINATION FOR FY 2016-17</w:t>
        </w:r>
        <w:r w:rsidR="0011185B">
          <w:rPr>
            <w:noProof/>
            <w:webHidden/>
          </w:rPr>
          <w:tab/>
        </w:r>
        <w:r>
          <w:rPr>
            <w:noProof/>
            <w:webHidden/>
          </w:rPr>
          <w:fldChar w:fldCharType="begin"/>
        </w:r>
        <w:r w:rsidR="0011185B">
          <w:rPr>
            <w:noProof/>
            <w:webHidden/>
          </w:rPr>
          <w:instrText xml:space="preserve"> PAGEREF _Toc457355528 \h </w:instrText>
        </w:r>
        <w:r>
          <w:rPr>
            <w:noProof/>
            <w:webHidden/>
          </w:rPr>
        </w:r>
        <w:r>
          <w:rPr>
            <w:noProof/>
            <w:webHidden/>
          </w:rPr>
          <w:fldChar w:fldCharType="separate"/>
        </w:r>
        <w:r w:rsidR="0011185B">
          <w:rPr>
            <w:noProof/>
            <w:webHidden/>
          </w:rPr>
          <w:t>319</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29" w:history="1">
        <w:r w:rsidR="0011185B" w:rsidRPr="00103B86">
          <w:rPr>
            <w:rStyle w:val="Hyperlink"/>
            <w:noProof/>
          </w:rPr>
          <w:t>11.6</w:t>
        </w:r>
        <w:r w:rsidR="0011185B">
          <w:rPr>
            <w:rFonts w:eastAsiaTheme="minorEastAsia" w:cstheme="minorBidi"/>
            <w:smallCaps w:val="0"/>
            <w:noProof/>
            <w:sz w:val="22"/>
            <w:szCs w:val="22"/>
            <w:lang w:val="en-IN" w:eastAsia="en-IN"/>
          </w:rPr>
          <w:tab/>
        </w:r>
        <w:r w:rsidR="0011185B" w:rsidRPr="00103B86">
          <w:rPr>
            <w:rStyle w:val="Hyperlink"/>
            <w:noProof/>
          </w:rPr>
          <w:t>FUEL AND POWER PURCHASE COST ADJUSTMENT SURCHARGE</w:t>
        </w:r>
        <w:r w:rsidR="0011185B">
          <w:rPr>
            <w:noProof/>
            <w:webHidden/>
          </w:rPr>
          <w:tab/>
        </w:r>
        <w:r>
          <w:rPr>
            <w:noProof/>
            <w:webHidden/>
          </w:rPr>
          <w:fldChar w:fldCharType="begin"/>
        </w:r>
        <w:r w:rsidR="0011185B">
          <w:rPr>
            <w:noProof/>
            <w:webHidden/>
          </w:rPr>
          <w:instrText xml:space="preserve"> PAGEREF _Toc457355529 \h </w:instrText>
        </w:r>
        <w:r>
          <w:rPr>
            <w:noProof/>
            <w:webHidden/>
          </w:rPr>
        </w:r>
        <w:r>
          <w:rPr>
            <w:noProof/>
            <w:webHidden/>
          </w:rPr>
          <w:fldChar w:fldCharType="separate"/>
        </w:r>
        <w:r w:rsidR="0011185B">
          <w:rPr>
            <w:noProof/>
            <w:webHidden/>
          </w:rPr>
          <w:t>327</w:t>
        </w:r>
        <w:r>
          <w:rPr>
            <w:noProof/>
            <w:webHidden/>
          </w:rPr>
          <w:fldChar w:fldCharType="end"/>
        </w:r>
      </w:hyperlink>
    </w:p>
    <w:p w:rsidR="0011185B" w:rsidRDefault="004A2D9E">
      <w:pPr>
        <w:pStyle w:val="TOC2"/>
        <w:tabs>
          <w:tab w:val="left" w:pos="960"/>
          <w:tab w:val="right" w:leader="dot" w:pos="9289"/>
        </w:tabs>
        <w:rPr>
          <w:rFonts w:eastAsiaTheme="minorEastAsia" w:cstheme="minorBidi"/>
          <w:smallCaps w:val="0"/>
          <w:noProof/>
          <w:sz w:val="22"/>
          <w:szCs w:val="22"/>
          <w:lang w:val="en-IN" w:eastAsia="en-IN"/>
        </w:rPr>
      </w:pPr>
      <w:hyperlink w:anchor="_Toc457355530" w:history="1">
        <w:r w:rsidR="0011185B" w:rsidRPr="00103B86">
          <w:rPr>
            <w:rStyle w:val="Hyperlink"/>
            <w:noProof/>
          </w:rPr>
          <w:t>11.7</w:t>
        </w:r>
        <w:r w:rsidR="0011185B">
          <w:rPr>
            <w:rFonts w:eastAsiaTheme="minorEastAsia" w:cstheme="minorBidi"/>
            <w:smallCaps w:val="0"/>
            <w:noProof/>
            <w:sz w:val="22"/>
            <w:szCs w:val="22"/>
            <w:lang w:val="en-IN" w:eastAsia="en-IN"/>
          </w:rPr>
          <w:tab/>
        </w:r>
        <w:r w:rsidR="0011185B" w:rsidRPr="00103B86">
          <w:rPr>
            <w:rStyle w:val="Hyperlink"/>
            <w:noProof/>
          </w:rPr>
          <w:t>ACTION TAKEN REPORT ON THE DIRECTIONS ISSUED BY THE COMMISSION IN THE ARR / TARIFF ORDER FOR FY 2016-17</w:t>
        </w:r>
        <w:r w:rsidR="0011185B">
          <w:rPr>
            <w:noProof/>
            <w:webHidden/>
          </w:rPr>
          <w:tab/>
        </w:r>
        <w:r>
          <w:rPr>
            <w:noProof/>
            <w:webHidden/>
          </w:rPr>
          <w:fldChar w:fldCharType="begin"/>
        </w:r>
        <w:r w:rsidR="0011185B">
          <w:rPr>
            <w:noProof/>
            <w:webHidden/>
          </w:rPr>
          <w:instrText xml:space="preserve"> PAGEREF _Toc457355530 \h </w:instrText>
        </w:r>
        <w:r>
          <w:rPr>
            <w:noProof/>
            <w:webHidden/>
          </w:rPr>
        </w:r>
        <w:r>
          <w:rPr>
            <w:noProof/>
            <w:webHidden/>
          </w:rPr>
          <w:fldChar w:fldCharType="separate"/>
        </w:r>
        <w:r w:rsidR="0011185B">
          <w:rPr>
            <w:noProof/>
            <w:webHidden/>
          </w:rPr>
          <w:t>330</w:t>
        </w:r>
        <w:r>
          <w:rPr>
            <w:noProof/>
            <w:webHidden/>
          </w:rPr>
          <w:fldChar w:fldCharType="end"/>
        </w:r>
      </w:hyperlink>
    </w:p>
    <w:p w:rsidR="00C25F67" w:rsidRPr="0011185B" w:rsidRDefault="004A2D9E" w:rsidP="00C60AD1">
      <w:pPr>
        <w:pStyle w:val="TOC2"/>
        <w:tabs>
          <w:tab w:val="left" w:pos="960"/>
          <w:tab w:val="right" w:leader="dot" w:pos="8659"/>
        </w:tabs>
      </w:pPr>
      <w:r w:rsidRPr="0011185B">
        <w:rPr>
          <w:caps/>
        </w:rPr>
        <w:fldChar w:fldCharType="end"/>
      </w:r>
      <w:r w:rsidR="00C25F67" w:rsidRPr="0011185B">
        <w:br w:type="page"/>
      </w:r>
    </w:p>
    <w:p w:rsidR="00C25F67" w:rsidRPr="0011185B" w:rsidRDefault="006E2230" w:rsidP="00C60AD1">
      <w:pPr>
        <w:jc w:val="center"/>
        <w:rPr>
          <w:rFonts w:asciiTheme="minorHAnsi" w:hAnsiTheme="minorHAnsi" w:cstheme="minorHAnsi"/>
          <w:b/>
          <w:sz w:val="22"/>
          <w:u w:val="single"/>
        </w:rPr>
      </w:pPr>
      <w:r w:rsidRPr="0011185B">
        <w:rPr>
          <w:rFonts w:asciiTheme="minorHAnsi" w:hAnsiTheme="minorHAnsi" w:cstheme="minorHAnsi"/>
          <w:b/>
          <w:u w:val="single"/>
        </w:rPr>
        <w:lastRenderedPageBreak/>
        <w:t>LIST OF TABLES</w:t>
      </w:r>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r w:rsidRPr="004A2D9E">
        <w:rPr>
          <w:rFonts w:ascii="Calibri" w:hAnsi="Calibri" w:cs="Times New Roman"/>
          <w:caps/>
        </w:rPr>
        <w:fldChar w:fldCharType="begin"/>
      </w:r>
      <w:r w:rsidR="0022393E" w:rsidRPr="00613406">
        <w:rPr>
          <w:caps/>
        </w:rPr>
        <w:instrText xml:space="preserve"> TOC \h \z \c "Table" </w:instrText>
      </w:r>
      <w:r w:rsidRPr="004A2D9E">
        <w:rPr>
          <w:rFonts w:ascii="Calibri" w:hAnsi="Calibri" w:cs="Times New Roman"/>
          <w:caps/>
        </w:rPr>
        <w:fldChar w:fldCharType="separate"/>
      </w:r>
      <w:hyperlink w:anchor="_Toc457355601" w:history="1">
        <w:r w:rsidR="00613406" w:rsidRPr="00613406">
          <w:rPr>
            <w:rStyle w:val="Hyperlink"/>
            <w:rFonts w:cs="Calibri"/>
            <w:noProof/>
            <w:lang w:val="en-US"/>
          </w:rPr>
          <w:t>Table 3</w:t>
        </w:r>
        <w:r w:rsidR="00613406" w:rsidRPr="00613406">
          <w:rPr>
            <w:rStyle w:val="Hyperlink"/>
            <w:rFonts w:cs="Calibri"/>
            <w:noProof/>
            <w:lang w:val="en-US"/>
          </w:rPr>
          <w:noBreakHyphen/>
          <w:t>1: SC</w:t>
        </w:r>
        <w:r w:rsidR="00613406" w:rsidRPr="00613406">
          <w:rPr>
            <w:rStyle w:val="Hyperlink"/>
            <w:noProof/>
            <w:lang w:val="en-US"/>
          </w:rPr>
          <w:t>HEDULE OF PUBLIC HEARING HELD AT VARIOUS LOCATIONS OF THE STATE</w:t>
        </w:r>
        <w:r w:rsidR="00613406" w:rsidRPr="00613406">
          <w:rPr>
            <w:noProof/>
            <w:webHidden/>
          </w:rPr>
          <w:tab/>
        </w:r>
        <w:r w:rsidRPr="00613406">
          <w:rPr>
            <w:noProof/>
            <w:webHidden/>
          </w:rPr>
          <w:fldChar w:fldCharType="begin"/>
        </w:r>
        <w:r w:rsidR="00613406" w:rsidRPr="00613406">
          <w:rPr>
            <w:noProof/>
            <w:webHidden/>
          </w:rPr>
          <w:instrText xml:space="preserve"> PAGEREF _Toc457355601 \h </w:instrText>
        </w:r>
        <w:r w:rsidRPr="00613406">
          <w:rPr>
            <w:noProof/>
            <w:webHidden/>
          </w:rPr>
        </w:r>
        <w:r w:rsidRPr="00613406">
          <w:rPr>
            <w:noProof/>
            <w:webHidden/>
          </w:rPr>
          <w:fldChar w:fldCharType="separate"/>
        </w:r>
        <w:r w:rsidR="00613406" w:rsidRPr="00613406">
          <w:rPr>
            <w:noProof/>
            <w:webHidden/>
          </w:rPr>
          <w:t>17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2" w:history="1">
        <w:r w:rsidR="00613406" w:rsidRPr="00613406">
          <w:rPr>
            <w:rStyle w:val="Hyperlink"/>
            <w:rFonts w:cs="Calibri"/>
            <w:noProof/>
            <w:lang w:val="en-US"/>
          </w:rPr>
          <w:t>Table 4</w:t>
        </w:r>
        <w:r w:rsidR="00613406" w:rsidRPr="00613406">
          <w:rPr>
            <w:rStyle w:val="Hyperlink"/>
            <w:rFonts w:cs="Calibri"/>
            <w:noProof/>
            <w:lang w:val="en-US"/>
          </w:rPr>
          <w:noBreakHyphen/>
          <w:t>1: BULK SUPPLY TARIFF AS COMPUTED BY THE PETITIONER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_Toc457355602 \h </w:instrText>
        </w:r>
        <w:r w:rsidRPr="00613406">
          <w:rPr>
            <w:noProof/>
            <w:webHidden/>
          </w:rPr>
        </w:r>
        <w:r w:rsidRPr="00613406">
          <w:rPr>
            <w:noProof/>
            <w:webHidden/>
          </w:rPr>
          <w:fldChar w:fldCharType="separate"/>
        </w:r>
        <w:r w:rsidR="00613406" w:rsidRPr="00613406">
          <w:rPr>
            <w:noProof/>
            <w:webHidden/>
          </w:rPr>
          <w:t>85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3" w:history="1">
        <w:r w:rsidR="00613406" w:rsidRPr="00613406">
          <w:rPr>
            <w:rStyle w:val="Hyperlink"/>
            <w:rFonts w:cs="Calibri"/>
            <w:noProof/>
            <w:lang w:val="en-US"/>
          </w:rPr>
          <w:t>Table 4</w:t>
        </w:r>
        <w:r w:rsidR="00613406" w:rsidRPr="00613406">
          <w:rPr>
            <w:rStyle w:val="Hyperlink"/>
            <w:rFonts w:cs="Calibri"/>
            <w:noProof/>
            <w:lang w:val="en-US"/>
          </w:rPr>
          <w:noBreakHyphen/>
          <w:t>2: DETAILS OF POWER PURCHASE COST AND PGCIL CHARGES SUBMITTED BY THE PETITIONER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_Toc457355603 \h </w:instrText>
        </w:r>
        <w:r w:rsidRPr="00613406">
          <w:rPr>
            <w:noProof/>
            <w:webHidden/>
          </w:rPr>
        </w:r>
        <w:r w:rsidRPr="00613406">
          <w:rPr>
            <w:noProof/>
            <w:webHidden/>
          </w:rPr>
          <w:fldChar w:fldCharType="separate"/>
        </w:r>
        <w:r w:rsidR="00613406" w:rsidRPr="00613406">
          <w:rPr>
            <w:noProof/>
            <w:webHidden/>
          </w:rPr>
          <w:t>86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4" w:history="1">
        <w:r w:rsidR="00613406" w:rsidRPr="00613406">
          <w:rPr>
            <w:rStyle w:val="Hyperlink"/>
            <w:noProof/>
            <w:lang w:val="en-US"/>
          </w:rPr>
          <w:t>Table 4</w:t>
        </w:r>
        <w:r w:rsidR="00613406" w:rsidRPr="00613406">
          <w:rPr>
            <w:rStyle w:val="Hyperlink"/>
            <w:noProof/>
            <w:lang w:val="en-US"/>
          </w:rPr>
          <w:noBreakHyphen/>
          <w:t>3: POWER PURCHASE COST AS COMPUTED BY PETITIONER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_Toc457355604 \h </w:instrText>
        </w:r>
        <w:r w:rsidRPr="00613406">
          <w:rPr>
            <w:noProof/>
            <w:webHidden/>
          </w:rPr>
        </w:r>
        <w:r w:rsidRPr="00613406">
          <w:rPr>
            <w:noProof/>
            <w:webHidden/>
          </w:rPr>
          <w:fldChar w:fldCharType="separate"/>
        </w:r>
        <w:r w:rsidR="00613406" w:rsidRPr="00613406">
          <w:rPr>
            <w:noProof/>
            <w:webHidden/>
          </w:rPr>
          <w:t>86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5" w:history="1">
        <w:r w:rsidR="00613406" w:rsidRPr="00613406">
          <w:rPr>
            <w:rStyle w:val="Hyperlink"/>
            <w:noProof/>
            <w:lang w:val="en-US"/>
          </w:rPr>
          <w:t>Table 4</w:t>
        </w:r>
        <w:r w:rsidR="00613406" w:rsidRPr="00613406">
          <w:rPr>
            <w:rStyle w:val="Hyperlink"/>
            <w:noProof/>
            <w:lang w:val="en-US"/>
          </w:rPr>
          <w:noBreakHyphen/>
          <w:t>4:   COMPUTATION OF O&amp;M EXPENSES OF UPPCL AS SUBMITTED BY PETITIONER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_Toc457355605 \h </w:instrText>
        </w:r>
        <w:r w:rsidRPr="00613406">
          <w:rPr>
            <w:noProof/>
            <w:webHidden/>
          </w:rPr>
        </w:r>
        <w:r w:rsidRPr="00613406">
          <w:rPr>
            <w:noProof/>
            <w:webHidden/>
          </w:rPr>
          <w:fldChar w:fldCharType="separate"/>
        </w:r>
        <w:r w:rsidR="00613406" w:rsidRPr="00613406">
          <w:rPr>
            <w:noProof/>
            <w:webHidden/>
          </w:rPr>
          <w:t>87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6" w:history="1">
        <w:r w:rsidR="00613406" w:rsidRPr="00613406">
          <w:rPr>
            <w:rStyle w:val="Hyperlink"/>
            <w:noProof/>
            <w:lang w:val="en-US"/>
          </w:rPr>
          <w:t>Table 4</w:t>
        </w:r>
        <w:r w:rsidR="00613406" w:rsidRPr="00613406">
          <w:rPr>
            <w:rStyle w:val="Hyperlink"/>
            <w:noProof/>
            <w:lang w:val="en-US"/>
          </w:rPr>
          <w:noBreakHyphen/>
          <w:t>5: ALLOCATION OF O&amp;M EXPENSES IN THE RATIO OF INPUT ENERGY AS SUBMITTED BY PETITIONER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_Toc457355606 \h </w:instrText>
        </w:r>
        <w:r w:rsidRPr="00613406">
          <w:rPr>
            <w:noProof/>
            <w:webHidden/>
          </w:rPr>
        </w:r>
        <w:r w:rsidRPr="00613406">
          <w:rPr>
            <w:noProof/>
            <w:webHidden/>
          </w:rPr>
          <w:fldChar w:fldCharType="separate"/>
        </w:r>
        <w:r w:rsidR="00613406" w:rsidRPr="00613406">
          <w:rPr>
            <w:noProof/>
            <w:webHidden/>
          </w:rPr>
          <w:t>88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7" w:history="1">
        <w:r w:rsidR="00613406" w:rsidRPr="00613406">
          <w:rPr>
            <w:rStyle w:val="Hyperlink"/>
            <w:noProof/>
            <w:lang w:val="en-US"/>
          </w:rPr>
          <w:t>Table 4</w:t>
        </w:r>
        <w:r w:rsidR="00613406" w:rsidRPr="00613406">
          <w:rPr>
            <w:rStyle w:val="Hyperlink"/>
            <w:noProof/>
            <w:lang w:val="en-US"/>
          </w:rPr>
          <w:noBreakHyphen/>
          <w:t>6: ENERGY BALANCE AND BULK SUPPLY TARIFF APPROVED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_Toc457355607 \h </w:instrText>
        </w:r>
        <w:r w:rsidRPr="00613406">
          <w:rPr>
            <w:noProof/>
            <w:webHidden/>
          </w:rPr>
        </w:r>
        <w:r w:rsidRPr="00613406">
          <w:rPr>
            <w:noProof/>
            <w:webHidden/>
          </w:rPr>
          <w:fldChar w:fldCharType="separate"/>
        </w:r>
        <w:r w:rsidR="00613406" w:rsidRPr="00613406">
          <w:rPr>
            <w:noProof/>
            <w:webHidden/>
          </w:rPr>
          <w:t>89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8" w:history="1">
        <w:r w:rsidR="00613406" w:rsidRPr="00613406">
          <w:rPr>
            <w:rStyle w:val="Hyperlink"/>
            <w:noProof/>
            <w:lang w:val="en-US"/>
          </w:rPr>
          <w:t>Table 4</w:t>
        </w:r>
        <w:r w:rsidR="00613406" w:rsidRPr="00613406">
          <w:rPr>
            <w:rStyle w:val="Hyperlink"/>
            <w:noProof/>
            <w:lang w:val="en-US"/>
          </w:rPr>
          <w:noBreakHyphen/>
          <w:t>7: ALLOWABLE POWER PURCHASE COST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_Toc457355608 \h </w:instrText>
        </w:r>
        <w:r w:rsidRPr="00613406">
          <w:rPr>
            <w:noProof/>
            <w:webHidden/>
          </w:rPr>
        </w:r>
        <w:r w:rsidRPr="00613406">
          <w:rPr>
            <w:noProof/>
            <w:webHidden/>
          </w:rPr>
          <w:fldChar w:fldCharType="separate"/>
        </w:r>
        <w:r w:rsidR="00613406" w:rsidRPr="00613406">
          <w:rPr>
            <w:noProof/>
            <w:webHidden/>
          </w:rPr>
          <w:t>90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09" w:history="1">
        <w:r w:rsidR="00613406" w:rsidRPr="00613406">
          <w:rPr>
            <w:rStyle w:val="Hyperlink"/>
            <w:rFonts w:cs="Calibri"/>
            <w:noProof/>
            <w:lang w:val="en-US"/>
          </w:rPr>
          <w:t>Table 4</w:t>
        </w:r>
        <w:r w:rsidR="00613406" w:rsidRPr="00613406">
          <w:rPr>
            <w:rStyle w:val="Hyperlink"/>
            <w:rFonts w:cs="Calibri"/>
            <w:noProof/>
            <w:lang w:val="en-US"/>
          </w:rPr>
          <w:noBreakHyphen/>
          <w:t>8: ALLOWABLE TRANSMISSION CHARGES FOR FY 2013-14</w:t>
        </w:r>
        <w:r w:rsidR="00613406" w:rsidRPr="00613406">
          <w:rPr>
            <w:noProof/>
            <w:webHidden/>
          </w:rPr>
          <w:tab/>
        </w:r>
        <w:r w:rsidRPr="00613406">
          <w:rPr>
            <w:noProof/>
            <w:webHidden/>
          </w:rPr>
          <w:fldChar w:fldCharType="begin"/>
        </w:r>
        <w:r w:rsidR="00613406" w:rsidRPr="00613406">
          <w:rPr>
            <w:noProof/>
            <w:webHidden/>
          </w:rPr>
          <w:instrText xml:space="preserve"> PAGEREF _Toc457355609 \h </w:instrText>
        </w:r>
        <w:r w:rsidRPr="00613406">
          <w:rPr>
            <w:noProof/>
            <w:webHidden/>
          </w:rPr>
        </w:r>
        <w:r w:rsidRPr="00613406">
          <w:rPr>
            <w:noProof/>
            <w:webHidden/>
          </w:rPr>
          <w:fldChar w:fldCharType="separate"/>
        </w:r>
        <w:r w:rsidR="00613406" w:rsidRPr="00613406">
          <w:rPr>
            <w:noProof/>
            <w:webHidden/>
          </w:rPr>
          <w:t>91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0" w:history="1">
        <w:r w:rsidR="00613406" w:rsidRPr="00613406">
          <w:rPr>
            <w:rStyle w:val="Hyperlink"/>
            <w:rFonts w:cs="Calibri"/>
            <w:noProof/>
            <w:lang w:val="en-US"/>
          </w:rPr>
          <w:t>TABLE 4</w:t>
        </w:r>
        <w:r w:rsidR="00613406" w:rsidRPr="00613406">
          <w:rPr>
            <w:rStyle w:val="Hyperlink"/>
            <w:rFonts w:cs="Calibri"/>
            <w:noProof/>
            <w:lang w:val="en-US"/>
          </w:rPr>
          <w:noBreakHyphen/>
          <w:t>9: ESCALATION INDEX</w:t>
        </w:r>
        <w:r w:rsidR="00613406" w:rsidRPr="00613406">
          <w:rPr>
            <w:noProof/>
            <w:webHidden/>
          </w:rPr>
          <w:tab/>
        </w:r>
        <w:r w:rsidRPr="00613406">
          <w:rPr>
            <w:noProof/>
            <w:webHidden/>
          </w:rPr>
          <w:fldChar w:fldCharType="begin"/>
        </w:r>
        <w:r w:rsidR="00613406" w:rsidRPr="00613406">
          <w:rPr>
            <w:noProof/>
            <w:webHidden/>
          </w:rPr>
          <w:instrText xml:space="preserve"> PAGEREF _Toc457355610 \h </w:instrText>
        </w:r>
        <w:r w:rsidRPr="00613406">
          <w:rPr>
            <w:noProof/>
            <w:webHidden/>
          </w:rPr>
        </w:r>
        <w:r w:rsidRPr="00613406">
          <w:rPr>
            <w:noProof/>
            <w:webHidden/>
          </w:rPr>
          <w:fldChar w:fldCharType="separate"/>
        </w:r>
        <w:r w:rsidR="00613406" w:rsidRPr="00613406">
          <w:rPr>
            <w:noProof/>
            <w:webHidden/>
          </w:rPr>
          <w:t>93</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1" w:history="1">
        <w:r w:rsidR="00613406" w:rsidRPr="00613406">
          <w:rPr>
            <w:rStyle w:val="Hyperlink"/>
            <w:rFonts w:cs="Calibri"/>
            <w:noProof/>
            <w:lang w:val="en-US"/>
          </w:rPr>
          <w:t>Table 4</w:t>
        </w:r>
        <w:r w:rsidR="00613406" w:rsidRPr="00613406">
          <w:rPr>
            <w:rStyle w:val="Hyperlink"/>
            <w:rFonts w:cs="Calibri"/>
            <w:noProof/>
            <w:lang w:val="en-US"/>
          </w:rPr>
          <w:noBreakHyphen/>
          <w:t>10: O&amp;M EXPENSES AS APPROVED BY THE COMMISSION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_Toc457355611 \h </w:instrText>
        </w:r>
        <w:r w:rsidRPr="00613406">
          <w:rPr>
            <w:noProof/>
            <w:webHidden/>
          </w:rPr>
        </w:r>
        <w:r w:rsidRPr="00613406">
          <w:rPr>
            <w:noProof/>
            <w:webHidden/>
          </w:rPr>
          <w:fldChar w:fldCharType="separate"/>
        </w:r>
        <w:r w:rsidR="00613406" w:rsidRPr="00613406">
          <w:rPr>
            <w:noProof/>
            <w:webHidden/>
          </w:rPr>
          <w:t>95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2" w:history="1">
        <w:r w:rsidR="00613406" w:rsidRPr="00613406">
          <w:rPr>
            <w:rStyle w:val="Hyperlink"/>
            <w:rFonts w:cs="Calibri"/>
            <w:noProof/>
            <w:lang w:val="en-US"/>
          </w:rPr>
          <w:t>Table 4</w:t>
        </w:r>
        <w:r w:rsidR="00613406" w:rsidRPr="00613406">
          <w:rPr>
            <w:rStyle w:val="Hyperlink"/>
            <w:rFonts w:cs="Calibri"/>
            <w:noProof/>
            <w:lang w:val="en-US"/>
          </w:rPr>
          <w:noBreakHyphen/>
          <w:t>11: CAPITAL INVESTMENTS IN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_Toc457355612 \h </w:instrText>
        </w:r>
        <w:r w:rsidRPr="00613406">
          <w:rPr>
            <w:noProof/>
            <w:webHidden/>
          </w:rPr>
        </w:r>
        <w:r w:rsidRPr="00613406">
          <w:rPr>
            <w:noProof/>
            <w:webHidden/>
          </w:rPr>
          <w:fldChar w:fldCharType="separate"/>
        </w:r>
        <w:r w:rsidR="00613406" w:rsidRPr="00613406">
          <w:rPr>
            <w:noProof/>
            <w:webHidden/>
          </w:rPr>
          <w:t>96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3" w:history="1">
        <w:r w:rsidR="00613406" w:rsidRPr="00613406">
          <w:rPr>
            <w:rStyle w:val="Hyperlink"/>
            <w:rFonts w:cs="Calibri"/>
            <w:noProof/>
            <w:lang w:val="en-US"/>
          </w:rPr>
          <w:t>Table 4</w:t>
        </w:r>
        <w:r w:rsidR="00613406" w:rsidRPr="00613406">
          <w:rPr>
            <w:rStyle w:val="Hyperlink"/>
            <w:rFonts w:cs="Calibri"/>
            <w:noProof/>
            <w:lang w:val="en-US"/>
          </w:rPr>
          <w:noBreakHyphen/>
          <w:t>12: CONSUMER CONTRIBUTIONS, CAPITAL GRANTS AND SUBSIDIES RECEIVED AS ALLOWED BY THE COMMISSION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_Toc457355613 \h </w:instrText>
        </w:r>
        <w:r w:rsidRPr="00613406">
          <w:rPr>
            <w:noProof/>
            <w:webHidden/>
          </w:rPr>
        </w:r>
        <w:r w:rsidRPr="00613406">
          <w:rPr>
            <w:noProof/>
            <w:webHidden/>
          </w:rPr>
          <w:fldChar w:fldCharType="separate"/>
        </w:r>
        <w:r w:rsidR="00613406" w:rsidRPr="00613406">
          <w:rPr>
            <w:noProof/>
            <w:webHidden/>
          </w:rPr>
          <w:t>97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4" w:history="1">
        <w:r w:rsidR="00613406" w:rsidRPr="00613406">
          <w:rPr>
            <w:rStyle w:val="Hyperlink"/>
            <w:rFonts w:cs="Calibri"/>
            <w:noProof/>
            <w:lang w:val="en-US"/>
          </w:rPr>
          <w:t>Table 4</w:t>
        </w:r>
        <w:r w:rsidR="00613406" w:rsidRPr="00613406">
          <w:rPr>
            <w:rStyle w:val="Hyperlink"/>
            <w:rFonts w:cs="Calibri"/>
            <w:noProof/>
            <w:lang w:val="en-US"/>
          </w:rPr>
          <w:noBreakHyphen/>
          <w:t>13: FINANCING OF THE CAPITAL INVESTMENTS AS APPROVED BY THE COMMISSION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_Toc457355614 \h </w:instrText>
        </w:r>
        <w:r w:rsidRPr="00613406">
          <w:rPr>
            <w:noProof/>
            <w:webHidden/>
          </w:rPr>
        </w:r>
        <w:r w:rsidRPr="00613406">
          <w:rPr>
            <w:noProof/>
            <w:webHidden/>
          </w:rPr>
          <w:fldChar w:fldCharType="separate"/>
        </w:r>
        <w:r w:rsidR="00613406" w:rsidRPr="00613406">
          <w:rPr>
            <w:noProof/>
            <w:webHidden/>
          </w:rPr>
          <w:t>97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5" w:history="1">
        <w:r w:rsidR="00613406" w:rsidRPr="00613406">
          <w:rPr>
            <w:rStyle w:val="Hyperlink"/>
            <w:rFonts w:cs="Calibri"/>
            <w:noProof/>
            <w:lang w:val="en-US"/>
          </w:rPr>
          <w:t>Table 4</w:t>
        </w:r>
        <w:r w:rsidR="00613406" w:rsidRPr="00613406">
          <w:rPr>
            <w:rStyle w:val="Hyperlink"/>
            <w:rFonts w:cs="Calibri"/>
            <w:noProof/>
            <w:lang w:val="en-US"/>
          </w:rPr>
          <w:noBreakHyphen/>
          <w:t>14: INTEREST ON LONG TERM LOAN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_Toc457355615 \h </w:instrText>
        </w:r>
        <w:r w:rsidRPr="00613406">
          <w:rPr>
            <w:noProof/>
            <w:webHidden/>
          </w:rPr>
        </w:r>
        <w:r w:rsidRPr="00613406">
          <w:rPr>
            <w:noProof/>
            <w:webHidden/>
          </w:rPr>
          <w:fldChar w:fldCharType="separate"/>
        </w:r>
        <w:r w:rsidR="00613406" w:rsidRPr="00613406">
          <w:rPr>
            <w:noProof/>
            <w:webHidden/>
          </w:rPr>
          <w:t>98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6" w:history="1">
        <w:r w:rsidR="00613406" w:rsidRPr="00613406">
          <w:rPr>
            <w:rStyle w:val="Hyperlink"/>
            <w:rFonts w:cs="Calibri"/>
            <w:noProof/>
            <w:lang w:val="en-US"/>
          </w:rPr>
          <w:t>Table 4</w:t>
        </w:r>
        <w:r w:rsidR="00613406" w:rsidRPr="00613406">
          <w:rPr>
            <w:rStyle w:val="Hyperlink"/>
            <w:rFonts w:cs="Calibri"/>
            <w:noProof/>
            <w:lang w:val="en-US"/>
          </w:rPr>
          <w:noBreakHyphen/>
          <w:t>15: ALLOWABLE FINANCE CHARGES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_Toc457355616 \h </w:instrText>
        </w:r>
        <w:r w:rsidRPr="00613406">
          <w:rPr>
            <w:noProof/>
            <w:webHidden/>
          </w:rPr>
        </w:r>
        <w:r w:rsidRPr="00613406">
          <w:rPr>
            <w:noProof/>
            <w:webHidden/>
          </w:rPr>
          <w:fldChar w:fldCharType="separate"/>
        </w:r>
        <w:r w:rsidR="00613406" w:rsidRPr="00613406">
          <w:rPr>
            <w:noProof/>
            <w:webHidden/>
          </w:rPr>
          <w:t>99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7" w:history="1">
        <w:r w:rsidR="00613406" w:rsidRPr="00613406">
          <w:rPr>
            <w:rStyle w:val="Hyperlink"/>
            <w:rFonts w:cs="Calibri"/>
            <w:noProof/>
            <w:lang w:val="en-US"/>
          </w:rPr>
          <w:t>Table 4</w:t>
        </w:r>
        <w:r w:rsidR="00613406" w:rsidRPr="00613406">
          <w:rPr>
            <w:rStyle w:val="Hyperlink"/>
            <w:rFonts w:cs="Calibri"/>
            <w:noProof/>
            <w:lang w:val="en-US"/>
          </w:rPr>
          <w:noBreakHyphen/>
          <w:t>16: INTEREST ON WORKING CAPITAL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_Toc457355617 \h </w:instrText>
        </w:r>
        <w:r w:rsidRPr="00613406">
          <w:rPr>
            <w:noProof/>
            <w:webHidden/>
          </w:rPr>
        </w:r>
        <w:r w:rsidRPr="00613406">
          <w:rPr>
            <w:noProof/>
            <w:webHidden/>
          </w:rPr>
          <w:fldChar w:fldCharType="separate"/>
        </w:r>
        <w:r w:rsidR="00613406" w:rsidRPr="00613406">
          <w:rPr>
            <w:noProof/>
            <w:webHidden/>
          </w:rPr>
          <w:t>100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8" w:history="1">
        <w:r w:rsidR="00613406" w:rsidRPr="00613406">
          <w:rPr>
            <w:rStyle w:val="Hyperlink"/>
            <w:rFonts w:cs="Calibri"/>
            <w:noProof/>
            <w:lang w:val="en-US"/>
          </w:rPr>
          <w:t>Table 4</w:t>
        </w:r>
        <w:r w:rsidR="00613406" w:rsidRPr="00613406">
          <w:rPr>
            <w:rStyle w:val="Hyperlink"/>
            <w:rFonts w:cs="Calibri"/>
            <w:noProof/>
            <w:lang w:val="en-US"/>
          </w:rPr>
          <w:noBreakHyphen/>
          <w:t>17: ALLOWABLE INTEREST AND FINANCE CHARGES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_Toc457355618 \h </w:instrText>
        </w:r>
        <w:r w:rsidRPr="00613406">
          <w:rPr>
            <w:noProof/>
            <w:webHidden/>
          </w:rPr>
        </w:r>
        <w:r w:rsidRPr="00613406">
          <w:rPr>
            <w:noProof/>
            <w:webHidden/>
          </w:rPr>
          <w:fldChar w:fldCharType="separate"/>
        </w:r>
        <w:r w:rsidR="00613406" w:rsidRPr="00613406">
          <w:rPr>
            <w:noProof/>
            <w:webHidden/>
          </w:rPr>
          <w:t>101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19" w:history="1">
        <w:r w:rsidR="00613406" w:rsidRPr="00613406">
          <w:rPr>
            <w:rStyle w:val="Hyperlink"/>
            <w:rFonts w:cs="Calibri"/>
            <w:noProof/>
            <w:lang w:val="en-US"/>
          </w:rPr>
          <w:t>Table 4</w:t>
        </w:r>
        <w:r w:rsidR="00613406" w:rsidRPr="00613406">
          <w:rPr>
            <w:rStyle w:val="Hyperlink"/>
            <w:rFonts w:cs="Calibri"/>
            <w:noProof/>
            <w:lang w:val="en-US"/>
          </w:rPr>
          <w:noBreakHyphen/>
          <w:t>18: DEPRECIATION CLAIMED BY LICENSEE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_Toc457355619 \h </w:instrText>
        </w:r>
        <w:r w:rsidRPr="00613406">
          <w:rPr>
            <w:noProof/>
            <w:webHidden/>
          </w:rPr>
        </w:r>
        <w:r w:rsidRPr="00613406">
          <w:rPr>
            <w:noProof/>
            <w:webHidden/>
          </w:rPr>
          <w:fldChar w:fldCharType="separate"/>
        </w:r>
        <w:r w:rsidR="00613406" w:rsidRPr="00613406">
          <w:rPr>
            <w:noProof/>
            <w:webHidden/>
          </w:rPr>
          <w:t>102</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0" w:history="1">
        <w:r w:rsidR="00613406" w:rsidRPr="00613406">
          <w:rPr>
            <w:rStyle w:val="Hyperlink"/>
            <w:rFonts w:cs="Calibri"/>
            <w:noProof/>
            <w:lang w:val="en-US"/>
          </w:rPr>
          <w:t>Table 4</w:t>
        </w:r>
        <w:r w:rsidR="00613406" w:rsidRPr="00613406">
          <w:rPr>
            <w:rStyle w:val="Hyperlink"/>
            <w:rFonts w:cs="Calibri"/>
            <w:noProof/>
            <w:lang w:val="en-US"/>
          </w:rPr>
          <w:noBreakHyphen/>
          <w:t>19: DEPRECIATION EXPENSES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_Toc457355620 \h </w:instrText>
        </w:r>
        <w:r w:rsidRPr="00613406">
          <w:rPr>
            <w:noProof/>
            <w:webHidden/>
          </w:rPr>
        </w:r>
        <w:r w:rsidRPr="00613406">
          <w:rPr>
            <w:noProof/>
            <w:webHidden/>
          </w:rPr>
          <w:fldChar w:fldCharType="separate"/>
        </w:r>
        <w:r w:rsidR="00613406" w:rsidRPr="00613406">
          <w:rPr>
            <w:noProof/>
            <w:webHidden/>
          </w:rPr>
          <w:t>103</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1" w:history="1">
        <w:r w:rsidR="00613406" w:rsidRPr="00613406">
          <w:rPr>
            <w:rStyle w:val="Hyperlink"/>
            <w:rFonts w:cs="Calibri"/>
            <w:noProof/>
            <w:lang w:val="en-US"/>
          </w:rPr>
          <w:t>Table 4</w:t>
        </w:r>
        <w:r w:rsidR="00613406" w:rsidRPr="00613406">
          <w:rPr>
            <w:rStyle w:val="Hyperlink"/>
            <w:rFonts w:cs="Calibri"/>
            <w:noProof/>
            <w:lang w:val="en-US"/>
          </w:rPr>
          <w:noBreakHyphen/>
          <w:t>20: PRIOR PERIOD INCOME FOR FY 2013-14(Rs. Crore)</w:t>
        </w:r>
        <w:r w:rsidR="00613406" w:rsidRPr="00613406">
          <w:rPr>
            <w:noProof/>
            <w:webHidden/>
          </w:rPr>
          <w:tab/>
        </w:r>
        <w:r w:rsidRPr="00613406">
          <w:rPr>
            <w:noProof/>
            <w:webHidden/>
          </w:rPr>
          <w:fldChar w:fldCharType="begin"/>
        </w:r>
        <w:r w:rsidR="00613406" w:rsidRPr="00613406">
          <w:rPr>
            <w:noProof/>
            <w:webHidden/>
          </w:rPr>
          <w:instrText xml:space="preserve"> PAGEREF _Toc457355621 \h </w:instrText>
        </w:r>
        <w:r w:rsidRPr="00613406">
          <w:rPr>
            <w:noProof/>
            <w:webHidden/>
          </w:rPr>
        </w:r>
        <w:r w:rsidRPr="00613406">
          <w:rPr>
            <w:noProof/>
            <w:webHidden/>
          </w:rPr>
          <w:fldChar w:fldCharType="separate"/>
        </w:r>
        <w:r w:rsidR="00613406" w:rsidRPr="00613406">
          <w:rPr>
            <w:noProof/>
            <w:webHidden/>
          </w:rPr>
          <w:t>106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2" w:history="1">
        <w:r w:rsidR="00613406" w:rsidRPr="00613406">
          <w:rPr>
            <w:rStyle w:val="Hyperlink"/>
            <w:rFonts w:cs="Calibri"/>
            <w:noProof/>
            <w:lang w:val="en-US"/>
          </w:rPr>
          <w:t>Table 4</w:t>
        </w:r>
        <w:r w:rsidR="00613406" w:rsidRPr="00613406">
          <w:rPr>
            <w:rStyle w:val="Hyperlink"/>
            <w:rFonts w:cs="Calibri"/>
            <w:noProof/>
            <w:lang w:val="en-US"/>
          </w:rPr>
          <w:noBreakHyphen/>
          <w:t>21: PROVISION FOR BAD AND DOUBTFUL DEBT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_Toc457355622 \h </w:instrText>
        </w:r>
        <w:r w:rsidRPr="00613406">
          <w:rPr>
            <w:noProof/>
            <w:webHidden/>
          </w:rPr>
        </w:r>
        <w:r w:rsidRPr="00613406">
          <w:rPr>
            <w:noProof/>
            <w:webHidden/>
          </w:rPr>
          <w:fldChar w:fldCharType="separate"/>
        </w:r>
        <w:r w:rsidR="00613406" w:rsidRPr="00613406">
          <w:rPr>
            <w:noProof/>
            <w:webHidden/>
          </w:rPr>
          <w:t>110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3" w:history="1">
        <w:r w:rsidR="00613406" w:rsidRPr="00613406">
          <w:rPr>
            <w:rStyle w:val="Hyperlink"/>
            <w:rFonts w:cs="Calibri"/>
            <w:noProof/>
            <w:lang w:val="en-US"/>
          </w:rPr>
          <w:t>Table 4</w:t>
        </w:r>
        <w:r w:rsidR="00613406" w:rsidRPr="00613406">
          <w:rPr>
            <w:rStyle w:val="Hyperlink"/>
            <w:rFonts w:cs="Calibri"/>
            <w:noProof/>
            <w:lang w:val="en-US"/>
          </w:rPr>
          <w:noBreakHyphen/>
          <w:t>22: REVENUE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_Toc457355623 \h </w:instrText>
        </w:r>
        <w:r w:rsidRPr="00613406">
          <w:rPr>
            <w:noProof/>
            <w:webHidden/>
          </w:rPr>
        </w:r>
        <w:r w:rsidRPr="00613406">
          <w:rPr>
            <w:noProof/>
            <w:webHidden/>
          </w:rPr>
          <w:fldChar w:fldCharType="separate"/>
        </w:r>
        <w:r w:rsidR="00613406" w:rsidRPr="00613406">
          <w:rPr>
            <w:noProof/>
            <w:webHidden/>
          </w:rPr>
          <w:t>111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4" w:history="1">
        <w:r w:rsidR="00613406" w:rsidRPr="00613406">
          <w:rPr>
            <w:rStyle w:val="Hyperlink"/>
            <w:noProof/>
            <w:lang w:val="en-US"/>
          </w:rPr>
          <w:t>Table 4</w:t>
        </w:r>
        <w:r w:rsidR="00613406" w:rsidRPr="00613406">
          <w:rPr>
            <w:rStyle w:val="Hyperlink"/>
            <w:noProof/>
            <w:lang w:val="en-US"/>
          </w:rPr>
          <w:noBreakHyphen/>
          <w:t xml:space="preserve">23: ARR, REVENUE AND GAP </w:t>
        </w:r>
        <w:r w:rsidR="00613406" w:rsidRPr="00613406">
          <w:rPr>
            <w:rStyle w:val="Hyperlink"/>
            <w:rFonts w:cs="Calibri"/>
            <w:noProof/>
            <w:lang w:val="en-US"/>
          </w:rPr>
          <w:t>SUMMARY</w:t>
        </w:r>
        <w:r w:rsidR="00613406" w:rsidRPr="00613406">
          <w:rPr>
            <w:rStyle w:val="Hyperlink"/>
            <w:noProof/>
            <w:lang w:val="en-US"/>
          </w:rPr>
          <w:t xml:space="preserve"> FOR FY 2013-14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_Toc457355624 \h </w:instrText>
        </w:r>
        <w:r w:rsidRPr="00613406">
          <w:rPr>
            <w:noProof/>
            <w:webHidden/>
          </w:rPr>
        </w:r>
        <w:r w:rsidRPr="00613406">
          <w:rPr>
            <w:noProof/>
            <w:webHidden/>
          </w:rPr>
          <w:fldChar w:fldCharType="separate"/>
        </w:r>
        <w:r w:rsidR="00613406" w:rsidRPr="00613406">
          <w:rPr>
            <w:noProof/>
            <w:webHidden/>
          </w:rPr>
          <w:t>111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5" w:history="1">
        <w:r w:rsidR="00613406" w:rsidRPr="00613406">
          <w:rPr>
            <w:rStyle w:val="Hyperlink"/>
            <w:rFonts w:cs="Calibri"/>
            <w:noProof/>
            <w:lang w:val="en-US"/>
          </w:rPr>
          <w:t>Table 5</w:t>
        </w:r>
        <w:r w:rsidR="00613406" w:rsidRPr="00613406">
          <w:rPr>
            <w:rStyle w:val="Hyperlink"/>
            <w:rFonts w:cs="Calibri"/>
            <w:noProof/>
            <w:lang w:val="en-US"/>
          </w:rPr>
          <w:noBreakHyphen/>
          <w:t>1: CONSUMPTION PARAMETERS SUBMITTED BY THE PETITIONER FOR FY 2016-</w:t>
        </w:r>
        <w:r w:rsidR="00613406" w:rsidRPr="00613406">
          <w:rPr>
            <w:rStyle w:val="Hyperlink"/>
            <w:noProof/>
          </w:rPr>
          <w:t>17</w:t>
        </w:r>
        <w:r w:rsidR="00613406" w:rsidRPr="00613406">
          <w:rPr>
            <w:noProof/>
            <w:webHidden/>
          </w:rPr>
          <w:tab/>
        </w:r>
        <w:r w:rsidRPr="00613406">
          <w:rPr>
            <w:noProof/>
            <w:webHidden/>
          </w:rPr>
          <w:fldChar w:fldCharType="begin"/>
        </w:r>
        <w:r w:rsidR="00613406" w:rsidRPr="00613406">
          <w:rPr>
            <w:noProof/>
            <w:webHidden/>
          </w:rPr>
          <w:instrText xml:space="preserve"> PAGEREF _Toc457355625 \h </w:instrText>
        </w:r>
        <w:r w:rsidRPr="00613406">
          <w:rPr>
            <w:noProof/>
            <w:webHidden/>
          </w:rPr>
        </w:r>
        <w:r w:rsidRPr="00613406">
          <w:rPr>
            <w:noProof/>
            <w:webHidden/>
          </w:rPr>
          <w:fldChar w:fldCharType="separate"/>
        </w:r>
        <w:r w:rsidR="00613406" w:rsidRPr="00613406">
          <w:rPr>
            <w:noProof/>
            <w:webHidden/>
          </w:rPr>
          <w:t>114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6" w:history="1">
        <w:r w:rsidR="00613406" w:rsidRPr="00613406">
          <w:rPr>
            <w:rStyle w:val="Hyperlink"/>
            <w:rFonts w:cs="Calibri"/>
            <w:noProof/>
            <w:lang w:val="en-US"/>
          </w:rPr>
          <w:t>Table 5</w:t>
        </w:r>
        <w:r w:rsidR="00613406" w:rsidRPr="00613406">
          <w:rPr>
            <w:rStyle w:val="Hyperlink"/>
            <w:rFonts w:cs="Calibri"/>
            <w:noProof/>
            <w:lang w:val="en-US"/>
          </w:rPr>
          <w:noBreakHyphen/>
          <w:t>2: CONSUMPTION NORMS FOR UNMETERED CATEGORIES</w:t>
        </w:r>
        <w:r w:rsidR="00613406" w:rsidRPr="00613406">
          <w:rPr>
            <w:noProof/>
            <w:webHidden/>
          </w:rPr>
          <w:tab/>
        </w:r>
        <w:r w:rsidRPr="00613406">
          <w:rPr>
            <w:noProof/>
            <w:webHidden/>
          </w:rPr>
          <w:fldChar w:fldCharType="begin"/>
        </w:r>
        <w:r w:rsidR="00613406" w:rsidRPr="00613406">
          <w:rPr>
            <w:noProof/>
            <w:webHidden/>
          </w:rPr>
          <w:instrText xml:space="preserve"> PAGEREF _Toc457355626 \h </w:instrText>
        </w:r>
        <w:r w:rsidRPr="00613406">
          <w:rPr>
            <w:noProof/>
            <w:webHidden/>
          </w:rPr>
        </w:r>
        <w:r w:rsidRPr="00613406">
          <w:rPr>
            <w:noProof/>
            <w:webHidden/>
          </w:rPr>
          <w:fldChar w:fldCharType="separate"/>
        </w:r>
        <w:r w:rsidR="00613406" w:rsidRPr="00613406">
          <w:rPr>
            <w:noProof/>
            <w:webHidden/>
          </w:rPr>
          <w:t>114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7" w:history="1">
        <w:r w:rsidR="00613406" w:rsidRPr="00613406">
          <w:rPr>
            <w:rStyle w:val="Hyperlink"/>
            <w:rFonts w:cs="Calibri"/>
            <w:noProof/>
            <w:lang w:val="en-US"/>
          </w:rPr>
          <w:t>Table 5</w:t>
        </w:r>
        <w:r w:rsidR="00613406" w:rsidRPr="00613406">
          <w:rPr>
            <w:rStyle w:val="Hyperlink"/>
            <w:rFonts w:cs="Calibri"/>
            <w:noProof/>
            <w:lang w:val="en-US"/>
          </w:rPr>
          <w:noBreakHyphen/>
          <w:t>3:</w:t>
        </w:r>
        <w:r w:rsidR="00613406" w:rsidRPr="00613406">
          <w:rPr>
            <w:rStyle w:val="Hyperlink"/>
            <w:noProof/>
          </w:rPr>
          <w:t xml:space="preserve"> CONSUMPTION NORMS IN URBAN AREA SUBMITTED BY UPPCL</w:t>
        </w:r>
        <w:r w:rsidR="00613406" w:rsidRPr="00613406">
          <w:rPr>
            <w:noProof/>
            <w:webHidden/>
          </w:rPr>
          <w:tab/>
        </w:r>
        <w:r w:rsidRPr="00613406">
          <w:rPr>
            <w:noProof/>
            <w:webHidden/>
          </w:rPr>
          <w:fldChar w:fldCharType="begin"/>
        </w:r>
        <w:r w:rsidR="00613406" w:rsidRPr="00613406">
          <w:rPr>
            <w:noProof/>
            <w:webHidden/>
          </w:rPr>
          <w:instrText xml:space="preserve"> PAGEREF _Toc457355627 \h </w:instrText>
        </w:r>
        <w:r w:rsidRPr="00613406">
          <w:rPr>
            <w:noProof/>
            <w:webHidden/>
          </w:rPr>
        </w:r>
        <w:r w:rsidRPr="00613406">
          <w:rPr>
            <w:noProof/>
            <w:webHidden/>
          </w:rPr>
          <w:fldChar w:fldCharType="separate"/>
        </w:r>
        <w:r w:rsidR="00613406" w:rsidRPr="00613406">
          <w:rPr>
            <w:noProof/>
            <w:webHidden/>
          </w:rPr>
          <w:t>117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8" w:history="1">
        <w:r w:rsidR="00613406" w:rsidRPr="00613406">
          <w:rPr>
            <w:rStyle w:val="Hyperlink"/>
            <w:rFonts w:cs="Calibri"/>
            <w:noProof/>
            <w:lang w:val="en-US"/>
          </w:rPr>
          <w:t>Table 5</w:t>
        </w:r>
        <w:r w:rsidR="00613406" w:rsidRPr="00613406">
          <w:rPr>
            <w:rStyle w:val="Hyperlink"/>
            <w:rFonts w:cs="Calibri"/>
            <w:noProof/>
            <w:lang w:val="en-US"/>
          </w:rPr>
          <w:noBreakHyphen/>
          <w:t xml:space="preserve">4: </w:t>
        </w:r>
        <w:r w:rsidR="00613406" w:rsidRPr="00613406">
          <w:rPr>
            <w:rStyle w:val="Hyperlink"/>
            <w:noProof/>
          </w:rPr>
          <w:t>PROJECTED HOURS OF SUPPLY AS SUBMITTED BY THE PETITIONER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_Toc457355628 \h </w:instrText>
        </w:r>
        <w:r w:rsidRPr="00613406">
          <w:rPr>
            <w:noProof/>
            <w:webHidden/>
          </w:rPr>
        </w:r>
        <w:r w:rsidRPr="00613406">
          <w:rPr>
            <w:noProof/>
            <w:webHidden/>
          </w:rPr>
          <w:fldChar w:fldCharType="separate"/>
        </w:r>
        <w:r w:rsidR="00613406" w:rsidRPr="00613406">
          <w:rPr>
            <w:noProof/>
            <w:webHidden/>
          </w:rPr>
          <w:t>118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29" w:history="1">
        <w:r w:rsidR="00613406" w:rsidRPr="00613406">
          <w:rPr>
            <w:rStyle w:val="Hyperlink"/>
            <w:rFonts w:cs="Calibri"/>
            <w:noProof/>
            <w:lang w:val="en-US"/>
          </w:rPr>
          <w:t>Table 5</w:t>
        </w:r>
        <w:r w:rsidR="00613406" w:rsidRPr="00613406">
          <w:rPr>
            <w:rStyle w:val="Hyperlink"/>
            <w:rFonts w:cs="Calibri"/>
            <w:noProof/>
            <w:lang w:val="en-US"/>
          </w:rPr>
          <w:noBreakHyphen/>
          <w:t>5: CONSUMPTION PARAMETERS APPROVED BY THE COMMISSION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_Toc457355629 \h </w:instrText>
        </w:r>
        <w:r w:rsidRPr="00613406">
          <w:rPr>
            <w:noProof/>
            <w:webHidden/>
          </w:rPr>
        </w:r>
        <w:r w:rsidRPr="00613406">
          <w:rPr>
            <w:noProof/>
            <w:webHidden/>
          </w:rPr>
          <w:fldChar w:fldCharType="separate"/>
        </w:r>
        <w:r w:rsidR="00613406" w:rsidRPr="00613406">
          <w:rPr>
            <w:noProof/>
            <w:webHidden/>
          </w:rPr>
          <w:t>118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0" w:history="1">
        <w:r w:rsidR="00613406" w:rsidRPr="00613406">
          <w:rPr>
            <w:rStyle w:val="Hyperlink"/>
            <w:rFonts w:cs="Calibri"/>
            <w:noProof/>
            <w:lang w:val="en-US"/>
          </w:rPr>
          <w:t>Table 5</w:t>
        </w:r>
        <w:r w:rsidR="00613406" w:rsidRPr="00613406">
          <w:rPr>
            <w:rStyle w:val="Hyperlink"/>
            <w:rFonts w:cs="Calibri"/>
            <w:noProof/>
            <w:lang w:val="en-US"/>
          </w:rPr>
          <w:noBreakHyphen/>
          <w:t>6: NUMBER OF CONSUMERS: HISTORICAL TREND AND APPROVED VALUES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_Toc457355630 \h </w:instrText>
        </w:r>
        <w:r w:rsidRPr="00613406">
          <w:rPr>
            <w:noProof/>
            <w:webHidden/>
          </w:rPr>
        </w:r>
        <w:r w:rsidRPr="00613406">
          <w:rPr>
            <w:noProof/>
            <w:webHidden/>
          </w:rPr>
          <w:fldChar w:fldCharType="separate"/>
        </w:r>
        <w:r w:rsidR="00613406" w:rsidRPr="00613406">
          <w:rPr>
            <w:noProof/>
            <w:webHidden/>
          </w:rPr>
          <w:t>119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1" w:history="1">
        <w:r w:rsidR="00613406" w:rsidRPr="00613406">
          <w:rPr>
            <w:rStyle w:val="Hyperlink"/>
            <w:rFonts w:cs="Calibri"/>
            <w:noProof/>
            <w:lang w:val="en-US"/>
          </w:rPr>
          <w:t>Table 5</w:t>
        </w:r>
        <w:r w:rsidR="00613406" w:rsidRPr="00613406">
          <w:rPr>
            <w:rStyle w:val="Hyperlink"/>
            <w:rFonts w:cs="Calibri"/>
            <w:noProof/>
            <w:lang w:val="en-US"/>
          </w:rPr>
          <w:noBreakHyphen/>
          <w:t>7: CONNECTED LOAD (kW): HISTORICAL TREND AND APPROVED VALUES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_Toc457355631 \h </w:instrText>
        </w:r>
        <w:r w:rsidRPr="00613406">
          <w:rPr>
            <w:noProof/>
            <w:webHidden/>
          </w:rPr>
        </w:r>
        <w:r w:rsidRPr="00613406">
          <w:rPr>
            <w:noProof/>
            <w:webHidden/>
          </w:rPr>
          <w:fldChar w:fldCharType="separate"/>
        </w:r>
        <w:r w:rsidR="00613406" w:rsidRPr="00613406">
          <w:rPr>
            <w:noProof/>
            <w:webHidden/>
          </w:rPr>
          <w:t>119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2" w:history="1">
        <w:r w:rsidR="00613406" w:rsidRPr="00613406">
          <w:rPr>
            <w:rStyle w:val="Hyperlink"/>
            <w:rFonts w:cs="Calibri"/>
            <w:noProof/>
            <w:lang w:val="en-US"/>
          </w:rPr>
          <w:t>Table 5</w:t>
        </w:r>
        <w:r w:rsidR="00613406" w:rsidRPr="00613406">
          <w:rPr>
            <w:rStyle w:val="Hyperlink"/>
            <w:rFonts w:cs="Calibri"/>
            <w:noProof/>
            <w:lang w:val="en-US"/>
          </w:rPr>
          <w:noBreakHyphen/>
          <w:t>8: ENERGY SALES (MU): HISTORICAL TREND AND APPROVED VALUES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_Toc457355632 \h </w:instrText>
        </w:r>
        <w:r w:rsidRPr="00613406">
          <w:rPr>
            <w:noProof/>
            <w:webHidden/>
          </w:rPr>
        </w:r>
        <w:r w:rsidRPr="00613406">
          <w:rPr>
            <w:noProof/>
            <w:webHidden/>
          </w:rPr>
          <w:fldChar w:fldCharType="separate"/>
        </w:r>
        <w:r w:rsidR="00613406" w:rsidRPr="00613406">
          <w:rPr>
            <w:noProof/>
            <w:webHidden/>
          </w:rPr>
          <w:t>120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3" w:history="1">
        <w:r w:rsidR="00613406" w:rsidRPr="00613406">
          <w:rPr>
            <w:rStyle w:val="Hyperlink"/>
            <w:rFonts w:cs="Calibri"/>
            <w:noProof/>
            <w:lang w:val="en-US"/>
          </w:rPr>
          <w:t>TABLE 5</w:t>
        </w:r>
        <w:r w:rsidR="00613406" w:rsidRPr="00613406">
          <w:rPr>
            <w:rStyle w:val="Hyperlink"/>
            <w:rFonts w:cs="Calibri"/>
            <w:noProof/>
            <w:lang w:val="en-US"/>
          </w:rPr>
          <w:noBreakHyphen/>
          <w:t>9: NUMBER OF UN-METERED CONSUMERS AS SUBMITTED BY PETITIONER</w:t>
        </w:r>
        <w:r w:rsidR="00613406" w:rsidRPr="00613406">
          <w:rPr>
            <w:noProof/>
            <w:webHidden/>
          </w:rPr>
          <w:tab/>
        </w:r>
        <w:r w:rsidRPr="00613406">
          <w:rPr>
            <w:noProof/>
            <w:webHidden/>
          </w:rPr>
          <w:fldChar w:fldCharType="begin"/>
        </w:r>
        <w:r w:rsidR="00613406" w:rsidRPr="00613406">
          <w:rPr>
            <w:noProof/>
            <w:webHidden/>
          </w:rPr>
          <w:instrText xml:space="preserve"> PAGEREF _Toc457355633 \h </w:instrText>
        </w:r>
        <w:r w:rsidRPr="00613406">
          <w:rPr>
            <w:noProof/>
            <w:webHidden/>
          </w:rPr>
        </w:r>
        <w:r w:rsidRPr="00613406">
          <w:rPr>
            <w:noProof/>
            <w:webHidden/>
          </w:rPr>
          <w:fldChar w:fldCharType="separate"/>
        </w:r>
        <w:r w:rsidR="00613406" w:rsidRPr="00613406">
          <w:rPr>
            <w:noProof/>
            <w:webHidden/>
          </w:rPr>
          <w:t>124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4" w:history="1">
        <w:r w:rsidR="00613406" w:rsidRPr="00613406">
          <w:rPr>
            <w:rStyle w:val="Hyperlink"/>
            <w:rFonts w:cs="TTE23FEB88t00"/>
            <w:noProof/>
            <w:lang w:val="en-US"/>
          </w:rPr>
          <w:t>TABLE 5</w:t>
        </w:r>
        <w:r w:rsidR="00613406" w:rsidRPr="00613406">
          <w:rPr>
            <w:rStyle w:val="Hyperlink"/>
            <w:rFonts w:cs="TTE23FEB88t00"/>
            <w:noProof/>
            <w:lang w:val="en-US"/>
          </w:rPr>
          <w:noBreakHyphen/>
          <w:t>10: NUMBER OF UN-METERED CONSUMERS AS SUBMITTED BY KESCO</w:t>
        </w:r>
        <w:r w:rsidR="00613406" w:rsidRPr="00613406">
          <w:rPr>
            <w:noProof/>
            <w:webHidden/>
          </w:rPr>
          <w:tab/>
        </w:r>
        <w:r w:rsidRPr="00613406">
          <w:rPr>
            <w:noProof/>
            <w:webHidden/>
          </w:rPr>
          <w:fldChar w:fldCharType="begin"/>
        </w:r>
        <w:r w:rsidR="00613406" w:rsidRPr="00613406">
          <w:rPr>
            <w:noProof/>
            <w:webHidden/>
          </w:rPr>
          <w:instrText xml:space="preserve"> PAGEREF _Toc457355634 \h </w:instrText>
        </w:r>
        <w:r w:rsidRPr="00613406">
          <w:rPr>
            <w:noProof/>
            <w:webHidden/>
          </w:rPr>
        </w:r>
        <w:r w:rsidRPr="00613406">
          <w:rPr>
            <w:noProof/>
            <w:webHidden/>
          </w:rPr>
          <w:fldChar w:fldCharType="separate"/>
        </w:r>
        <w:r w:rsidR="00613406" w:rsidRPr="00613406">
          <w:rPr>
            <w:noProof/>
            <w:webHidden/>
          </w:rPr>
          <w:t>125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5" w:history="1">
        <w:r w:rsidR="00613406" w:rsidRPr="00613406">
          <w:rPr>
            <w:rStyle w:val="Hyperlink"/>
            <w:rFonts w:cs="Calibri"/>
            <w:noProof/>
            <w:lang w:val="en-US"/>
          </w:rPr>
          <w:t>Table 5</w:t>
        </w:r>
        <w:r w:rsidR="00613406" w:rsidRPr="00613406">
          <w:rPr>
            <w:rStyle w:val="Hyperlink"/>
            <w:rFonts w:cs="Calibri"/>
            <w:noProof/>
            <w:lang w:val="en-US"/>
          </w:rPr>
          <w:noBreakHyphen/>
          <w:t>11: DISTRIBUTION LOSS PROJECTED BY THE DISTRIBUTION LICENSEES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_Toc457355635 \h </w:instrText>
        </w:r>
        <w:r w:rsidRPr="00613406">
          <w:rPr>
            <w:noProof/>
            <w:webHidden/>
          </w:rPr>
        </w:r>
        <w:r w:rsidRPr="00613406">
          <w:rPr>
            <w:noProof/>
            <w:webHidden/>
          </w:rPr>
          <w:fldChar w:fldCharType="separate"/>
        </w:r>
        <w:r w:rsidR="00613406" w:rsidRPr="00613406">
          <w:rPr>
            <w:noProof/>
            <w:webHidden/>
          </w:rPr>
          <w:t>128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6" w:history="1">
        <w:r w:rsidR="00613406" w:rsidRPr="00613406">
          <w:rPr>
            <w:rStyle w:val="Hyperlink"/>
            <w:rFonts w:cs="Calibri"/>
            <w:noProof/>
            <w:lang w:val="en-US"/>
          </w:rPr>
          <w:t>Table 5</w:t>
        </w:r>
        <w:r w:rsidR="00613406" w:rsidRPr="00613406">
          <w:rPr>
            <w:rStyle w:val="Hyperlink"/>
            <w:rFonts w:cs="Calibri"/>
            <w:noProof/>
            <w:lang w:val="en-US"/>
          </w:rPr>
          <w:noBreakHyphen/>
          <w:t>12: SUMMARY OF DISTRIBUTION LOSSES</w:t>
        </w:r>
        <w:r w:rsidR="00613406" w:rsidRPr="00613406">
          <w:rPr>
            <w:noProof/>
            <w:webHidden/>
          </w:rPr>
          <w:tab/>
        </w:r>
        <w:r w:rsidRPr="00613406">
          <w:rPr>
            <w:noProof/>
            <w:webHidden/>
          </w:rPr>
          <w:fldChar w:fldCharType="begin"/>
        </w:r>
        <w:r w:rsidR="00613406" w:rsidRPr="00613406">
          <w:rPr>
            <w:noProof/>
            <w:webHidden/>
          </w:rPr>
          <w:instrText xml:space="preserve"> PAGEREF _Toc457355636 \h </w:instrText>
        </w:r>
        <w:r w:rsidRPr="00613406">
          <w:rPr>
            <w:noProof/>
            <w:webHidden/>
          </w:rPr>
        </w:r>
        <w:r w:rsidRPr="00613406">
          <w:rPr>
            <w:noProof/>
            <w:webHidden/>
          </w:rPr>
          <w:fldChar w:fldCharType="separate"/>
        </w:r>
        <w:r w:rsidR="00613406" w:rsidRPr="00613406">
          <w:rPr>
            <w:noProof/>
            <w:webHidden/>
          </w:rPr>
          <w:t>129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7" w:history="1">
        <w:r w:rsidR="00613406" w:rsidRPr="00613406">
          <w:rPr>
            <w:rStyle w:val="Hyperlink"/>
            <w:rFonts w:cs="Calibri"/>
            <w:noProof/>
            <w:lang w:val="en-US"/>
          </w:rPr>
          <w:t>Table 5</w:t>
        </w:r>
        <w:r w:rsidR="00613406" w:rsidRPr="00613406">
          <w:rPr>
            <w:rStyle w:val="Hyperlink"/>
            <w:rFonts w:cs="Calibri"/>
            <w:noProof/>
            <w:lang w:val="en-US"/>
          </w:rPr>
          <w:noBreakHyphen/>
          <w:t>13: SUMMARY OF DISTRIBUTION LOSSES AS PER MOU SIGNED BY PETITIONER UNDER “UDAY SCHEME”</w:t>
        </w:r>
        <w:r w:rsidR="00613406" w:rsidRPr="00613406">
          <w:rPr>
            <w:noProof/>
            <w:webHidden/>
          </w:rPr>
          <w:tab/>
        </w:r>
        <w:r w:rsidRPr="00613406">
          <w:rPr>
            <w:noProof/>
            <w:webHidden/>
          </w:rPr>
          <w:fldChar w:fldCharType="begin"/>
        </w:r>
        <w:r w:rsidR="00613406" w:rsidRPr="00613406">
          <w:rPr>
            <w:noProof/>
            <w:webHidden/>
          </w:rPr>
          <w:instrText xml:space="preserve"> PAGEREF _Toc457355637 \h </w:instrText>
        </w:r>
        <w:r w:rsidRPr="00613406">
          <w:rPr>
            <w:noProof/>
            <w:webHidden/>
          </w:rPr>
        </w:r>
        <w:r w:rsidRPr="00613406">
          <w:rPr>
            <w:noProof/>
            <w:webHidden/>
          </w:rPr>
          <w:fldChar w:fldCharType="separate"/>
        </w:r>
        <w:r w:rsidR="00613406" w:rsidRPr="00613406">
          <w:rPr>
            <w:noProof/>
            <w:webHidden/>
          </w:rPr>
          <w:t>132</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8" w:history="1">
        <w:r w:rsidR="00613406" w:rsidRPr="00613406">
          <w:rPr>
            <w:rStyle w:val="Hyperlink"/>
            <w:rFonts w:cs="Calibri"/>
            <w:noProof/>
            <w:lang w:val="en-US"/>
          </w:rPr>
          <w:t>Table 5</w:t>
        </w:r>
        <w:r w:rsidR="00613406" w:rsidRPr="00613406">
          <w:rPr>
            <w:rStyle w:val="Hyperlink"/>
            <w:rFonts w:cs="Calibri"/>
            <w:noProof/>
            <w:lang w:val="en-US"/>
          </w:rPr>
          <w:noBreakHyphen/>
          <w:t>14: APPROVED ENERGY BALANCE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_Toc457355638 \h </w:instrText>
        </w:r>
        <w:r w:rsidRPr="00613406">
          <w:rPr>
            <w:noProof/>
            <w:webHidden/>
          </w:rPr>
        </w:r>
        <w:r w:rsidRPr="00613406">
          <w:rPr>
            <w:noProof/>
            <w:webHidden/>
          </w:rPr>
          <w:fldChar w:fldCharType="separate"/>
        </w:r>
        <w:r w:rsidR="00613406" w:rsidRPr="00613406">
          <w:rPr>
            <w:noProof/>
            <w:webHidden/>
          </w:rPr>
          <w:t>134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39" w:history="1">
        <w:r w:rsidR="00613406" w:rsidRPr="00613406">
          <w:rPr>
            <w:rStyle w:val="Hyperlink"/>
            <w:rFonts w:cs="Calibri"/>
            <w:noProof/>
            <w:lang w:val="en-US"/>
          </w:rPr>
          <w:t>Table 5</w:t>
        </w:r>
        <w:r w:rsidR="00613406" w:rsidRPr="00613406">
          <w:rPr>
            <w:rStyle w:val="Hyperlink"/>
            <w:rFonts w:cs="Calibri"/>
            <w:noProof/>
            <w:lang w:val="en-US"/>
          </w:rPr>
          <w:noBreakHyphen/>
          <w:t>15: POWER PROCUREMENT COST FOR KESCO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_Toc457355639 \h </w:instrText>
        </w:r>
        <w:r w:rsidRPr="00613406">
          <w:rPr>
            <w:noProof/>
            <w:webHidden/>
          </w:rPr>
        </w:r>
        <w:r w:rsidRPr="00613406">
          <w:rPr>
            <w:noProof/>
            <w:webHidden/>
          </w:rPr>
          <w:fldChar w:fldCharType="separate"/>
        </w:r>
        <w:r w:rsidR="00613406" w:rsidRPr="00613406">
          <w:rPr>
            <w:noProof/>
            <w:webHidden/>
          </w:rPr>
          <w:t>139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0" w:history="1">
        <w:r w:rsidR="00613406" w:rsidRPr="00613406">
          <w:rPr>
            <w:rStyle w:val="Hyperlink"/>
            <w:rFonts w:cs="Calibri"/>
            <w:noProof/>
            <w:lang w:val="en-US"/>
          </w:rPr>
          <w:t>Table 5</w:t>
        </w:r>
        <w:r w:rsidR="00613406" w:rsidRPr="00613406">
          <w:rPr>
            <w:rStyle w:val="Hyperlink"/>
            <w:rFonts w:cs="Calibri"/>
            <w:noProof/>
            <w:lang w:val="en-US"/>
          </w:rPr>
          <w:noBreakHyphen/>
          <w:t>16: INTRA STATE TRANSMISSION CHARGES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_Toc457355640 \h </w:instrText>
        </w:r>
        <w:r w:rsidRPr="00613406">
          <w:rPr>
            <w:noProof/>
            <w:webHidden/>
          </w:rPr>
        </w:r>
        <w:r w:rsidRPr="00613406">
          <w:rPr>
            <w:noProof/>
            <w:webHidden/>
          </w:rPr>
          <w:fldChar w:fldCharType="separate"/>
        </w:r>
        <w:r w:rsidR="00613406" w:rsidRPr="00613406">
          <w:rPr>
            <w:noProof/>
            <w:webHidden/>
          </w:rPr>
          <w:t>149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1" w:history="1">
        <w:r w:rsidR="00613406" w:rsidRPr="00613406">
          <w:rPr>
            <w:rStyle w:val="Hyperlink"/>
            <w:rFonts w:cs="Calibri"/>
            <w:noProof/>
            <w:lang w:val="en-US"/>
          </w:rPr>
          <w:t>Table 5</w:t>
        </w:r>
        <w:r w:rsidR="00613406" w:rsidRPr="00613406">
          <w:rPr>
            <w:rStyle w:val="Hyperlink"/>
            <w:rFonts w:cs="Calibri"/>
            <w:noProof/>
            <w:lang w:val="en-US"/>
          </w:rPr>
          <w:noBreakHyphen/>
          <w:t>17: O&amp;M EXPENSES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_Toc457355641 \h </w:instrText>
        </w:r>
        <w:r w:rsidRPr="00613406">
          <w:rPr>
            <w:noProof/>
            <w:webHidden/>
          </w:rPr>
        </w:r>
        <w:r w:rsidRPr="00613406">
          <w:rPr>
            <w:noProof/>
            <w:webHidden/>
          </w:rPr>
          <w:fldChar w:fldCharType="separate"/>
        </w:r>
        <w:r w:rsidR="00613406" w:rsidRPr="00613406">
          <w:rPr>
            <w:noProof/>
            <w:webHidden/>
          </w:rPr>
          <w:t>151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2" w:history="1">
        <w:r w:rsidR="00613406" w:rsidRPr="00613406">
          <w:rPr>
            <w:rStyle w:val="Hyperlink"/>
            <w:rFonts w:cs="Calibri"/>
            <w:noProof/>
            <w:lang w:val="en-US"/>
          </w:rPr>
          <w:t>TABLE 5</w:t>
        </w:r>
        <w:r w:rsidR="00613406" w:rsidRPr="00613406">
          <w:rPr>
            <w:rStyle w:val="Hyperlink"/>
            <w:rFonts w:cs="Calibri"/>
            <w:noProof/>
            <w:lang w:val="en-US"/>
          </w:rPr>
          <w:noBreakHyphen/>
          <w:t>18: CAPITAL INVESTMENT PLAN PROPOSED BY THE PETITIONER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_Toc457355642 \h </w:instrText>
        </w:r>
        <w:r w:rsidRPr="00613406">
          <w:rPr>
            <w:noProof/>
            <w:webHidden/>
          </w:rPr>
        </w:r>
        <w:r w:rsidRPr="00613406">
          <w:rPr>
            <w:noProof/>
            <w:webHidden/>
          </w:rPr>
          <w:fldChar w:fldCharType="separate"/>
        </w:r>
        <w:r w:rsidR="00613406" w:rsidRPr="00613406">
          <w:rPr>
            <w:noProof/>
            <w:webHidden/>
          </w:rPr>
          <w:t>153</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3" w:history="1">
        <w:r w:rsidR="00613406" w:rsidRPr="00613406">
          <w:rPr>
            <w:rStyle w:val="Hyperlink"/>
            <w:rFonts w:cs="Calibri"/>
            <w:noProof/>
            <w:lang w:val="en-US"/>
          </w:rPr>
          <w:t>TABLE 5</w:t>
        </w:r>
        <w:r w:rsidR="00613406" w:rsidRPr="00613406">
          <w:rPr>
            <w:rStyle w:val="Hyperlink"/>
            <w:rFonts w:cs="Calibri"/>
            <w:noProof/>
            <w:lang w:val="en-US"/>
          </w:rPr>
          <w:noBreakHyphen/>
          <w:t>19: CAPITALISATION &amp; WIP UP TO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_Toc457355643 \h </w:instrText>
        </w:r>
        <w:r w:rsidRPr="00613406">
          <w:rPr>
            <w:noProof/>
            <w:webHidden/>
          </w:rPr>
        </w:r>
        <w:r w:rsidRPr="00613406">
          <w:rPr>
            <w:noProof/>
            <w:webHidden/>
          </w:rPr>
          <w:fldChar w:fldCharType="separate"/>
        </w:r>
        <w:r w:rsidR="00613406" w:rsidRPr="00613406">
          <w:rPr>
            <w:noProof/>
            <w:webHidden/>
          </w:rPr>
          <w:t>156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4" w:history="1">
        <w:r w:rsidR="00613406" w:rsidRPr="00613406">
          <w:rPr>
            <w:rStyle w:val="Hyperlink"/>
            <w:noProof/>
          </w:rPr>
          <w:t>Table 5</w:t>
        </w:r>
        <w:r w:rsidR="00613406" w:rsidRPr="00613406">
          <w:rPr>
            <w:rStyle w:val="Hyperlink"/>
            <w:noProof/>
          </w:rPr>
          <w:noBreakHyphen/>
          <w:t>20: CONSUMER CONTRIBUTIONS, CAPITAL GRANTS AND SUBSIDIES CONSIDERED UP TO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_Toc457355644 \h </w:instrText>
        </w:r>
        <w:r w:rsidRPr="00613406">
          <w:rPr>
            <w:noProof/>
            <w:webHidden/>
          </w:rPr>
        </w:r>
        <w:r w:rsidRPr="00613406">
          <w:rPr>
            <w:noProof/>
            <w:webHidden/>
          </w:rPr>
          <w:fldChar w:fldCharType="separate"/>
        </w:r>
        <w:r w:rsidR="00613406" w:rsidRPr="00613406">
          <w:rPr>
            <w:noProof/>
            <w:webHidden/>
          </w:rPr>
          <w:t>157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5" w:history="1">
        <w:r w:rsidR="00613406" w:rsidRPr="00613406">
          <w:rPr>
            <w:rStyle w:val="Hyperlink"/>
            <w:noProof/>
          </w:rPr>
          <w:t>Table 5</w:t>
        </w:r>
        <w:r w:rsidR="00613406" w:rsidRPr="00613406">
          <w:rPr>
            <w:rStyle w:val="Hyperlink"/>
            <w:noProof/>
          </w:rPr>
          <w:noBreakHyphen/>
          <w:t>21: FINANCING OF THE CAPITAL INVESTMENTS UP TO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_Toc457355645 \h </w:instrText>
        </w:r>
        <w:r w:rsidRPr="00613406">
          <w:rPr>
            <w:noProof/>
            <w:webHidden/>
          </w:rPr>
        </w:r>
        <w:r w:rsidRPr="00613406">
          <w:rPr>
            <w:noProof/>
            <w:webHidden/>
          </w:rPr>
          <w:fldChar w:fldCharType="separate"/>
        </w:r>
        <w:r w:rsidR="00613406" w:rsidRPr="00613406">
          <w:rPr>
            <w:noProof/>
            <w:webHidden/>
          </w:rPr>
          <w:t>157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6" w:history="1">
        <w:r w:rsidR="00613406" w:rsidRPr="00613406">
          <w:rPr>
            <w:rStyle w:val="Hyperlink"/>
            <w:noProof/>
          </w:rPr>
          <w:t>Table 5</w:t>
        </w:r>
        <w:r w:rsidR="00613406" w:rsidRPr="00613406">
          <w:rPr>
            <w:rStyle w:val="Hyperlink"/>
            <w:noProof/>
          </w:rPr>
          <w:noBreakHyphen/>
          <w:t>22: GROSS FIXED ASSETS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_Toc457355646 \h </w:instrText>
        </w:r>
        <w:r w:rsidRPr="00613406">
          <w:rPr>
            <w:noProof/>
            <w:webHidden/>
          </w:rPr>
        </w:r>
        <w:r w:rsidRPr="00613406">
          <w:rPr>
            <w:noProof/>
            <w:webHidden/>
          </w:rPr>
          <w:fldChar w:fldCharType="separate"/>
        </w:r>
        <w:r w:rsidR="00613406" w:rsidRPr="00613406">
          <w:rPr>
            <w:noProof/>
            <w:webHidden/>
          </w:rPr>
          <w:t>160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7" w:history="1">
        <w:r w:rsidR="00613406" w:rsidRPr="00613406">
          <w:rPr>
            <w:rStyle w:val="Hyperlink"/>
            <w:noProof/>
          </w:rPr>
          <w:t>Table 5</w:t>
        </w:r>
        <w:r w:rsidR="00613406" w:rsidRPr="00613406">
          <w:rPr>
            <w:rStyle w:val="Hyperlink"/>
            <w:noProof/>
          </w:rPr>
          <w:noBreakHyphen/>
          <w:t>23: APPROVED DEPRECIATION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_Toc457355647 \h </w:instrText>
        </w:r>
        <w:r w:rsidRPr="00613406">
          <w:rPr>
            <w:noProof/>
            <w:webHidden/>
          </w:rPr>
        </w:r>
        <w:r w:rsidRPr="00613406">
          <w:rPr>
            <w:noProof/>
            <w:webHidden/>
          </w:rPr>
          <w:fldChar w:fldCharType="separate"/>
        </w:r>
        <w:r w:rsidR="00613406" w:rsidRPr="00613406">
          <w:rPr>
            <w:noProof/>
            <w:webHidden/>
          </w:rPr>
          <w:t>162</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8" w:history="1">
        <w:r w:rsidR="00613406" w:rsidRPr="00613406">
          <w:rPr>
            <w:rStyle w:val="Hyperlink"/>
            <w:noProof/>
          </w:rPr>
          <w:t>Table 5</w:t>
        </w:r>
        <w:r w:rsidR="00613406" w:rsidRPr="00613406">
          <w:rPr>
            <w:rStyle w:val="Hyperlink"/>
            <w:noProof/>
          </w:rPr>
          <w:noBreakHyphen/>
          <w:t>24: INTEREST ON LONG TERM LOANS UP TO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_Toc457355648 \h </w:instrText>
        </w:r>
        <w:r w:rsidRPr="00613406">
          <w:rPr>
            <w:noProof/>
            <w:webHidden/>
          </w:rPr>
        </w:r>
        <w:r w:rsidRPr="00613406">
          <w:rPr>
            <w:noProof/>
            <w:webHidden/>
          </w:rPr>
          <w:fldChar w:fldCharType="separate"/>
        </w:r>
        <w:r w:rsidR="00613406" w:rsidRPr="00613406">
          <w:rPr>
            <w:noProof/>
            <w:webHidden/>
          </w:rPr>
          <w:t>163</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49" w:history="1">
        <w:r w:rsidR="00613406" w:rsidRPr="00613406">
          <w:rPr>
            <w:rStyle w:val="Hyperlink"/>
            <w:noProof/>
          </w:rPr>
          <w:t>Table 5</w:t>
        </w:r>
        <w:r w:rsidR="00613406" w:rsidRPr="00613406">
          <w:rPr>
            <w:rStyle w:val="Hyperlink"/>
            <w:noProof/>
          </w:rPr>
          <w:noBreakHyphen/>
          <w:t>25: INTEREST COST ON WORKING CAPITAL LOANS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_Toc457355649 \h </w:instrText>
        </w:r>
        <w:r w:rsidRPr="00613406">
          <w:rPr>
            <w:noProof/>
            <w:webHidden/>
          </w:rPr>
        </w:r>
        <w:r w:rsidRPr="00613406">
          <w:rPr>
            <w:noProof/>
            <w:webHidden/>
          </w:rPr>
          <w:fldChar w:fldCharType="separate"/>
        </w:r>
        <w:r w:rsidR="00613406" w:rsidRPr="00613406">
          <w:rPr>
            <w:noProof/>
            <w:webHidden/>
          </w:rPr>
          <w:t>165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0" w:history="1">
        <w:r w:rsidR="00613406" w:rsidRPr="00613406">
          <w:rPr>
            <w:rStyle w:val="Hyperlink"/>
            <w:noProof/>
          </w:rPr>
          <w:t>Table 5</w:t>
        </w:r>
        <w:r w:rsidR="00613406" w:rsidRPr="00613406">
          <w:rPr>
            <w:rStyle w:val="Hyperlink"/>
            <w:noProof/>
          </w:rPr>
          <w:noBreakHyphen/>
          <w:t>26: INTEREST ON SECURITY DEPOSITS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_Toc457355650 \h </w:instrText>
        </w:r>
        <w:r w:rsidRPr="00613406">
          <w:rPr>
            <w:noProof/>
            <w:webHidden/>
          </w:rPr>
        </w:r>
        <w:r w:rsidRPr="00613406">
          <w:rPr>
            <w:noProof/>
            <w:webHidden/>
          </w:rPr>
          <w:fldChar w:fldCharType="separate"/>
        </w:r>
        <w:r w:rsidR="00613406" w:rsidRPr="00613406">
          <w:rPr>
            <w:noProof/>
            <w:webHidden/>
          </w:rPr>
          <w:t>166</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1" w:history="1">
        <w:r w:rsidR="00613406" w:rsidRPr="00613406">
          <w:rPr>
            <w:rStyle w:val="Hyperlink"/>
            <w:noProof/>
          </w:rPr>
          <w:t>TABLE 5</w:t>
        </w:r>
        <w:r w:rsidR="00613406" w:rsidRPr="00613406">
          <w:rPr>
            <w:rStyle w:val="Hyperlink"/>
            <w:noProof/>
          </w:rPr>
          <w:noBreakHyphen/>
          <w:t>27: INTEREST AND FINANCE CHARGES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_Toc457355651 \h </w:instrText>
        </w:r>
        <w:r w:rsidRPr="00613406">
          <w:rPr>
            <w:noProof/>
            <w:webHidden/>
          </w:rPr>
        </w:r>
        <w:r w:rsidRPr="00613406">
          <w:rPr>
            <w:noProof/>
            <w:webHidden/>
          </w:rPr>
          <w:fldChar w:fldCharType="separate"/>
        </w:r>
        <w:r w:rsidR="00613406" w:rsidRPr="00613406">
          <w:rPr>
            <w:noProof/>
            <w:webHidden/>
          </w:rPr>
          <w:t>167</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2" w:history="1">
        <w:r w:rsidR="00613406" w:rsidRPr="00613406">
          <w:rPr>
            <w:rStyle w:val="Hyperlink"/>
            <w:noProof/>
          </w:rPr>
          <w:t>Table 5</w:t>
        </w:r>
        <w:r w:rsidR="00613406" w:rsidRPr="00613406">
          <w:rPr>
            <w:rStyle w:val="Hyperlink"/>
            <w:noProof/>
          </w:rPr>
          <w:noBreakHyphen/>
          <w:t>28: EXISTING &amp; APPROVED TARIFF REVENUES: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_Toc457355652 \h </w:instrText>
        </w:r>
        <w:r w:rsidRPr="00613406">
          <w:rPr>
            <w:noProof/>
            <w:webHidden/>
          </w:rPr>
        </w:r>
        <w:r w:rsidRPr="00613406">
          <w:rPr>
            <w:noProof/>
            <w:webHidden/>
          </w:rPr>
          <w:fldChar w:fldCharType="separate"/>
        </w:r>
        <w:r w:rsidR="00613406" w:rsidRPr="00613406">
          <w:rPr>
            <w:noProof/>
            <w:webHidden/>
          </w:rPr>
          <w:t>174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3" w:history="1">
        <w:r w:rsidR="00613406" w:rsidRPr="00613406">
          <w:rPr>
            <w:rStyle w:val="Hyperlink"/>
            <w:noProof/>
          </w:rPr>
          <w:t>Table 5</w:t>
        </w:r>
        <w:r w:rsidR="00613406" w:rsidRPr="00613406">
          <w:rPr>
            <w:rStyle w:val="Hyperlink"/>
            <w:noProof/>
          </w:rPr>
          <w:noBreakHyphen/>
          <w:t>29: ARR, REVENUE AND GAP SUMMARY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_Toc457355653 \h </w:instrText>
        </w:r>
        <w:r w:rsidRPr="00613406">
          <w:rPr>
            <w:noProof/>
            <w:webHidden/>
          </w:rPr>
        </w:r>
        <w:r w:rsidRPr="00613406">
          <w:rPr>
            <w:noProof/>
            <w:webHidden/>
          </w:rPr>
          <w:fldChar w:fldCharType="separate"/>
        </w:r>
        <w:r w:rsidR="00613406" w:rsidRPr="00613406">
          <w:rPr>
            <w:noProof/>
            <w:webHidden/>
          </w:rPr>
          <w:t>175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4" w:history="1">
        <w:r w:rsidR="00613406" w:rsidRPr="00613406">
          <w:rPr>
            <w:rStyle w:val="Hyperlink"/>
            <w:noProof/>
          </w:rPr>
          <w:t>Table 6</w:t>
        </w:r>
        <w:r w:rsidR="00613406" w:rsidRPr="00613406">
          <w:rPr>
            <w:rStyle w:val="Hyperlink"/>
            <w:noProof/>
          </w:rPr>
          <w:noBreakHyphen/>
          <w:t>1: WHEELING &amp; RETAIL SUPPLY ARR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_Toc457355654 \h </w:instrText>
        </w:r>
        <w:r w:rsidRPr="00613406">
          <w:rPr>
            <w:noProof/>
            <w:webHidden/>
          </w:rPr>
        </w:r>
        <w:r w:rsidRPr="00613406">
          <w:rPr>
            <w:noProof/>
            <w:webHidden/>
          </w:rPr>
          <w:fldChar w:fldCharType="separate"/>
        </w:r>
        <w:r w:rsidR="00613406" w:rsidRPr="00613406">
          <w:rPr>
            <w:noProof/>
            <w:webHidden/>
          </w:rPr>
          <w:t>180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5" w:history="1">
        <w:r w:rsidR="00613406" w:rsidRPr="00613406">
          <w:rPr>
            <w:rStyle w:val="Hyperlink"/>
            <w:rFonts w:cs="Calibri"/>
            <w:noProof/>
          </w:rPr>
          <w:t>Table 6</w:t>
        </w:r>
        <w:r w:rsidR="00613406" w:rsidRPr="00613406">
          <w:rPr>
            <w:rStyle w:val="Hyperlink"/>
            <w:rFonts w:cs="Calibri"/>
            <w:noProof/>
          </w:rPr>
          <w:noBreakHyphen/>
          <w:t>2: WHEELING CHARGES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_Toc457355655 \h </w:instrText>
        </w:r>
        <w:r w:rsidRPr="00613406">
          <w:rPr>
            <w:noProof/>
            <w:webHidden/>
          </w:rPr>
        </w:r>
        <w:r w:rsidRPr="00613406">
          <w:rPr>
            <w:noProof/>
            <w:webHidden/>
          </w:rPr>
          <w:fldChar w:fldCharType="separate"/>
        </w:r>
        <w:r w:rsidR="00613406" w:rsidRPr="00613406">
          <w:rPr>
            <w:noProof/>
            <w:webHidden/>
          </w:rPr>
          <w:t>181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6" w:history="1">
        <w:r w:rsidR="00613406" w:rsidRPr="00613406">
          <w:rPr>
            <w:rStyle w:val="Hyperlink"/>
            <w:rFonts w:cs="Calibri"/>
            <w:noProof/>
          </w:rPr>
          <w:t>Table 6</w:t>
        </w:r>
        <w:r w:rsidR="00613406" w:rsidRPr="00613406">
          <w:rPr>
            <w:rStyle w:val="Hyperlink"/>
            <w:rFonts w:cs="Calibri"/>
            <w:noProof/>
          </w:rPr>
          <w:noBreakHyphen/>
          <w:t>3: APPROVED VOLTAGE-WISE WHEELING CHARGES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_Toc457355656 \h </w:instrText>
        </w:r>
        <w:r w:rsidRPr="00613406">
          <w:rPr>
            <w:noProof/>
            <w:webHidden/>
          </w:rPr>
        </w:r>
        <w:r w:rsidRPr="00613406">
          <w:rPr>
            <w:noProof/>
            <w:webHidden/>
          </w:rPr>
          <w:fldChar w:fldCharType="separate"/>
        </w:r>
        <w:r w:rsidR="00613406" w:rsidRPr="00613406">
          <w:rPr>
            <w:noProof/>
            <w:webHidden/>
          </w:rPr>
          <w:t>181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7" w:history="1">
        <w:r w:rsidR="00613406" w:rsidRPr="00613406">
          <w:rPr>
            <w:rStyle w:val="Hyperlink"/>
            <w:rFonts w:cs="Calibri"/>
            <w:noProof/>
          </w:rPr>
          <w:t>Table 6</w:t>
        </w:r>
        <w:r w:rsidR="00613406" w:rsidRPr="00613406">
          <w:rPr>
            <w:rStyle w:val="Hyperlink"/>
            <w:rFonts w:cs="Calibri"/>
            <w:noProof/>
          </w:rPr>
          <w:noBreakHyphen/>
          <w:t xml:space="preserve">4: </w:t>
        </w:r>
        <w:r w:rsidR="00613406" w:rsidRPr="00613406">
          <w:rPr>
            <w:rStyle w:val="Hyperlink"/>
            <w:noProof/>
          </w:rPr>
          <w:t>COST OF SUPPLY APPROVED BY THE COMMISSION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_Toc457355657 \h </w:instrText>
        </w:r>
        <w:r w:rsidRPr="00613406">
          <w:rPr>
            <w:noProof/>
            <w:webHidden/>
          </w:rPr>
        </w:r>
        <w:r w:rsidRPr="00613406">
          <w:rPr>
            <w:noProof/>
            <w:webHidden/>
          </w:rPr>
          <w:fldChar w:fldCharType="separate"/>
        </w:r>
        <w:r w:rsidR="00613406" w:rsidRPr="00613406">
          <w:rPr>
            <w:noProof/>
            <w:webHidden/>
          </w:rPr>
          <w:t>185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8" w:history="1">
        <w:r w:rsidR="00613406" w:rsidRPr="00613406">
          <w:rPr>
            <w:rStyle w:val="Hyperlink"/>
            <w:rFonts w:cs="Calibri"/>
            <w:noProof/>
          </w:rPr>
          <w:t>Table 6</w:t>
        </w:r>
        <w:r w:rsidR="00613406" w:rsidRPr="00613406">
          <w:rPr>
            <w:rStyle w:val="Hyperlink"/>
            <w:rFonts w:cs="Calibri"/>
            <w:noProof/>
          </w:rPr>
          <w:noBreakHyphen/>
          <w:t xml:space="preserve">5: </w:t>
        </w:r>
        <w:r w:rsidR="00613406" w:rsidRPr="00613406">
          <w:rPr>
            <w:rStyle w:val="Hyperlink"/>
            <w:noProof/>
          </w:rPr>
          <w:t>CROSS SUBSIDY SURCHARGE APROVED BY THE COMMISSISON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_Toc457355658 \h </w:instrText>
        </w:r>
        <w:r w:rsidRPr="00613406">
          <w:rPr>
            <w:noProof/>
            <w:webHidden/>
          </w:rPr>
        </w:r>
        <w:r w:rsidRPr="00613406">
          <w:rPr>
            <w:noProof/>
            <w:webHidden/>
          </w:rPr>
          <w:fldChar w:fldCharType="separate"/>
        </w:r>
        <w:r w:rsidR="00613406" w:rsidRPr="00613406">
          <w:rPr>
            <w:noProof/>
            <w:webHidden/>
          </w:rPr>
          <w:t>185</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59" w:history="1">
        <w:r w:rsidR="00613406" w:rsidRPr="00613406">
          <w:rPr>
            <w:rStyle w:val="Hyperlink"/>
            <w:noProof/>
          </w:rPr>
          <w:t>Table 7</w:t>
        </w:r>
        <w:r w:rsidR="00613406" w:rsidRPr="00613406">
          <w:rPr>
            <w:rStyle w:val="Hyperlink"/>
            <w:noProof/>
          </w:rPr>
          <w:noBreakHyphen/>
          <w:t>1: REVENUE FROM SALE OF POWER AT APPROVED TARIFF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_Toc457355659 \h </w:instrText>
        </w:r>
        <w:r w:rsidRPr="00613406">
          <w:rPr>
            <w:noProof/>
            <w:webHidden/>
          </w:rPr>
        </w:r>
        <w:r w:rsidRPr="00613406">
          <w:rPr>
            <w:noProof/>
            <w:webHidden/>
          </w:rPr>
          <w:fldChar w:fldCharType="separate"/>
        </w:r>
        <w:r w:rsidR="00613406" w:rsidRPr="00613406">
          <w:rPr>
            <w:noProof/>
            <w:webHidden/>
          </w:rPr>
          <w:t>199</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0" w:history="1">
        <w:r w:rsidR="00613406" w:rsidRPr="00613406">
          <w:rPr>
            <w:rStyle w:val="Hyperlink"/>
            <w:noProof/>
          </w:rPr>
          <w:t>Table 7</w:t>
        </w:r>
        <w:r w:rsidR="00613406" w:rsidRPr="00613406">
          <w:rPr>
            <w:rStyle w:val="Hyperlink"/>
            <w:noProof/>
          </w:rPr>
          <w:noBreakHyphen/>
          <w:t>2: ESTIMATION OF ARR GAP/SURPLUS AT REVISED TARIFF FOR FY 2016-17 (Rs. Crore)</w:t>
        </w:r>
        <w:r w:rsidR="00613406" w:rsidRPr="00613406">
          <w:rPr>
            <w:noProof/>
            <w:webHidden/>
          </w:rPr>
          <w:tab/>
        </w:r>
        <w:r w:rsidRPr="00613406">
          <w:rPr>
            <w:noProof/>
            <w:webHidden/>
          </w:rPr>
          <w:fldChar w:fldCharType="begin"/>
        </w:r>
        <w:r w:rsidR="00613406" w:rsidRPr="00613406">
          <w:rPr>
            <w:noProof/>
            <w:webHidden/>
          </w:rPr>
          <w:instrText xml:space="preserve"> PAGEREF _Toc457355660 \h </w:instrText>
        </w:r>
        <w:r w:rsidRPr="00613406">
          <w:rPr>
            <w:noProof/>
            <w:webHidden/>
          </w:rPr>
        </w:r>
        <w:r w:rsidRPr="00613406">
          <w:rPr>
            <w:noProof/>
            <w:webHidden/>
          </w:rPr>
          <w:fldChar w:fldCharType="separate"/>
        </w:r>
        <w:r w:rsidR="00613406" w:rsidRPr="00613406">
          <w:rPr>
            <w:noProof/>
            <w:webHidden/>
          </w:rPr>
          <w:t>200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1" w:history="1">
        <w:r w:rsidR="00613406" w:rsidRPr="00613406">
          <w:rPr>
            <w:rStyle w:val="Hyperlink"/>
            <w:noProof/>
          </w:rPr>
          <w:t>Table 7</w:t>
        </w:r>
        <w:r w:rsidR="00613406" w:rsidRPr="00613406">
          <w:rPr>
            <w:rStyle w:val="Hyperlink"/>
            <w:noProof/>
          </w:rPr>
          <w:noBreakHyphen/>
          <w:t>3: REVENUE REALIZED AS % OF ACOS</w:t>
        </w:r>
        <w:r w:rsidR="00613406" w:rsidRPr="00613406">
          <w:rPr>
            <w:noProof/>
            <w:webHidden/>
          </w:rPr>
          <w:tab/>
        </w:r>
        <w:r w:rsidRPr="00613406">
          <w:rPr>
            <w:noProof/>
            <w:webHidden/>
          </w:rPr>
          <w:fldChar w:fldCharType="begin"/>
        </w:r>
        <w:r w:rsidR="00613406" w:rsidRPr="00613406">
          <w:rPr>
            <w:noProof/>
            <w:webHidden/>
          </w:rPr>
          <w:instrText xml:space="preserve"> PAGEREF _Toc457355661 \h </w:instrText>
        </w:r>
        <w:r w:rsidRPr="00613406">
          <w:rPr>
            <w:noProof/>
            <w:webHidden/>
          </w:rPr>
        </w:r>
        <w:r w:rsidRPr="00613406">
          <w:rPr>
            <w:noProof/>
            <w:webHidden/>
          </w:rPr>
          <w:fldChar w:fldCharType="separate"/>
        </w:r>
        <w:r w:rsidR="00613406" w:rsidRPr="00613406">
          <w:rPr>
            <w:noProof/>
            <w:webHidden/>
          </w:rPr>
          <w:t>200</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2" w:history="1">
        <w:r w:rsidR="00613406" w:rsidRPr="00613406">
          <w:rPr>
            <w:rStyle w:val="Hyperlink"/>
            <w:noProof/>
          </w:rPr>
          <w:t>TABLE 8</w:t>
        </w:r>
        <w:r w:rsidR="00613406" w:rsidRPr="00613406">
          <w:rPr>
            <w:rStyle w:val="Hyperlink"/>
            <w:noProof/>
          </w:rPr>
          <w:noBreakHyphen/>
          <w:t>1: STATUS OF COMPLIANCE OF DIRECTIVES OF TARIFF ORDER FOR FY 2013-14 DATED MAY 31, 2013</w:t>
        </w:r>
        <w:r w:rsidR="00613406" w:rsidRPr="00613406">
          <w:rPr>
            <w:noProof/>
            <w:webHidden/>
          </w:rPr>
          <w:tab/>
        </w:r>
        <w:r w:rsidRPr="00613406">
          <w:rPr>
            <w:noProof/>
            <w:webHidden/>
          </w:rPr>
          <w:fldChar w:fldCharType="begin"/>
        </w:r>
        <w:r w:rsidR="00613406" w:rsidRPr="00613406">
          <w:rPr>
            <w:noProof/>
            <w:webHidden/>
          </w:rPr>
          <w:instrText xml:space="preserve"> PAGEREF _Toc457355662 \h </w:instrText>
        </w:r>
        <w:r w:rsidRPr="00613406">
          <w:rPr>
            <w:noProof/>
            <w:webHidden/>
          </w:rPr>
        </w:r>
        <w:r w:rsidRPr="00613406">
          <w:rPr>
            <w:noProof/>
            <w:webHidden/>
          </w:rPr>
          <w:fldChar w:fldCharType="separate"/>
        </w:r>
        <w:r w:rsidR="00613406" w:rsidRPr="00613406">
          <w:rPr>
            <w:noProof/>
            <w:webHidden/>
          </w:rPr>
          <w:t>212</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3" w:history="1">
        <w:r w:rsidR="00613406" w:rsidRPr="00613406">
          <w:rPr>
            <w:rStyle w:val="Hyperlink"/>
            <w:noProof/>
          </w:rPr>
          <w:t>TABLE 8</w:t>
        </w:r>
        <w:r w:rsidR="00613406" w:rsidRPr="00613406">
          <w:rPr>
            <w:rStyle w:val="Hyperlink"/>
            <w:noProof/>
          </w:rPr>
          <w:noBreakHyphen/>
          <w:t>2: STATUS OF COMPLIANCE OF DIRECTIVES OF TARIFF ORDER FOR FY 2014-15 DATED OCTOBER 1, 2014</w:t>
        </w:r>
        <w:r w:rsidR="00613406" w:rsidRPr="00613406">
          <w:rPr>
            <w:noProof/>
            <w:webHidden/>
          </w:rPr>
          <w:tab/>
        </w:r>
        <w:r w:rsidRPr="00613406">
          <w:rPr>
            <w:noProof/>
            <w:webHidden/>
          </w:rPr>
          <w:fldChar w:fldCharType="begin"/>
        </w:r>
        <w:r w:rsidR="00613406" w:rsidRPr="00613406">
          <w:rPr>
            <w:noProof/>
            <w:webHidden/>
          </w:rPr>
          <w:instrText xml:space="preserve"> PAGEREF _Toc457355663 \h </w:instrText>
        </w:r>
        <w:r w:rsidRPr="00613406">
          <w:rPr>
            <w:noProof/>
            <w:webHidden/>
          </w:rPr>
        </w:r>
        <w:r w:rsidRPr="00613406">
          <w:rPr>
            <w:noProof/>
            <w:webHidden/>
          </w:rPr>
          <w:fldChar w:fldCharType="separate"/>
        </w:r>
        <w:r w:rsidR="00613406" w:rsidRPr="00613406">
          <w:rPr>
            <w:noProof/>
            <w:webHidden/>
          </w:rPr>
          <w:t>222</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4" w:history="1">
        <w:r w:rsidR="00613406" w:rsidRPr="00613406">
          <w:rPr>
            <w:rStyle w:val="Hyperlink"/>
            <w:noProof/>
          </w:rPr>
          <w:t>TABLE 8-3: STATUS OF COMPLIANCE OF DIRECTIVES OF TARIFF ORDER FOR FY 2015-16 DATED JUNE 18, 2015</w:t>
        </w:r>
        <w:r w:rsidR="00613406" w:rsidRPr="00613406">
          <w:rPr>
            <w:noProof/>
            <w:webHidden/>
          </w:rPr>
          <w:tab/>
        </w:r>
        <w:r w:rsidRPr="00613406">
          <w:rPr>
            <w:noProof/>
            <w:webHidden/>
          </w:rPr>
          <w:fldChar w:fldCharType="begin"/>
        </w:r>
        <w:r w:rsidR="00613406" w:rsidRPr="00613406">
          <w:rPr>
            <w:noProof/>
            <w:webHidden/>
          </w:rPr>
          <w:instrText xml:space="preserve"> PAGEREF _Toc457355664 \h </w:instrText>
        </w:r>
        <w:r w:rsidRPr="00613406">
          <w:rPr>
            <w:noProof/>
            <w:webHidden/>
          </w:rPr>
        </w:r>
        <w:r w:rsidRPr="00613406">
          <w:rPr>
            <w:noProof/>
            <w:webHidden/>
          </w:rPr>
          <w:fldChar w:fldCharType="separate"/>
        </w:r>
        <w:r w:rsidR="00613406" w:rsidRPr="00613406">
          <w:rPr>
            <w:noProof/>
            <w:webHidden/>
          </w:rPr>
          <w:t>234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5" w:history="1">
        <w:r w:rsidR="00613406" w:rsidRPr="00613406">
          <w:rPr>
            <w:rStyle w:val="Hyperlink"/>
            <w:noProof/>
          </w:rPr>
          <w:t>TABLE 8-4: DIRECTIVES ISSUED UNDER THE PRESENT TARIFF ORDER</w:t>
        </w:r>
        <w:r w:rsidR="00613406" w:rsidRPr="00613406">
          <w:rPr>
            <w:noProof/>
            <w:webHidden/>
          </w:rPr>
          <w:tab/>
        </w:r>
        <w:r w:rsidRPr="00613406">
          <w:rPr>
            <w:noProof/>
            <w:webHidden/>
          </w:rPr>
          <w:fldChar w:fldCharType="begin"/>
        </w:r>
        <w:r w:rsidR="00613406" w:rsidRPr="00613406">
          <w:rPr>
            <w:noProof/>
            <w:webHidden/>
          </w:rPr>
          <w:instrText xml:space="preserve"> PAGEREF _Toc457355665 \h </w:instrText>
        </w:r>
        <w:r w:rsidRPr="00613406">
          <w:rPr>
            <w:noProof/>
            <w:webHidden/>
          </w:rPr>
        </w:r>
        <w:r w:rsidRPr="00613406">
          <w:rPr>
            <w:noProof/>
            <w:webHidden/>
          </w:rPr>
          <w:fldChar w:fldCharType="separate"/>
        </w:r>
        <w:r w:rsidR="00613406" w:rsidRPr="00613406">
          <w:rPr>
            <w:noProof/>
            <w:webHidden/>
          </w:rPr>
          <w:t>251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6" w:history="1">
        <w:r w:rsidR="00613406" w:rsidRPr="00613406">
          <w:rPr>
            <w:rStyle w:val="Hyperlink"/>
            <w:noProof/>
          </w:rPr>
          <w:t>TABLE 10</w:t>
        </w:r>
        <w:r w:rsidR="00613406" w:rsidRPr="00613406">
          <w:rPr>
            <w:rStyle w:val="Hyperlink"/>
            <w:noProof/>
          </w:rPr>
          <w:noBreakHyphen/>
          <w:t>1: COMMISSION’S APPROVAL OF NUMBER OF CONSUMERS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_Toc457355666 \h </w:instrText>
        </w:r>
        <w:r w:rsidRPr="00613406">
          <w:rPr>
            <w:noProof/>
            <w:webHidden/>
          </w:rPr>
        </w:r>
        <w:r w:rsidRPr="00613406">
          <w:rPr>
            <w:noProof/>
            <w:webHidden/>
          </w:rPr>
          <w:fldChar w:fldCharType="separate"/>
        </w:r>
        <w:r w:rsidR="00613406" w:rsidRPr="00613406">
          <w:rPr>
            <w:noProof/>
            <w:webHidden/>
          </w:rPr>
          <w:t>258</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7" w:history="1">
        <w:r w:rsidR="00613406" w:rsidRPr="00613406">
          <w:rPr>
            <w:rStyle w:val="Hyperlink"/>
            <w:noProof/>
          </w:rPr>
          <w:t>TABLE 10</w:t>
        </w:r>
        <w:r w:rsidR="00613406" w:rsidRPr="00613406">
          <w:rPr>
            <w:rStyle w:val="Hyperlink"/>
            <w:noProof/>
          </w:rPr>
          <w:noBreakHyphen/>
          <w:t>2: COMMISSION’S APPROVAL OF CONNECTED LOAD (kW)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_Toc457355667 \h </w:instrText>
        </w:r>
        <w:r w:rsidRPr="00613406">
          <w:rPr>
            <w:noProof/>
            <w:webHidden/>
          </w:rPr>
        </w:r>
        <w:r w:rsidRPr="00613406">
          <w:rPr>
            <w:noProof/>
            <w:webHidden/>
          </w:rPr>
          <w:fldChar w:fldCharType="separate"/>
        </w:r>
        <w:r w:rsidR="00613406" w:rsidRPr="00613406">
          <w:rPr>
            <w:noProof/>
            <w:webHidden/>
          </w:rPr>
          <w:t>261</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8" w:history="1">
        <w:r w:rsidR="00613406" w:rsidRPr="00613406">
          <w:rPr>
            <w:rStyle w:val="Hyperlink"/>
            <w:noProof/>
          </w:rPr>
          <w:t>TABLE 10</w:t>
        </w:r>
        <w:r w:rsidR="00613406" w:rsidRPr="00613406">
          <w:rPr>
            <w:rStyle w:val="Hyperlink"/>
            <w:noProof/>
          </w:rPr>
          <w:noBreakHyphen/>
          <w:t>3: COMMISSION’S APPROVAL OF ENERGY SALES (MU) FOR FY 2016-17</w:t>
        </w:r>
        <w:r w:rsidR="00613406" w:rsidRPr="00613406">
          <w:rPr>
            <w:noProof/>
            <w:webHidden/>
          </w:rPr>
          <w:tab/>
        </w:r>
        <w:r w:rsidRPr="00613406">
          <w:rPr>
            <w:noProof/>
            <w:webHidden/>
          </w:rPr>
          <w:fldChar w:fldCharType="begin"/>
        </w:r>
        <w:r w:rsidR="00613406" w:rsidRPr="00613406">
          <w:rPr>
            <w:noProof/>
            <w:webHidden/>
          </w:rPr>
          <w:instrText xml:space="preserve"> PAGEREF _Toc457355668 \h </w:instrText>
        </w:r>
        <w:r w:rsidRPr="00613406">
          <w:rPr>
            <w:noProof/>
            <w:webHidden/>
          </w:rPr>
        </w:r>
        <w:r w:rsidRPr="00613406">
          <w:rPr>
            <w:noProof/>
            <w:webHidden/>
          </w:rPr>
          <w:fldChar w:fldCharType="separate"/>
        </w:r>
        <w:r w:rsidR="00613406" w:rsidRPr="00613406">
          <w:rPr>
            <w:noProof/>
            <w:webHidden/>
          </w:rPr>
          <w:t>264</w:t>
        </w:r>
        <w:r w:rsidRPr="00613406">
          <w:rPr>
            <w:noProof/>
            <w:webHidden/>
          </w:rPr>
          <w:fldChar w:fldCharType="end"/>
        </w:r>
      </w:hyperlink>
    </w:p>
    <w:p w:rsidR="00613406" w:rsidRPr="00613406" w:rsidRDefault="004A2D9E">
      <w:pPr>
        <w:pStyle w:val="TableofFigures"/>
        <w:tabs>
          <w:tab w:val="right" w:leader="dot" w:pos="9289"/>
        </w:tabs>
        <w:rPr>
          <w:rFonts w:eastAsiaTheme="minorEastAsia" w:cstheme="minorBidi"/>
          <w:smallCaps w:val="0"/>
          <w:noProof/>
          <w:sz w:val="22"/>
          <w:szCs w:val="22"/>
          <w:lang w:val="en-IN" w:eastAsia="en-IN"/>
        </w:rPr>
      </w:pPr>
      <w:hyperlink w:anchor="_Toc457355669" w:history="1">
        <w:r w:rsidR="00613406" w:rsidRPr="00613406">
          <w:rPr>
            <w:rStyle w:val="Hyperlink"/>
            <w:noProof/>
          </w:rPr>
          <w:t>TABLE 10</w:t>
        </w:r>
        <w:r w:rsidR="00613406" w:rsidRPr="00613406">
          <w:rPr>
            <w:rStyle w:val="Hyperlink"/>
            <w:noProof/>
          </w:rPr>
          <w:noBreakHyphen/>
          <w:t>4: APPROPRIATION OF APPROVED POWER PURCHASE FOR FY 2016-17: FPPCA</w:t>
        </w:r>
        <w:r w:rsidR="00613406" w:rsidRPr="00613406">
          <w:rPr>
            <w:noProof/>
            <w:webHidden/>
          </w:rPr>
          <w:tab/>
        </w:r>
        <w:r w:rsidRPr="00613406">
          <w:rPr>
            <w:noProof/>
            <w:webHidden/>
          </w:rPr>
          <w:fldChar w:fldCharType="begin"/>
        </w:r>
        <w:r w:rsidR="00613406" w:rsidRPr="00613406">
          <w:rPr>
            <w:noProof/>
            <w:webHidden/>
          </w:rPr>
          <w:instrText xml:space="preserve"> PAGEREF _Toc457355669 \h </w:instrText>
        </w:r>
        <w:r w:rsidRPr="00613406">
          <w:rPr>
            <w:noProof/>
            <w:webHidden/>
          </w:rPr>
        </w:r>
        <w:r w:rsidRPr="00613406">
          <w:rPr>
            <w:noProof/>
            <w:webHidden/>
          </w:rPr>
          <w:fldChar w:fldCharType="separate"/>
        </w:r>
        <w:r w:rsidR="00613406" w:rsidRPr="00613406">
          <w:rPr>
            <w:noProof/>
            <w:webHidden/>
          </w:rPr>
          <w:t>327</w:t>
        </w:r>
        <w:r w:rsidRPr="00613406">
          <w:rPr>
            <w:noProof/>
            <w:webHidden/>
          </w:rPr>
          <w:fldChar w:fldCharType="end"/>
        </w:r>
      </w:hyperlink>
    </w:p>
    <w:p w:rsidR="00D51BD0" w:rsidRPr="0011185B" w:rsidRDefault="004A2D9E" w:rsidP="00C60AD1">
      <w:pPr>
        <w:pStyle w:val="TableofFigures"/>
        <w:tabs>
          <w:tab w:val="right" w:leader="dot" w:pos="9289"/>
        </w:tabs>
      </w:pPr>
      <w:r w:rsidRPr="00613406">
        <w:rPr>
          <w:caps/>
        </w:rPr>
        <w:fldChar w:fldCharType="end"/>
      </w:r>
    </w:p>
    <w:p w:rsidR="00F70DA9" w:rsidRPr="0011185B" w:rsidRDefault="00F70DA9" w:rsidP="00C60AD1">
      <w:pPr>
        <w:spacing w:before="0" w:line="240" w:lineRule="auto"/>
        <w:jc w:val="left"/>
      </w:pPr>
      <w:bookmarkStart w:id="0" w:name="_Toc356912902"/>
      <w:r w:rsidRPr="0011185B">
        <w:br w:type="page"/>
      </w:r>
    </w:p>
    <w:p w:rsidR="003147B8" w:rsidRPr="00C60AD1" w:rsidRDefault="003147B8" w:rsidP="00C60AD1">
      <w:pPr>
        <w:spacing w:before="0" w:after="200"/>
        <w:jc w:val="center"/>
        <w:rPr>
          <w:b/>
        </w:rPr>
      </w:pPr>
      <w:r w:rsidRPr="00C60AD1">
        <w:rPr>
          <w:b/>
        </w:rPr>
        <w:lastRenderedPageBreak/>
        <w:t>Before</w:t>
      </w:r>
    </w:p>
    <w:p w:rsidR="003147B8" w:rsidRPr="00C60AD1" w:rsidRDefault="003147B8" w:rsidP="00C60AD1">
      <w:pPr>
        <w:jc w:val="center"/>
        <w:rPr>
          <w:b/>
        </w:rPr>
      </w:pPr>
    </w:p>
    <w:p w:rsidR="003147B8" w:rsidRPr="00C60AD1" w:rsidRDefault="003147B8" w:rsidP="00C60AD1">
      <w:pPr>
        <w:jc w:val="center"/>
        <w:rPr>
          <w:b/>
        </w:rPr>
      </w:pPr>
      <w:r w:rsidRPr="00C60AD1">
        <w:rPr>
          <w:b/>
        </w:rPr>
        <w:t>UTTAR PRADESH ELECTRICITY REGULATORY COMMISSION</w:t>
      </w:r>
    </w:p>
    <w:p w:rsidR="003147B8" w:rsidRPr="00C60AD1" w:rsidRDefault="003147B8" w:rsidP="00C60AD1">
      <w:pPr>
        <w:jc w:val="center"/>
        <w:rPr>
          <w:b/>
        </w:rPr>
      </w:pPr>
    </w:p>
    <w:p w:rsidR="003147B8" w:rsidRPr="00C60AD1" w:rsidRDefault="0022393E" w:rsidP="00C60AD1">
      <w:pPr>
        <w:spacing w:before="0" w:after="200"/>
        <w:jc w:val="center"/>
      </w:pPr>
      <w:r w:rsidRPr="00C60AD1">
        <w:t xml:space="preserve">Petition No. </w:t>
      </w:r>
      <w:r w:rsidR="00EA3BA0">
        <w:t>1059</w:t>
      </w:r>
      <w:r w:rsidR="00B55880" w:rsidRPr="00C60AD1">
        <w:t>/201</w:t>
      </w:r>
      <w:r w:rsidR="004A344C">
        <w:t>5</w:t>
      </w:r>
    </w:p>
    <w:p w:rsidR="003147B8" w:rsidRPr="00C60AD1" w:rsidRDefault="003147B8" w:rsidP="00C60AD1">
      <w:pPr>
        <w:rPr>
          <w:b/>
        </w:rPr>
      </w:pPr>
      <w:r w:rsidRPr="00C60AD1">
        <w:rPr>
          <w:b/>
        </w:rPr>
        <w:t>IN THE MATTER OF:</w:t>
      </w:r>
    </w:p>
    <w:p w:rsidR="003147B8" w:rsidRPr="00C60AD1" w:rsidRDefault="003147B8" w:rsidP="00C60AD1">
      <w:pPr>
        <w:jc w:val="left"/>
      </w:pPr>
      <w:r w:rsidRPr="00C60AD1">
        <w:t>Determination of Aggregate Revenue Requirement and Tariff for FY 201</w:t>
      </w:r>
      <w:r w:rsidR="001D512D">
        <w:t>6</w:t>
      </w:r>
      <w:r w:rsidRPr="00C60AD1">
        <w:t>-1</w:t>
      </w:r>
      <w:r w:rsidR="001D512D">
        <w:t>7</w:t>
      </w:r>
      <w:r w:rsidRPr="00C60AD1">
        <w:t xml:space="preserve"> and True up for FY 20</w:t>
      </w:r>
      <w:r w:rsidR="00EA0EDA" w:rsidRPr="00C60AD1">
        <w:t>1</w:t>
      </w:r>
      <w:r w:rsidR="001D512D">
        <w:t>3</w:t>
      </w:r>
      <w:r w:rsidR="00EA0EDA" w:rsidRPr="00C60AD1">
        <w:t>-1</w:t>
      </w:r>
      <w:r w:rsidR="001D512D">
        <w:t>4</w:t>
      </w:r>
      <w:r w:rsidRPr="00C60AD1">
        <w:t xml:space="preserve"> of </w:t>
      </w:r>
      <w:r w:rsidR="00EA3BA0">
        <w:t>Kanpur Electricity Supply Company Limited (KESCO)</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And</w:t>
      </w:r>
    </w:p>
    <w:p w:rsidR="003147B8" w:rsidRPr="00C60AD1" w:rsidRDefault="003147B8" w:rsidP="00C60AD1">
      <w:pPr>
        <w:autoSpaceDE w:val="0"/>
        <w:autoSpaceDN w:val="0"/>
        <w:adjustRightInd w:val="0"/>
        <w:spacing w:before="0" w:line="240" w:lineRule="auto"/>
        <w:jc w:val="left"/>
        <w:rPr>
          <w:rFonts w:ascii="Calibri,Bold" w:hAnsi="Calibri,Bold" w:cs="Calibri,Bold"/>
          <w:b/>
          <w:bCs/>
          <w:lang w:val="en-US"/>
        </w:rPr>
      </w:pPr>
    </w:p>
    <w:p w:rsidR="003147B8" w:rsidRPr="00C60AD1" w:rsidRDefault="003147B8" w:rsidP="00C60AD1">
      <w:pPr>
        <w:autoSpaceDE w:val="0"/>
        <w:autoSpaceDN w:val="0"/>
        <w:adjustRightInd w:val="0"/>
        <w:spacing w:before="0" w:line="240" w:lineRule="auto"/>
        <w:jc w:val="left"/>
        <w:rPr>
          <w:b/>
        </w:rPr>
      </w:pPr>
      <w:r w:rsidRPr="00C60AD1">
        <w:rPr>
          <w:b/>
        </w:rPr>
        <w:t>IN THE MATTER OF:</w:t>
      </w:r>
    </w:p>
    <w:p w:rsidR="003147B8" w:rsidRPr="00C60AD1" w:rsidRDefault="003147B8" w:rsidP="00C60AD1">
      <w:pPr>
        <w:autoSpaceDE w:val="0"/>
        <w:autoSpaceDN w:val="0"/>
        <w:adjustRightInd w:val="0"/>
        <w:spacing w:before="0" w:line="240" w:lineRule="auto"/>
        <w:jc w:val="left"/>
      </w:pPr>
    </w:p>
    <w:p w:rsidR="003147B8" w:rsidRPr="00C60AD1" w:rsidRDefault="00EA3BA0" w:rsidP="00C60AD1">
      <w:pPr>
        <w:autoSpaceDE w:val="0"/>
        <w:autoSpaceDN w:val="0"/>
        <w:adjustRightInd w:val="0"/>
        <w:spacing w:before="0" w:line="240" w:lineRule="auto"/>
        <w:jc w:val="left"/>
      </w:pPr>
      <w:r>
        <w:t>Kanpur Electricity Supply Company Limited (KESCO)</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line="240" w:lineRule="auto"/>
        <w:jc w:val="left"/>
        <w:rPr>
          <w:b/>
        </w:rPr>
      </w:pPr>
      <w:r w:rsidRPr="00C60AD1">
        <w:rPr>
          <w:b/>
        </w:rPr>
        <w:t>Before</w:t>
      </w:r>
    </w:p>
    <w:p w:rsidR="003147B8" w:rsidRPr="00C60AD1" w:rsidRDefault="003147B8" w:rsidP="00C60AD1">
      <w:pPr>
        <w:autoSpaceDE w:val="0"/>
        <w:autoSpaceDN w:val="0"/>
        <w:adjustRightInd w:val="0"/>
        <w:spacing w:before="0" w:line="240" w:lineRule="auto"/>
        <w:jc w:val="left"/>
        <w:rPr>
          <w:b/>
        </w:rPr>
      </w:pPr>
    </w:p>
    <w:p w:rsidR="003147B8" w:rsidRPr="00C60AD1" w:rsidRDefault="003147B8" w:rsidP="00C60AD1">
      <w:pPr>
        <w:autoSpaceDE w:val="0"/>
        <w:autoSpaceDN w:val="0"/>
        <w:adjustRightInd w:val="0"/>
        <w:spacing w:before="0"/>
        <w:rPr>
          <w:b/>
        </w:rPr>
      </w:pPr>
      <w:r w:rsidRPr="00C60AD1">
        <w:rPr>
          <w:b/>
        </w:rPr>
        <w:t>UTTAR PRADESH ELECTRICITY REGULATORY COMMISSION</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autoSpaceDE w:val="0"/>
        <w:autoSpaceDN w:val="0"/>
        <w:adjustRightInd w:val="0"/>
        <w:spacing w:before="0"/>
        <w:jc w:val="center"/>
        <w:rPr>
          <w:rFonts w:cs="Calibri"/>
          <w:b/>
          <w:bCs/>
          <w:color w:val="000000"/>
          <w:u w:val="single"/>
          <w:lang w:val="en-US"/>
        </w:rPr>
      </w:pPr>
      <w:r w:rsidRPr="00C60AD1">
        <w:rPr>
          <w:rFonts w:cs="Calibri"/>
          <w:b/>
          <w:bCs/>
          <w:color w:val="000000"/>
          <w:u w:val="single"/>
          <w:lang w:val="en-US"/>
        </w:rPr>
        <w:t>ORDER</w:t>
      </w:r>
    </w:p>
    <w:p w:rsidR="003147B8" w:rsidRPr="00C60AD1" w:rsidRDefault="003147B8" w:rsidP="00C60AD1">
      <w:pPr>
        <w:autoSpaceDE w:val="0"/>
        <w:autoSpaceDN w:val="0"/>
        <w:adjustRightInd w:val="0"/>
        <w:spacing w:before="0"/>
        <w:jc w:val="center"/>
        <w:rPr>
          <w:rFonts w:cs="Calibri"/>
          <w:b/>
          <w:bCs/>
          <w:color w:val="000000"/>
          <w:u w:val="single"/>
          <w:lang w:val="en-US"/>
        </w:rPr>
      </w:pPr>
    </w:p>
    <w:p w:rsidR="003147B8" w:rsidRPr="00C60AD1" w:rsidRDefault="003147B8" w:rsidP="00C60AD1">
      <w:pPr>
        <w:rPr>
          <w:rFonts w:cs="Calibri"/>
        </w:rPr>
      </w:pPr>
      <w:r w:rsidRPr="00C60AD1">
        <w:rPr>
          <w:rFonts w:cs="Calibri"/>
        </w:rPr>
        <w:t xml:space="preserve">The Commission having deliberated upon the above Petition and the subsequent filings by the Petitioner, and the Petition thereafter being admitted on </w:t>
      </w:r>
      <w:r w:rsidR="00B86C22" w:rsidRPr="00C02534">
        <w:rPr>
          <w:rFonts w:cs="Calibri"/>
        </w:rPr>
        <w:t>March 2</w:t>
      </w:r>
      <w:r w:rsidR="008B0C65" w:rsidRPr="008B0C65">
        <w:rPr>
          <w:rFonts w:cs="Calibri"/>
        </w:rPr>
        <w:t>9</w:t>
      </w:r>
      <w:r w:rsidR="00B86C22" w:rsidRPr="00C02534">
        <w:rPr>
          <w:rFonts w:cs="Calibri"/>
        </w:rPr>
        <w:t>, 201</w:t>
      </w:r>
      <w:r w:rsidR="008B0C65" w:rsidRPr="008B0C65">
        <w:rPr>
          <w:rFonts w:cs="Calibri"/>
        </w:rPr>
        <w:t>6</w:t>
      </w:r>
      <w:r w:rsidRPr="00C60AD1">
        <w:rPr>
          <w:rFonts w:cs="Calibri"/>
        </w:rPr>
        <w:t xml:space="preserve"> and having considered the views / comments / suggestions / objections / representations received during the course of the above proceedings </w:t>
      </w:r>
      <w:r w:rsidR="00C216BE" w:rsidRPr="00C60AD1">
        <w:rPr>
          <w:rFonts w:cs="Calibri"/>
        </w:rPr>
        <w:t>and also in the public hearings held</w:t>
      </w:r>
      <w:r w:rsidRPr="00C60AD1">
        <w:rPr>
          <w:rFonts w:cs="Calibri"/>
        </w:rPr>
        <w:t>, in exercise of power vested under Sections 61, 62, 64 and 86 of the Electricity Act, 2003, hereby passes this Order signed, dated and issued on</w:t>
      </w:r>
      <w:r w:rsidR="00723A80">
        <w:rPr>
          <w:rFonts w:cs="Calibri"/>
        </w:rPr>
        <w:t xml:space="preserve"> </w:t>
      </w:r>
      <w:r w:rsidR="007E7BB7">
        <w:rPr>
          <w:rFonts w:cs="Calibri"/>
        </w:rPr>
        <w:t>August 1</w:t>
      </w:r>
      <w:r w:rsidR="008B0C65" w:rsidRPr="00A27C11">
        <w:rPr>
          <w:rFonts w:cs="Calibri"/>
        </w:rPr>
        <w:t>, 201</w:t>
      </w:r>
      <w:r w:rsidR="00675503" w:rsidRPr="00A27C11">
        <w:rPr>
          <w:rFonts w:cs="Calibri"/>
        </w:rPr>
        <w:t>6</w:t>
      </w:r>
      <w:r w:rsidR="008B0C65" w:rsidRPr="00A27C11">
        <w:rPr>
          <w:rFonts w:cs="Calibri"/>
        </w:rPr>
        <w:t>.</w:t>
      </w:r>
      <w:r w:rsidRPr="00C60AD1">
        <w:rPr>
          <w:rFonts w:cs="Calibri"/>
        </w:rPr>
        <w:t xml:space="preserve"> The </w:t>
      </w:r>
      <w:r w:rsidR="009171EC">
        <w:rPr>
          <w:rFonts w:cs="Calibri"/>
        </w:rPr>
        <w:t>L</w:t>
      </w:r>
      <w:r w:rsidRPr="00C60AD1">
        <w:rPr>
          <w:rFonts w:cs="Calibri"/>
        </w:rPr>
        <w:t xml:space="preserve">icensee, in accordance with Section 139 of the Uttar Pradesh Electricity Regulatory Commission (Conduct of Business) Regulations, 2004, shall arrange to get published </w:t>
      </w:r>
      <w:r w:rsidR="00C216BE" w:rsidRPr="00C60AD1">
        <w:rPr>
          <w:rFonts w:cs="Calibri"/>
        </w:rPr>
        <w:t>within three days from the</w:t>
      </w:r>
      <w:r w:rsidRPr="00C60AD1">
        <w:rPr>
          <w:rFonts w:cs="Calibri"/>
        </w:rPr>
        <w:t xml:space="preserve"> date of issue of this Order, the tariffs </w:t>
      </w:r>
      <w:r w:rsidR="0022393E" w:rsidRPr="00C60AD1">
        <w:rPr>
          <w:rFonts w:cs="Calibri"/>
        </w:rPr>
        <w:t>and regulatory surcharge approved herein by the Commission.</w:t>
      </w:r>
      <w:r w:rsidR="00E076CA">
        <w:rPr>
          <w:rFonts w:cs="Calibri"/>
        </w:rPr>
        <w:t xml:space="preserve"> </w:t>
      </w:r>
      <w:r w:rsidR="00001730" w:rsidRPr="00C60AD1">
        <w:rPr>
          <w:rFonts w:cs="Calibri"/>
        </w:rPr>
        <w:t xml:space="preserve">The tariffs so published shall become the notified tariffs and shall come into force after seven days from the date of such publication of the tariffs, and unless amended or revoked, shall continue to be in force till issuance of the next Tariff Order. </w:t>
      </w:r>
      <w:r w:rsidR="0022393E" w:rsidRPr="00C60AD1">
        <w:rPr>
          <w:rFonts w:cs="Calibri"/>
        </w:rPr>
        <w:t>The regulatory surcharge shall be applicable as detailed in this Order.</w:t>
      </w:r>
      <w:bookmarkStart w:id="1" w:name="_Toc357686028"/>
      <w:bookmarkStart w:id="2" w:name="_Toc357686478"/>
      <w:bookmarkStart w:id="3" w:name="_Toc357718609"/>
      <w:bookmarkEnd w:id="1"/>
      <w:bookmarkEnd w:id="2"/>
    </w:p>
    <w:p w:rsidR="003147B8" w:rsidRPr="00C60AD1" w:rsidRDefault="003147B8" w:rsidP="00C60AD1">
      <w:pPr>
        <w:pStyle w:val="Heading1"/>
      </w:pPr>
      <w:bookmarkStart w:id="4" w:name="_Toc457355425"/>
      <w:r w:rsidRPr="00C60AD1">
        <w:lastRenderedPageBreak/>
        <w:t>BACKGROUND AND BRIEF HISTORY</w:t>
      </w:r>
      <w:bookmarkEnd w:id="3"/>
      <w:bookmarkEnd w:id="4"/>
    </w:p>
    <w:p w:rsidR="003147B8" w:rsidRPr="00C60AD1" w:rsidRDefault="003147B8" w:rsidP="00C60AD1">
      <w:pPr>
        <w:pStyle w:val="Heading2"/>
        <w:numPr>
          <w:ilvl w:val="1"/>
          <w:numId w:val="6"/>
        </w:numPr>
        <w:rPr>
          <w:rFonts w:cs="Calibri"/>
          <w:szCs w:val="26"/>
          <w:lang w:val="en-US"/>
        </w:rPr>
      </w:pPr>
      <w:bookmarkStart w:id="5" w:name="_Toc357718610"/>
      <w:bookmarkStart w:id="6" w:name="_Toc457355426"/>
      <w:r w:rsidRPr="00C60AD1">
        <w:rPr>
          <w:rFonts w:cs="Calibri"/>
          <w:szCs w:val="26"/>
          <w:lang w:val="en-US"/>
        </w:rPr>
        <w:t>BACKGROUND:</w:t>
      </w:r>
      <w:bookmarkEnd w:id="5"/>
      <w:bookmarkEnd w:id="6"/>
    </w:p>
    <w:p w:rsidR="003147B8" w:rsidRPr="00C60AD1" w:rsidRDefault="003147B8" w:rsidP="00C60AD1">
      <w:pPr>
        <w:pStyle w:val="Heading3"/>
        <w:tabs>
          <w:tab w:val="clear" w:pos="720"/>
          <w:tab w:val="num" w:pos="993"/>
        </w:tabs>
        <w:ind w:left="993" w:hanging="993"/>
      </w:pPr>
      <w:r w:rsidRPr="00C60AD1">
        <w:t>The Uttar Pradesh Electricity Regulatory Commission (UPERC) was formed under U.P. Electricity Reforms Act, 1999 by Government of Uttar Pradesh (GoUP) in one of the first steps of reforms and restructuring process of the power sector in the State. Thereafter, in pursuance of the reforms and restructuring process, the erstwhile Uttar Pradesh State Electricity Board (UPSEB) was unbundled into the following three separate entities through the first reforms Transfer Scheme dated January</w:t>
      </w:r>
      <w:r w:rsidR="00675503">
        <w:t xml:space="preserve"> 14</w:t>
      </w:r>
      <w:r w:rsidRPr="00C60AD1">
        <w:t>, 2000:</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Power Corporation Limited (UPPCL): vested with the function of Transmission and Distribution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Rajya Vidyut Utpadan Nigam Limited (UPRVUNL): vested with the function of Thermal Generation within the State </w:t>
      </w:r>
    </w:p>
    <w:p w:rsidR="003147B8" w:rsidRPr="00C60AD1" w:rsidRDefault="003147B8" w:rsidP="00C60AD1">
      <w:pPr>
        <w:pStyle w:val="Heading3"/>
        <w:numPr>
          <w:ilvl w:val="2"/>
          <w:numId w:val="7"/>
        </w:numPr>
        <w:tabs>
          <w:tab w:val="clear" w:pos="720"/>
          <w:tab w:val="clear" w:pos="936"/>
        </w:tabs>
        <w:ind w:left="1620" w:hanging="306"/>
      </w:pPr>
      <w:r w:rsidRPr="00C60AD1">
        <w:t xml:space="preserve">Uttar Pradesh Jal Vidyut Nigam Limited (UPJVNL): vested with the function of Hydro Generation within the State. </w:t>
      </w:r>
    </w:p>
    <w:p w:rsidR="003147B8" w:rsidRPr="00C60AD1" w:rsidRDefault="003147B8" w:rsidP="00C60AD1">
      <w:pPr>
        <w:pStyle w:val="Heading3"/>
        <w:tabs>
          <w:tab w:val="clear" w:pos="720"/>
        </w:tabs>
        <w:ind w:left="993" w:hanging="993"/>
      </w:pPr>
      <w:r w:rsidRPr="00C60AD1">
        <w:t>Through another Transfer Scheme dated January</w:t>
      </w:r>
      <w:r w:rsidR="001D652C" w:rsidRPr="00C60AD1">
        <w:t xml:space="preserve"> 15</w:t>
      </w:r>
      <w:r w:rsidRPr="00C60AD1">
        <w:t xml:space="preserve">, 2000, assets, liabilities and personnel of Kanpur Electricity Supply Authority (KESA) under UPSEB were transferred to Kanpur Electricity Supply Company Limited (KESCO), a company registered under the Companies Act, 1956. </w:t>
      </w:r>
    </w:p>
    <w:p w:rsidR="003147B8" w:rsidRPr="00C60AD1" w:rsidRDefault="003147B8" w:rsidP="00C60AD1">
      <w:pPr>
        <w:pStyle w:val="Heading3"/>
        <w:tabs>
          <w:tab w:val="clear" w:pos="720"/>
          <w:tab w:val="num" w:pos="993"/>
        </w:tabs>
        <w:ind w:left="993" w:hanging="993"/>
      </w:pPr>
      <w:r w:rsidRPr="00C60AD1">
        <w:t>After the enactment of the Electricity Act, 2003 (EA 2003) the need was felt for further unbundling of UPPCL (responsible for both Transmission and Distribution functions) along functional lines. Therefore, the following four new Distribution companies (hereinafter collectively referred to as ‘Discoms’ / ‘Distribution Licensees’ )were created vide Uttar Pradesh Transfer of Distribution Undertaking Scheme, 2003 dated August</w:t>
      </w:r>
      <w:r w:rsidR="001D652C" w:rsidRPr="00C60AD1">
        <w:t xml:space="preserve"> 12</w:t>
      </w:r>
      <w:r w:rsidRPr="00C60AD1">
        <w:t xml:space="preserve">, 2003 to undertake distribution and supply of electricity in the areas under their respective zones specified in the scheme: </w:t>
      </w:r>
    </w:p>
    <w:p w:rsidR="003147B8" w:rsidRPr="00C60AD1" w:rsidRDefault="003147B8" w:rsidP="00C60AD1">
      <w:pPr>
        <w:pStyle w:val="Heading3"/>
        <w:numPr>
          <w:ilvl w:val="2"/>
          <w:numId w:val="8"/>
        </w:numPr>
        <w:tabs>
          <w:tab w:val="clear" w:pos="720"/>
          <w:tab w:val="clear" w:pos="936"/>
        </w:tabs>
        <w:ind w:left="1530" w:hanging="306"/>
      </w:pPr>
      <w:r w:rsidRPr="00C60AD1">
        <w:t xml:space="preserve">Dakshinanchal Vidyut Vitran Nigam Limited (Agra Discom or DVVNL)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Madhyanchal Vidyut Vitran Nigam Limited (Lucknow Discom or MVVNL) </w:t>
      </w:r>
    </w:p>
    <w:p w:rsidR="003147B8" w:rsidRPr="00C60AD1" w:rsidRDefault="003147B8" w:rsidP="00C60AD1">
      <w:pPr>
        <w:pStyle w:val="Heading3"/>
        <w:numPr>
          <w:ilvl w:val="2"/>
          <w:numId w:val="8"/>
        </w:numPr>
        <w:tabs>
          <w:tab w:val="clear" w:pos="720"/>
          <w:tab w:val="clear" w:pos="936"/>
        </w:tabs>
        <w:ind w:left="1530" w:hanging="306"/>
      </w:pPr>
      <w:r w:rsidRPr="00C60AD1">
        <w:t xml:space="preserve">Paschimanchal Vidyut Vitran Nigam Limited (Meerut Discom or PVVNL) </w:t>
      </w:r>
    </w:p>
    <w:p w:rsidR="003147B8" w:rsidRPr="00C60AD1" w:rsidRDefault="003147B8" w:rsidP="00C60AD1">
      <w:pPr>
        <w:pStyle w:val="Heading3"/>
        <w:numPr>
          <w:ilvl w:val="2"/>
          <w:numId w:val="8"/>
        </w:numPr>
        <w:tabs>
          <w:tab w:val="clear" w:pos="720"/>
          <w:tab w:val="clear" w:pos="936"/>
        </w:tabs>
        <w:ind w:left="1530" w:hanging="306"/>
      </w:pPr>
      <w:r w:rsidRPr="00C60AD1">
        <w:t>Purvanchal Vidyut Vitran Nigam Limited (Varanasi Discom or PuVVNL)</w:t>
      </w:r>
    </w:p>
    <w:p w:rsidR="003147B8" w:rsidRPr="00C60AD1" w:rsidRDefault="003147B8" w:rsidP="00C60AD1">
      <w:pPr>
        <w:pStyle w:val="Heading3"/>
        <w:tabs>
          <w:tab w:val="clear" w:pos="720"/>
          <w:tab w:val="num" w:pos="993"/>
        </w:tabs>
        <w:ind w:left="993" w:hanging="993"/>
      </w:pPr>
      <w:r w:rsidRPr="00C60AD1">
        <w:lastRenderedPageBreak/>
        <w:t>Under this scheme, the role of UPPCL was specified as “Bulk Supply Licensee” as per the license granted by the Commission and as “State Transmission Utility” under sub-section (1) of Section 27-B of the Indian Electricity Act, 1910.</w:t>
      </w:r>
    </w:p>
    <w:p w:rsidR="003147B8" w:rsidRPr="00C60AD1" w:rsidRDefault="003147B8" w:rsidP="00C60AD1">
      <w:pPr>
        <w:pStyle w:val="Heading3"/>
        <w:tabs>
          <w:tab w:val="clear" w:pos="720"/>
          <w:tab w:val="num" w:pos="993"/>
        </w:tabs>
        <w:ind w:left="993" w:hanging="993"/>
      </w:pPr>
      <w:r w:rsidRPr="00C60AD1">
        <w:t>Subsequently, the Uttar Pradesh Power Transmission Corporation Limited (UPPTCL), a Transmission Company (Transco), was incorporated under the Companies Act, 1956 by an amendment in the ‘Object and Name’ clause of the Uttar Pradesh Vidyut Vyapar Nigam Limited. The Transco is entrusted with the business of transmission of electrical energy to various utilities within the State of Uttar Pradesh. This function was earlier vested with UPPCL. Further, Government of Uttar Pradesh (GoUP), in exercise of power under the Section 30 of the EA 2003, vide notification No. 122/U.N.N.P/24-07 dated July</w:t>
      </w:r>
      <w:r w:rsidR="001D652C" w:rsidRPr="00C60AD1">
        <w:t xml:space="preserve"> 18</w:t>
      </w:r>
      <w:r w:rsidRPr="00C60AD1">
        <w:t>, 2007 notified Uttar Pradesh Power Transmission Corporation Limited as the “State Transmission Utility” of Uttar Pradesh. Subsequently, on December</w:t>
      </w:r>
      <w:r w:rsidR="001D652C" w:rsidRPr="00C60AD1">
        <w:t xml:space="preserve"> 23,</w:t>
      </w:r>
      <w:r w:rsidRPr="00C60AD1">
        <w:t xml:space="preserve"> 2010, the Government of Uttar Pradesh notified the Uttar Pradesh Electricity Reforms (Transfer of Transmission and Related Activities Including the Assets, Liabilities and Related Proceedings) Scheme, 2010, which provided for the transfer of assets and liabilities from UPPCL to UPPTCL with effect from April</w:t>
      </w:r>
      <w:r w:rsidR="001D652C" w:rsidRPr="00C60AD1">
        <w:t xml:space="preserve"> 1</w:t>
      </w:r>
      <w:r w:rsidRPr="00C60AD1">
        <w:t>, 2007.</w:t>
      </w:r>
    </w:p>
    <w:p w:rsidR="003147B8" w:rsidRPr="00C60AD1" w:rsidRDefault="003147B8" w:rsidP="00C60AD1">
      <w:pPr>
        <w:pStyle w:val="Heading3"/>
        <w:tabs>
          <w:tab w:val="clear" w:pos="720"/>
          <w:tab w:val="num" w:pos="993"/>
        </w:tabs>
        <w:ind w:left="993" w:hanging="993"/>
      </w:pPr>
      <w:r w:rsidRPr="00C60AD1">
        <w:t>Thereafter, on January</w:t>
      </w:r>
      <w:r w:rsidR="001D652C" w:rsidRPr="00C60AD1">
        <w:t xml:space="preserve"> 21</w:t>
      </w:r>
      <w:r w:rsidRPr="00C60AD1">
        <w:t>, 2010, as the successor Distribution companies of UPPCL (a deemed Licensee), the Distribution Companies, which were created through the notification of the UP Power Sector Reforms (Transfer of Distribution Undertakings) Scheme, 2003 were issued fresh Distribution Licenses which replaced the UP Power Corporation Ltd (UPPCL) Distribution, Retail &amp; Bulk Supply License, 2000.</w:t>
      </w:r>
    </w:p>
    <w:p w:rsidR="00F70DA9" w:rsidRPr="00C60AD1" w:rsidRDefault="00F70DA9" w:rsidP="00C60AD1">
      <w:pPr>
        <w:pStyle w:val="Heading2"/>
        <w:numPr>
          <w:ilvl w:val="0"/>
          <w:numId w:val="0"/>
        </w:numPr>
        <w:ind w:left="780"/>
        <w:rPr>
          <w:rFonts w:cs="Calibri"/>
          <w:szCs w:val="26"/>
          <w:lang w:val="en-US"/>
        </w:rPr>
      </w:pPr>
      <w:bookmarkStart w:id="7" w:name="_Toc357718611"/>
    </w:p>
    <w:p w:rsidR="003147B8" w:rsidRPr="00C60AD1" w:rsidRDefault="003147B8" w:rsidP="00C60AD1">
      <w:pPr>
        <w:pStyle w:val="Heading2"/>
        <w:rPr>
          <w:rFonts w:cs="Calibri"/>
          <w:szCs w:val="26"/>
          <w:lang w:val="en-US"/>
        </w:rPr>
      </w:pPr>
      <w:bookmarkStart w:id="8" w:name="_Toc457355427"/>
      <w:r w:rsidRPr="00C60AD1">
        <w:rPr>
          <w:rFonts w:cs="Calibri"/>
          <w:szCs w:val="26"/>
          <w:lang w:val="en-US"/>
        </w:rPr>
        <w:t>DISTRIBUTION TARIFF REGULATIONS:</w:t>
      </w:r>
      <w:bookmarkEnd w:id="7"/>
      <w:bookmarkEnd w:id="8"/>
    </w:p>
    <w:p w:rsidR="00F70DA9" w:rsidRPr="00C60AD1" w:rsidRDefault="003147B8" w:rsidP="00C60AD1">
      <w:pPr>
        <w:pStyle w:val="Heading3"/>
        <w:tabs>
          <w:tab w:val="clear" w:pos="720"/>
          <w:tab w:val="clear" w:pos="1929"/>
          <w:tab w:val="num" w:pos="993"/>
          <w:tab w:val="num" w:pos="1296"/>
        </w:tabs>
        <w:ind w:left="993" w:hanging="993"/>
        <w:rPr>
          <w:rFonts w:cs="Calibri"/>
          <w:lang w:val="en-US"/>
        </w:rPr>
      </w:pPr>
      <w:r w:rsidRPr="00C60AD1">
        <w:t>Uttar Pradesh Electricity Regulatory Commission (Terms and Conditions for Determination of Distribution Tariff) Regulations, 2006 (hereinafter referred to as the “Distribution Tariff Regulations, 2006”) were notified on October</w:t>
      </w:r>
      <w:r w:rsidR="001D652C" w:rsidRPr="00C60AD1">
        <w:t xml:space="preserve"> 6</w:t>
      </w:r>
      <w:r w:rsidRPr="00C60AD1">
        <w:t>, 2006. These Regulations are applicable for the purposes of ARR filing and Tariff determination o</w:t>
      </w:r>
      <w:r w:rsidR="005D2ED6">
        <w:t>f</w:t>
      </w:r>
      <w:r w:rsidRPr="00C60AD1">
        <w:t xml:space="preserve"> all the Distribution Licensees within the State of Uttar Pradesh from FY 2007-08 onwards. </w:t>
      </w:r>
    </w:p>
    <w:p w:rsidR="00F70DA9" w:rsidRPr="00C60AD1" w:rsidRDefault="0022393E" w:rsidP="00C60AD1">
      <w:pPr>
        <w:pStyle w:val="Heading3"/>
        <w:tabs>
          <w:tab w:val="clear" w:pos="720"/>
          <w:tab w:val="clear" w:pos="1929"/>
          <w:tab w:val="num" w:pos="993"/>
          <w:tab w:val="num" w:pos="1296"/>
        </w:tabs>
        <w:ind w:left="993" w:hanging="993"/>
        <w:rPr>
          <w:rFonts w:cs="Calibri"/>
          <w:lang w:val="en-US"/>
        </w:rPr>
      </w:pPr>
      <w:r w:rsidRPr="00C60AD1">
        <w:t>Further the Uttar Pradesh Electricity Regulatory Commission (Multi Year Distribution Tariff) Regulations, 2014 have been notified on May</w:t>
      </w:r>
      <w:r w:rsidR="001D652C" w:rsidRPr="00C60AD1">
        <w:t xml:space="preserve"> 12</w:t>
      </w:r>
      <w:r w:rsidRPr="00C60AD1">
        <w:t xml:space="preserve">, 2014. These Regulations shall be applicable for determination of Tariff in all cases covered under these Regulations from April 1, 2015 to March 31, 2020, unless extended by an Order of the Commission. Embarking upon the MYT framework, the Commission has divided </w:t>
      </w:r>
      <w:r w:rsidRPr="00C60AD1">
        <w:lastRenderedPageBreak/>
        <w:t>the period of five years (i.e. April 1, 2015 to March 31, 2020) into two periods namely –</w:t>
      </w:r>
    </w:p>
    <w:p w:rsidR="00F70DA9" w:rsidRPr="00C60AD1" w:rsidRDefault="0022393E" w:rsidP="00BA3941">
      <w:pPr>
        <w:pStyle w:val="Heading3"/>
        <w:numPr>
          <w:ilvl w:val="0"/>
          <w:numId w:val="29"/>
        </w:numPr>
        <w:tabs>
          <w:tab w:val="clear" w:pos="720"/>
        </w:tabs>
      </w:pPr>
      <w:r w:rsidRPr="00C60AD1">
        <w:t>Transition period (April 1, 2015 to March 31, 2017)</w:t>
      </w:r>
    </w:p>
    <w:p w:rsidR="00F70DA9" w:rsidRPr="00C60AD1" w:rsidRDefault="0022393E" w:rsidP="00BA3941">
      <w:pPr>
        <w:pStyle w:val="Heading3"/>
        <w:numPr>
          <w:ilvl w:val="0"/>
          <w:numId w:val="29"/>
        </w:numPr>
        <w:tabs>
          <w:tab w:val="clear" w:pos="720"/>
        </w:tabs>
      </w:pPr>
      <w:r w:rsidRPr="00C60AD1">
        <w:t>Control period (April 1, 2017 to March 31, 2020)</w:t>
      </w:r>
    </w:p>
    <w:p w:rsidR="00F70DA9" w:rsidRPr="00C60AD1" w:rsidRDefault="0022393E" w:rsidP="00C60AD1">
      <w:pPr>
        <w:pStyle w:val="Heading3"/>
        <w:tabs>
          <w:tab w:val="clear" w:pos="720"/>
          <w:tab w:val="clear" w:pos="1929"/>
          <w:tab w:val="num" w:pos="993"/>
          <w:tab w:val="num" w:pos="1296"/>
        </w:tabs>
        <w:ind w:left="993" w:hanging="993"/>
        <w:rPr>
          <w:bCs w:val="0"/>
        </w:rPr>
      </w:pPr>
      <w:r w:rsidRPr="00C60AD1">
        <w:t>The transition period being of two years and the first control period being of three years, the Commission shall continue with the existing Annual Tariff Framework for determination of ARR / Tariff of the Distribution Licensee (i.e. as per Uttar Pradesh Electricity Regulatory Commission (Terms and Conditions for Determination of Distribution Tariff) Regulations, 2006) during the transition period.</w:t>
      </w:r>
    </w:p>
    <w:p w:rsidR="003147B8" w:rsidRPr="00C60AD1" w:rsidRDefault="003147B8" w:rsidP="00C60AD1">
      <w:pPr>
        <w:spacing w:before="0" w:after="200"/>
        <w:jc w:val="left"/>
        <w:rPr>
          <w:rFonts w:ascii="Cambria" w:hAnsi="Cambria" w:cs="Arial"/>
          <w:b/>
          <w:bCs/>
          <w:color w:val="333399"/>
          <w:kern w:val="32"/>
          <w:szCs w:val="32"/>
        </w:rPr>
      </w:pPr>
      <w:bookmarkStart w:id="9" w:name="_Toc357718612"/>
      <w:r w:rsidRPr="00C60AD1">
        <w:rPr>
          <w:sz w:val="22"/>
          <w:szCs w:val="22"/>
          <w:lang w:val="en-US"/>
        </w:rPr>
        <w:br w:type="page"/>
      </w:r>
    </w:p>
    <w:p w:rsidR="003147B8" w:rsidRPr="00C60AD1" w:rsidRDefault="003147B8" w:rsidP="00C60AD1">
      <w:pPr>
        <w:pStyle w:val="Heading1"/>
      </w:pPr>
      <w:bookmarkStart w:id="10" w:name="_Toc457355428"/>
      <w:r w:rsidRPr="00C60AD1">
        <w:lastRenderedPageBreak/>
        <w:t>PROCEDURAL HISTORY</w:t>
      </w:r>
      <w:bookmarkEnd w:id="9"/>
      <w:bookmarkEnd w:id="10"/>
    </w:p>
    <w:p w:rsidR="006B17F5" w:rsidRPr="00C60AD1" w:rsidRDefault="00EC69F7" w:rsidP="00BA3941">
      <w:pPr>
        <w:pStyle w:val="Heading2"/>
        <w:numPr>
          <w:ilvl w:val="1"/>
          <w:numId w:val="26"/>
        </w:numPr>
        <w:rPr>
          <w:rFonts w:cs="Calibri"/>
          <w:szCs w:val="26"/>
          <w:lang w:val="en-US"/>
        </w:rPr>
      </w:pPr>
      <w:bookmarkStart w:id="11" w:name="_Toc357718613"/>
      <w:bookmarkStart w:id="12" w:name="_Toc457355429"/>
      <w:r w:rsidRPr="00C60AD1">
        <w:rPr>
          <w:rFonts w:cs="Calibri"/>
          <w:szCs w:val="26"/>
          <w:lang w:val="en-US"/>
        </w:rPr>
        <w:t>ARR / TARIFF AND TRUE UP PETITION BY THE LICENSEE</w:t>
      </w:r>
      <w:bookmarkEnd w:id="11"/>
      <w:bookmarkEnd w:id="12"/>
    </w:p>
    <w:p w:rsidR="003147B8" w:rsidRPr="00C60AD1" w:rsidRDefault="003147B8" w:rsidP="00C60AD1">
      <w:pPr>
        <w:pStyle w:val="Heading3"/>
        <w:tabs>
          <w:tab w:val="clear" w:pos="720"/>
          <w:tab w:val="num" w:pos="993"/>
        </w:tabs>
        <w:ind w:left="993" w:hanging="993"/>
      </w:pPr>
      <w:r w:rsidRPr="00C60AD1">
        <w:t>As per the provisions of the UPERC (Terms and Conditions for Determination of Distribution Tariff) Regulations, 2006, the Distribution Licensees are required to file their ARR / Tariff Petitions before the Commission latest by 30</w:t>
      </w:r>
      <w:r w:rsidR="006E2230" w:rsidRPr="00C60AD1">
        <w:rPr>
          <w:vertAlign w:val="superscript"/>
        </w:rPr>
        <w:t>th</w:t>
      </w:r>
      <w:r w:rsidR="00B648C4">
        <w:rPr>
          <w:vertAlign w:val="superscript"/>
        </w:rPr>
        <w:t xml:space="preserve"> </w:t>
      </w:r>
      <w:r w:rsidRPr="00C60AD1">
        <w:t>November each year so that the tariff can be determined and be made applicable from the 1</w:t>
      </w:r>
      <w:r w:rsidR="006E2230" w:rsidRPr="00C60AD1">
        <w:rPr>
          <w:vertAlign w:val="superscript"/>
        </w:rPr>
        <w:t>st</w:t>
      </w:r>
      <w:r w:rsidR="00C250B8">
        <w:rPr>
          <w:vertAlign w:val="superscript"/>
        </w:rPr>
        <w:t xml:space="preserve"> </w:t>
      </w:r>
      <w:r w:rsidRPr="00C60AD1">
        <w:t>of April of the subsequent financial year.</w:t>
      </w:r>
    </w:p>
    <w:p w:rsidR="00F90F34" w:rsidRPr="00C60AD1" w:rsidRDefault="003147B8" w:rsidP="00C60AD1">
      <w:pPr>
        <w:pStyle w:val="Heading3"/>
        <w:tabs>
          <w:tab w:val="clear" w:pos="720"/>
          <w:tab w:val="num" w:pos="993"/>
        </w:tabs>
        <w:ind w:left="993" w:hanging="993"/>
      </w:pPr>
      <w:r w:rsidRPr="00C60AD1">
        <w:t xml:space="preserve">The ARR / Tariff Petition for FY </w:t>
      </w:r>
      <w:r w:rsidR="008467EF" w:rsidRPr="00C60AD1">
        <w:t>201</w:t>
      </w:r>
      <w:r w:rsidR="00573CB1">
        <w:t>6</w:t>
      </w:r>
      <w:r w:rsidR="008467EF" w:rsidRPr="00C60AD1">
        <w:t>-1</w:t>
      </w:r>
      <w:r w:rsidR="00573CB1">
        <w:t>7</w:t>
      </w:r>
      <w:r w:rsidRPr="00C60AD1">
        <w:t xml:space="preserve"> and True up Petition for FY </w:t>
      </w:r>
      <w:r w:rsidR="008467EF" w:rsidRPr="00C60AD1">
        <w:t>201</w:t>
      </w:r>
      <w:r w:rsidR="00573CB1">
        <w:t>3</w:t>
      </w:r>
      <w:r w:rsidR="008467EF" w:rsidRPr="00C60AD1">
        <w:t>-1</w:t>
      </w:r>
      <w:r w:rsidR="00573CB1">
        <w:t>4</w:t>
      </w:r>
      <w:r w:rsidRPr="00C60AD1">
        <w:t xml:space="preserve"> was filed by </w:t>
      </w:r>
      <w:r w:rsidR="00F90F34">
        <w:t>KESCO</w:t>
      </w:r>
      <w:r w:rsidRPr="00C60AD1">
        <w:t xml:space="preserve"> (hereinafter referred to as the ‘Licensee’ or the ‘Petitioner’) under Sections 62 and 64 of the Electricity Act, 2003 on </w:t>
      </w:r>
      <w:r w:rsidR="00F90F34">
        <w:t>November</w:t>
      </w:r>
      <w:r w:rsidR="00C250B8">
        <w:t xml:space="preserve"> </w:t>
      </w:r>
      <w:r w:rsidR="00F90F34">
        <w:t>30</w:t>
      </w:r>
      <w:r w:rsidR="007320D7" w:rsidRPr="00C60AD1">
        <w:t>, 201</w:t>
      </w:r>
      <w:r w:rsidR="00573CB1">
        <w:t>5</w:t>
      </w:r>
      <w:r w:rsidR="007320D7" w:rsidRPr="00C60AD1">
        <w:t xml:space="preserve"> (Petition No. </w:t>
      </w:r>
      <w:r w:rsidR="00573CB1">
        <w:t>10</w:t>
      </w:r>
      <w:r w:rsidR="00F90F34">
        <w:t>59</w:t>
      </w:r>
      <w:r w:rsidR="007320D7" w:rsidRPr="00C60AD1">
        <w:t>/ 201</w:t>
      </w:r>
      <w:r w:rsidR="00573CB1">
        <w:t>5</w:t>
      </w:r>
      <w:r w:rsidRPr="00C60AD1">
        <w:t>).</w:t>
      </w:r>
    </w:p>
    <w:p w:rsidR="00F90F34" w:rsidRDefault="00F90F34" w:rsidP="00F90F34">
      <w:pPr>
        <w:pStyle w:val="Heading3"/>
        <w:tabs>
          <w:tab w:val="clear" w:pos="720"/>
          <w:tab w:val="num" w:pos="993"/>
        </w:tabs>
        <w:ind w:left="993" w:hanging="993"/>
      </w:pPr>
      <w:r>
        <w:t>The Commission observed that the State Discoms viz. PuVVNL, PVVNL, MVVNL and DVVNL filed their ARR Petitions for FY 2016-17 after KESCO on December 7, 2015 in which there was a marginal difference in the bulk supply tariff (BST) considered by KESCO. In order to align the projections considered by KESCO for FY 2016-17 with BST considered by other State Discoms, KESCO amended its ARR projections for FY 2016-17 and consequential revenue gap estimates. The revised ARR for FY 2016-17 and revised revenue gap estimates for FY 2016-17 of KESCO were submitted on December 15, 2015.</w:t>
      </w:r>
    </w:p>
    <w:p w:rsidR="003147B8" w:rsidRDefault="00372C45" w:rsidP="00C60AD1">
      <w:pPr>
        <w:pStyle w:val="Heading3"/>
        <w:tabs>
          <w:tab w:val="clear" w:pos="720"/>
          <w:tab w:val="num" w:pos="993"/>
        </w:tabs>
        <w:ind w:left="993" w:hanging="993"/>
      </w:pPr>
      <w:r w:rsidRPr="00307EDF">
        <w:t>The Commission observed that the Licensee had submitted the audited accounts for</w:t>
      </w:r>
      <w:r w:rsidRPr="000D6C41">
        <w:t xml:space="preserve"> FY 201</w:t>
      </w:r>
      <w:r w:rsidR="008B0C65" w:rsidRPr="008B0C65">
        <w:t>3</w:t>
      </w:r>
      <w:r w:rsidRPr="000D6C41">
        <w:t>-1</w:t>
      </w:r>
      <w:r w:rsidR="008B0C65" w:rsidRPr="008B0C65">
        <w:t>4</w:t>
      </w:r>
      <w:r w:rsidR="00CE16D0">
        <w:t xml:space="preserve"> </w:t>
      </w:r>
      <w:r w:rsidR="00CE16D0" w:rsidRPr="00CE16D0">
        <w:rPr>
          <w:lang w:val="en-US"/>
        </w:rPr>
        <w:t>(with Supplementary Audit Report of the Accountant General o</w:t>
      </w:r>
      <w:r w:rsidR="00CE16D0">
        <w:rPr>
          <w:lang w:val="en-US"/>
        </w:rPr>
        <w:t xml:space="preserve">f Uttar Pradesh for FY 2013-14) </w:t>
      </w:r>
      <w:r w:rsidRPr="000D6C41">
        <w:t>and provisional accounts for FY 201</w:t>
      </w:r>
      <w:r w:rsidR="008B0C65" w:rsidRPr="008B0C65">
        <w:t>4</w:t>
      </w:r>
      <w:r w:rsidRPr="000D6C41">
        <w:t>-</w:t>
      </w:r>
      <w:r w:rsidRPr="006C479C">
        <w:t>1</w:t>
      </w:r>
      <w:r w:rsidR="008B0C65" w:rsidRPr="008B0C65">
        <w:t xml:space="preserve">5 </w:t>
      </w:r>
      <w:r w:rsidR="00C879D1" w:rsidRPr="00293C0F">
        <w:t xml:space="preserve">along with the calculations of revenue gap for </w:t>
      </w:r>
      <w:r w:rsidR="00A30A72">
        <w:t xml:space="preserve">FY 2013-14 </w:t>
      </w:r>
      <w:r w:rsidR="00C879D1" w:rsidRPr="00293C0F">
        <w:t xml:space="preserve">and the projected revenue for FY </w:t>
      </w:r>
      <w:r w:rsidR="008B0C65" w:rsidRPr="008B0C65">
        <w:t>2016-17</w:t>
      </w:r>
      <w:r w:rsidR="00C879D1" w:rsidRPr="00293C0F">
        <w:t xml:space="preserve"> based on current tariff in its ARR Petition. </w:t>
      </w:r>
      <w:r w:rsidR="00EB379E" w:rsidRPr="00964825">
        <w:t>But, audited account (with the Supplementary Audit Report of the Accountant General of Uttar Pradesh) for FY 2013-14 and provisional accounts for FY 2014-15</w:t>
      </w:r>
      <w:r w:rsidR="00C250B8">
        <w:t xml:space="preserve"> </w:t>
      </w:r>
      <w:r w:rsidR="00EB379E" w:rsidRPr="00964825">
        <w:t>of UPPCL</w:t>
      </w:r>
      <w:r w:rsidR="00C250B8">
        <w:t xml:space="preserve"> </w:t>
      </w:r>
      <w:r w:rsidR="00EB379E" w:rsidRPr="00964825">
        <w:t>were not submitted by the Licensee.</w:t>
      </w:r>
      <w:r w:rsidR="00EB379E">
        <w:t xml:space="preserve"> T</w:t>
      </w:r>
      <w:r w:rsidRPr="00FB319B">
        <w:t xml:space="preserve">he ARR Petition </w:t>
      </w:r>
      <w:r w:rsidR="00EB379E">
        <w:t xml:space="preserve">also </w:t>
      </w:r>
      <w:r w:rsidRPr="00FB319B">
        <w:t xml:space="preserve">did not contain the Tariff Proposal (Rate Schedule) to bridge the revenue gap through tariff hike or through any other mechanism. Further, the Rate Schedule was submitted later on </w:t>
      </w:r>
      <w:r w:rsidR="008B0C65" w:rsidRPr="008B0C65">
        <w:t>February</w:t>
      </w:r>
      <w:r w:rsidRPr="00FB319B">
        <w:t xml:space="preserve"> 2, 201</w:t>
      </w:r>
      <w:r w:rsidR="008B0C65" w:rsidRPr="008B0C65">
        <w:t>6</w:t>
      </w:r>
      <w:r w:rsidRPr="00FB319B">
        <w:t>.</w:t>
      </w:r>
    </w:p>
    <w:p w:rsidR="00D146E1" w:rsidRPr="00FB319B" w:rsidRDefault="00D146E1" w:rsidP="00D146E1">
      <w:pPr>
        <w:pStyle w:val="Heading3"/>
        <w:numPr>
          <w:ilvl w:val="0"/>
          <w:numId w:val="0"/>
        </w:numPr>
        <w:tabs>
          <w:tab w:val="clear" w:pos="720"/>
        </w:tabs>
        <w:ind w:left="993"/>
      </w:pPr>
    </w:p>
    <w:p w:rsidR="003147B8" w:rsidRPr="00C60AD1" w:rsidRDefault="003147B8" w:rsidP="00C60AD1">
      <w:pPr>
        <w:pStyle w:val="Heading2"/>
        <w:rPr>
          <w:rFonts w:cs="Calibri"/>
          <w:szCs w:val="26"/>
        </w:rPr>
      </w:pPr>
      <w:bookmarkStart w:id="13" w:name="_Toc357718614"/>
      <w:bookmarkStart w:id="14" w:name="_Toc457355430"/>
      <w:r w:rsidRPr="00C60AD1">
        <w:rPr>
          <w:rFonts w:cs="Calibri"/>
          <w:szCs w:val="26"/>
        </w:rPr>
        <w:t xml:space="preserve">PRELIMINARY </w:t>
      </w:r>
      <w:r w:rsidRPr="00C60AD1">
        <w:rPr>
          <w:rFonts w:cs="Calibri"/>
          <w:szCs w:val="26"/>
          <w:lang w:val="en-US"/>
        </w:rPr>
        <w:t>SCRUTINY</w:t>
      </w:r>
      <w:r w:rsidRPr="00C60AD1">
        <w:rPr>
          <w:rFonts w:cs="Calibri"/>
          <w:szCs w:val="26"/>
        </w:rPr>
        <w:t xml:space="preserve"> OF THE PETITION:</w:t>
      </w:r>
      <w:bookmarkEnd w:id="13"/>
      <w:bookmarkEnd w:id="14"/>
    </w:p>
    <w:p w:rsidR="003147B8" w:rsidRPr="00EB379E" w:rsidRDefault="00FA7C62" w:rsidP="00C60AD1">
      <w:pPr>
        <w:pStyle w:val="Heading3"/>
        <w:tabs>
          <w:tab w:val="clear" w:pos="720"/>
          <w:tab w:val="num" w:pos="993"/>
        </w:tabs>
        <w:ind w:left="993" w:hanging="993"/>
      </w:pPr>
      <w:r w:rsidRPr="00EB379E">
        <w:t xml:space="preserve">A preliminary analysis of the Petition was conducted by the Commission wherein it was observed that the ARR Petition did not propose any mechanism to bridge the </w:t>
      </w:r>
      <w:r w:rsidRPr="00EB379E">
        <w:lastRenderedPageBreak/>
        <w:t>revenue gap, which was in contravention to the stipulation of Regulation 2.1.4 of the Distribution Tariff Regulations, 2006</w:t>
      </w:r>
      <w:r w:rsidR="00F650CD" w:rsidRPr="00F650CD">
        <w:t>.</w:t>
      </w:r>
    </w:p>
    <w:p w:rsidR="00F70DA9" w:rsidRPr="001D58AA" w:rsidRDefault="00372C45" w:rsidP="00C60AD1">
      <w:pPr>
        <w:pStyle w:val="Heading3"/>
        <w:tabs>
          <w:tab w:val="clear" w:pos="720"/>
          <w:tab w:val="num" w:pos="993"/>
        </w:tabs>
        <w:ind w:left="993" w:hanging="993"/>
      </w:pPr>
      <w:r w:rsidRPr="001D58AA">
        <w:t xml:space="preserve">In this regard, a deficiency note was issued by the Commission on January </w:t>
      </w:r>
      <w:r w:rsidR="008B0C65" w:rsidRPr="008B0C65">
        <w:t>29</w:t>
      </w:r>
      <w:r w:rsidRPr="001D58AA">
        <w:t>, 201</w:t>
      </w:r>
      <w:r w:rsidR="008B0C65" w:rsidRPr="008B0C65">
        <w:t>6</w:t>
      </w:r>
      <w:r w:rsidRPr="001D58AA">
        <w:t xml:space="preserve"> directing the Licensee to submit its proposal for bridging the revenue gap. Such deficiency note also sought clarifications on other issues in regard to the ARR Petition filed by the Licensee. The Commission had granted a time of 10 days to respond on the deficiency note, i.e., by </w:t>
      </w:r>
      <w:r w:rsidR="008B0C65" w:rsidRPr="008B0C65">
        <w:t>February</w:t>
      </w:r>
      <w:r w:rsidR="00351349">
        <w:t xml:space="preserve"> </w:t>
      </w:r>
      <w:r w:rsidR="008B0C65" w:rsidRPr="008B0C65">
        <w:t>8</w:t>
      </w:r>
      <w:r w:rsidRPr="001D58AA">
        <w:t>, 201</w:t>
      </w:r>
      <w:r w:rsidR="008B0C65" w:rsidRPr="008B0C65">
        <w:t>6</w:t>
      </w:r>
      <w:r w:rsidRPr="001D58AA">
        <w:t>.</w:t>
      </w:r>
    </w:p>
    <w:p w:rsidR="00F70DA9" w:rsidRPr="00F9788E" w:rsidRDefault="00372C45" w:rsidP="00C60AD1">
      <w:pPr>
        <w:pStyle w:val="Heading3"/>
        <w:tabs>
          <w:tab w:val="clear" w:pos="720"/>
          <w:tab w:val="left" w:pos="990"/>
        </w:tabs>
        <w:ind w:left="990"/>
        <w:rPr>
          <w:rFonts w:cs="Calibri"/>
          <w:lang w:val="en-US"/>
        </w:rPr>
      </w:pPr>
      <w:r w:rsidRPr="00822515">
        <w:rPr>
          <w:rFonts w:cs="Calibri"/>
          <w:bCs w:val="0"/>
          <w:lang w:val="en-US"/>
        </w:rPr>
        <w:t xml:space="preserve">The Distribution Licensee submitted the </w:t>
      </w:r>
      <w:r w:rsidR="008B0C65" w:rsidRPr="008B0C65">
        <w:rPr>
          <w:rFonts w:cs="Calibri"/>
          <w:bCs w:val="0"/>
          <w:lang w:val="en-US"/>
        </w:rPr>
        <w:t>Rate schedule</w:t>
      </w:r>
      <w:r w:rsidRPr="00822515">
        <w:rPr>
          <w:rFonts w:cs="Calibri"/>
          <w:bCs w:val="0"/>
          <w:lang w:val="en-US"/>
        </w:rPr>
        <w:t xml:space="preserve"> on February </w:t>
      </w:r>
      <w:r w:rsidR="008B0C65" w:rsidRPr="008B0C65">
        <w:rPr>
          <w:rFonts w:cs="Calibri"/>
          <w:bCs w:val="0"/>
          <w:lang w:val="en-US"/>
        </w:rPr>
        <w:t>2</w:t>
      </w:r>
      <w:r w:rsidRPr="00822515">
        <w:rPr>
          <w:rFonts w:cs="Calibri"/>
          <w:bCs w:val="0"/>
          <w:lang w:val="en-US"/>
        </w:rPr>
        <w:t>,</w:t>
      </w:r>
      <w:r w:rsidR="00C250B8">
        <w:rPr>
          <w:rFonts w:cs="Calibri"/>
          <w:bCs w:val="0"/>
          <w:lang w:val="en-US"/>
        </w:rPr>
        <w:t xml:space="preserve"> </w:t>
      </w:r>
      <w:r w:rsidRPr="00822515">
        <w:rPr>
          <w:rFonts w:cs="Calibri"/>
          <w:bCs w:val="0"/>
          <w:lang w:val="en-US"/>
        </w:rPr>
        <w:t>201</w:t>
      </w:r>
      <w:r w:rsidR="008B0C65" w:rsidRPr="008B0C65">
        <w:rPr>
          <w:rFonts w:cs="Calibri"/>
          <w:bCs w:val="0"/>
          <w:lang w:val="en-US"/>
        </w:rPr>
        <w:t>6</w:t>
      </w:r>
      <w:r w:rsidRPr="00822515">
        <w:rPr>
          <w:rFonts w:cs="Calibri"/>
          <w:bCs w:val="0"/>
          <w:lang w:val="en-US"/>
        </w:rPr>
        <w:t xml:space="preserve">. </w:t>
      </w:r>
      <w:r w:rsidRPr="00822515">
        <w:rPr>
          <w:rFonts w:cs="Calibri"/>
          <w:lang w:val="en-US"/>
        </w:rPr>
        <w:t xml:space="preserve">Based on the </w:t>
      </w:r>
      <w:r w:rsidR="008B0C65" w:rsidRPr="008B0C65">
        <w:rPr>
          <w:rFonts w:cs="Calibri"/>
          <w:lang w:val="en-US"/>
        </w:rPr>
        <w:t>Rate schedule</w:t>
      </w:r>
      <w:r w:rsidR="00C250B8">
        <w:rPr>
          <w:rFonts w:cs="Calibri"/>
          <w:lang w:val="en-US"/>
        </w:rPr>
        <w:t xml:space="preserve"> </w:t>
      </w:r>
      <w:r w:rsidRPr="00822515">
        <w:rPr>
          <w:rFonts w:cs="Calibri"/>
          <w:lang w:val="en-US"/>
        </w:rPr>
        <w:t>submitted by the Licensee, the Commission issued a second deficiency note which included queries</w:t>
      </w:r>
      <w:r w:rsidR="00EB379E">
        <w:rPr>
          <w:rFonts w:cs="Calibri"/>
          <w:lang w:val="en-US"/>
        </w:rPr>
        <w:t xml:space="preserve"> mainly related to the Rate schedule proposed by the Licensee for FY 2016-17</w:t>
      </w:r>
      <w:r w:rsidRPr="00822515">
        <w:rPr>
          <w:rFonts w:cs="Calibri"/>
          <w:lang w:val="en-US"/>
        </w:rPr>
        <w:t xml:space="preserve">; vide e-mail </w:t>
      </w:r>
      <w:r w:rsidR="00EB379E">
        <w:rPr>
          <w:rFonts w:cs="Calibri"/>
          <w:lang w:val="en-US"/>
        </w:rPr>
        <w:t xml:space="preserve">and letter </w:t>
      </w:r>
      <w:r w:rsidRPr="00822515">
        <w:rPr>
          <w:rFonts w:cs="Calibri"/>
          <w:lang w:val="en-US"/>
        </w:rPr>
        <w:t>dated February</w:t>
      </w:r>
      <w:r w:rsidR="00EB379E">
        <w:rPr>
          <w:rFonts w:cs="Calibri"/>
          <w:lang w:val="en-US"/>
        </w:rPr>
        <w:t xml:space="preserve"> 10</w:t>
      </w:r>
      <w:r w:rsidRPr="00822515">
        <w:rPr>
          <w:rFonts w:cs="Calibri"/>
          <w:lang w:val="en-US"/>
        </w:rPr>
        <w:t>, 201</w:t>
      </w:r>
      <w:r w:rsidR="008B0C65" w:rsidRPr="008B0C65">
        <w:rPr>
          <w:rFonts w:cs="Calibri"/>
          <w:lang w:val="en-US"/>
        </w:rPr>
        <w:t>6</w:t>
      </w:r>
      <w:r w:rsidR="008B0C65" w:rsidRPr="005607D3">
        <w:rPr>
          <w:rFonts w:cs="Calibri"/>
          <w:lang w:val="en-US"/>
        </w:rPr>
        <w:t xml:space="preserve">. </w:t>
      </w:r>
      <w:r w:rsidRPr="00BA0A94">
        <w:rPr>
          <w:rFonts w:cs="Calibri"/>
          <w:lang w:val="en-US"/>
        </w:rPr>
        <w:t xml:space="preserve">The Commission also directed the Licensees to submit its replies </w:t>
      </w:r>
      <w:r w:rsidRPr="00BC6D89">
        <w:rPr>
          <w:rFonts w:cs="Calibri"/>
          <w:lang w:val="en-US"/>
        </w:rPr>
        <w:t xml:space="preserve">within </w:t>
      </w:r>
      <w:r w:rsidR="008B0C65" w:rsidRPr="00BC6D89">
        <w:rPr>
          <w:rFonts w:cs="Calibri"/>
          <w:lang w:val="en-US"/>
        </w:rPr>
        <w:t>10 days</w:t>
      </w:r>
      <w:r w:rsidRPr="00BC6D89">
        <w:rPr>
          <w:rFonts w:cs="Calibri"/>
          <w:lang w:val="en-US"/>
        </w:rPr>
        <w:t>.</w:t>
      </w:r>
      <w:r w:rsidRPr="00F9788E">
        <w:rPr>
          <w:rFonts w:cs="Calibri"/>
          <w:lang w:val="en-US"/>
        </w:rPr>
        <w:t xml:space="preserve"> A reminder vide letter dated </w:t>
      </w:r>
      <w:r w:rsidR="008B0C65" w:rsidRPr="008B0C65">
        <w:rPr>
          <w:rFonts w:cs="Calibri"/>
          <w:lang w:val="en-US"/>
        </w:rPr>
        <w:t>February 22</w:t>
      </w:r>
      <w:r w:rsidRPr="00F9788E">
        <w:rPr>
          <w:rFonts w:cs="Calibri"/>
          <w:lang w:val="en-US"/>
        </w:rPr>
        <w:t xml:space="preserve">, </w:t>
      </w:r>
      <w:r w:rsidR="008B0C65" w:rsidRPr="008B0C65">
        <w:rPr>
          <w:rFonts w:cs="Calibri"/>
          <w:lang w:val="en-US"/>
        </w:rPr>
        <w:t>2016</w:t>
      </w:r>
      <w:r w:rsidRPr="00F9788E">
        <w:rPr>
          <w:rFonts w:cs="Calibri"/>
          <w:lang w:val="en-US"/>
        </w:rPr>
        <w:t xml:space="preserve"> was sent to all the State owned Distribution Licensees to submit the replies </w:t>
      </w:r>
      <w:r w:rsidR="00EB379E">
        <w:rPr>
          <w:rFonts w:cs="Calibri"/>
          <w:lang w:val="en-US"/>
        </w:rPr>
        <w:t xml:space="preserve">for both the set of deficiencies </w:t>
      </w:r>
      <w:r w:rsidRPr="00F9788E">
        <w:rPr>
          <w:rFonts w:cs="Calibri"/>
          <w:lang w:val="en-US"/>
        </w:rPr>
        <w:t xml:space="preserve">at the earliest. </w:t>
      </w:r>
    </w:p>
    <w:p w:rsidR="003147B8" w:rsidRPr="00C806A3" w:rsidRDefault="003147B8" w:rsidP="00C60AD1">
      <w:pPr>
        <w:pStyle w:val="Heading3"/>
        <w:tabs>
          <w:tab w:val="clear" w:pos="720"/>
          <w:tab w:val="num" w:pos="993"/>
        </w:tabs>
        <w:ind w:left="993" w:hanging="993"/>
      </w:pPr>
      <w:r w:rsidRPr="00C806A3">
        <w:t xml:space="preserve">The Distribution Licensee submitted the replies to the </w:t>
      </w:r>
      <w:r w:rsidR="008B0C65" w:rsidRPr="008B0C65">
        <w:t xml:space="preserve">first and </w:t>
      </w:r>
      <w:r w:rsidRPr="00C806A3">
        <w:t>second deficiency note</w:t>
      </w:r>
      <w:r w:rsidR="008B0C65" w:rsidRPr="008B0C65">
        <w:t>s</w:t>
      </w:r>
      <w:r w:rsidRPr="00C806A3">
        <w:t xml:space="preserve"> on </w:t>
      </w:r>
      <w:r w:rsidR="00B34F8F" w:rsidRPr="00C806A3">
        <w:t xml:space="preserve">March </w:t>
      </w:r>
      <w:r w:rsidR="008B0C65" w:rsidRPr="008B0C65">
        <w:t>9</w:t>
      </w:r>
      <w:r w:rsidR="00930C6A" w:rsidRPr="00C806A3">
        <w:t xml:space="preserve">, </w:t>
      </w:r>
      <w:r w:rsidR="00B34F8F" w:rsidRPr="00C806A3">
        <w:t>201</w:t>
      </w:r>
      <w:r w:rsidR="008B0C65" w:rsidRPr="008B0C65">
        <w:t>6</w:t>
      </w:r>
      <w:r w:rsidRPr="00C806A3">
        <w:t>.</w:t>
      </w:r>
    </w:p>
    <w:p w:rsidR="00F70DA9" w:rsidRPr="00B118EC" w:rsidRDefault="00372C45" w:rsidP="00C60AD1">
      <w:pPr>
        <w:pStyle w:val="Heading3"/>
        <w:tabs>
          <w:tab w:val="clear" w:pos="720"/>
          <w:tab w:val="num" w:pos="993"/>
          <w:tab w:val="left" w:pos="5400"/>
        </w:tabs>
        <w:ind w:left="993" w:hanging="993"/>
      </w:pPr>
      <w:r w:rsidRPr="00B118EC">
        <w:t>The Hon’ble ATE, in its Judgment dated October 21, 2011 in Appeal No. 121 of 2010 has ruled that if the audited accounts for the previous year are not available for some reasons then the audited accounts for the year just prior to the previous year along with the provisional accounts for the previous year may be considered. Thus, based on the above ruling of the Hon’ble ATE, the audited accounts for FY 201</w:t>
      </w:r>
      <w:r w:rsidR="008B0C65" w:rsidRPr="008B0C65">
        <w:t>3</w:t>
      </w:r>
      <w:r w:rsidRPr="00B118EC">
        <w:t>-1</w:t>
      </w:r>
      <w:r w:rsidR="008B0C65" w:rsidRPr="008B0C65">
        <w:t>4</w:t>
      </w:r>
      <w:r w:rsidRPr="00B118EC">
        <w:t xml:space="preserve"> (i.e., year just prior to the previous year) </w:t>
      </w:r>
      <w:r w:rsidRPr="00B118EC">
        <w:rPr>
          <w:rFonts w:cstheme="minorHAnsi"/>
          <w:szCs w:val="24"/>
        </w:rPr>
        <w:t xml:space="preserve">) along with the provisional accounts for FY 2014-15 (previous year) </w:t>
      </w:r>
      <w:r w:rsidRPr="00B118EC">
        <w:t>ha</w:t>
      </w:r>
      <w:r w:rsidR="008B0C65" w:rsidRPr="008B0C65">
        <w:t>ve</w:t>
      </w:r>
      <w:r w:rsidRPr="00B118EC">
        <w:t xml:space="preserve"> been considered for the current proceedings in the matter of approval of Annual Revenue Requirement and Tariff Determination of FY 201</w:t>
      </w:r>
      <w:r w:rsidR="008B0C65" w:rsidRPr="008B0C65">
        <w:t>6</w:t>
      </w:r>
      <w:r w:rsidRPr="00B118EC">
        <w:t>-1</w:t>
      </w:r>
      <w:r w:rsidR="008B0C65" w:rsidRPr="008B0C65">
        <w:t>7</w:t>
      </w:r>
      <w:r w:rsidRPr="00B118EC">
        <w:t xml:space="preserve">. </w:t>
      </w:r>
    </w:p>
    <w:p w:rsidR="00F70DA9" w:rsidRPr="00C60AD1" w:rsidRDefault="00F70DA9" w:rsidP="00D146E1">
      <w:pPr>
        <w:pStyle w:val="Heading2"/>
        <w:numPr>
          <w:ilvl w:val="0"/>
          <w:numId w:val="0"/>
        </w:numPr>
        <w:spacing w:after="240"/>
        <w:ind w:left="780"/>
        <w:rPr>
          <w:rFonts w:cs="Calibri"/>
          <w:szCs w:val="26"/>
        </w:rPr>
      </w:pPr>
      <w:bookmarkStart w:id="15" w:name="_Toc356912865"/>
      <w:bookmarkStart w:id="16" w:name="_Toc394439278"/>
    </w:p>
    <w:p w:rsidR="003147B8" w:rsidRPr="00C60AD1" w:rsidRDefault="0022393E" w:rsidP="00C60AD1">
      <w:pPr>
        <w:pStyle w:val="Heading2"/>
        <w:rPr>
          <w:rFonts w:cs="Calibri"/>
          <w:szCs w:val="26"/>
        </w:rPr>
      </w:pPr>
      <w:bookmarkStart w:id="17" w:name="_Toc457355431"/>
      <w:r w:rsidRPr="00C60AD1">
        <w:rPr>
          <w:rFonts w:cs="Calibri"/>
          <w:szCs w:val="26"/>
        </w:rPr>
        <w:t>ADMITTANCE OF THE TRUE-UP AND ARR / TARIFF PETITION</w:t>
      </w:r>
      <w:bookmarkEnd w:id="15"/>
      <w:bookmarkEnd w:id="16"/>
      <w:bookmarkEnd w:id="17"/>
    </w:p>
    <w:p w:rsidR="008C05CF" w:rsidRPr="00C60AD1" w:rsidRDefault="007320D7" w:rsidP="00C60AD1">
      <w:pPr>
        <w:pStyle w:val="Heading3"/>
        <w:tabs>
          <w:tab w:val="clear" w:pos="720"/>
          <w:tab w:val="num" w:pos="993"/>
        </w:tabs>
        <w:ind w:left="993" w:hanging="993"/>
      </w:pPr>
      <w:r w:rsidRPr="00C60AD1">
        <w:t xml:space="preserve">The Commission through its Admittance Order dated </w:t>
      </w:r>
      <w:r w:rsidR="0022393E" w:rsidRPr="00C60AD1">
        <w:t>March</w:t>
      </w:r>
      <w:r w:rsidR="00930C6A" w:rsidRPr="00C60AD1">
        <w:t xml:space="preserve"> 2</w:t>
      </w:r>
      <w:r w:rsidR="009C0D8E">
        <w:t>9</w:t>
      </w:r>
      <w:r w:rsidRPr="00C60AD1">
        <w:t>, 201</w:t>
      </w:r>
      <w:r w:rsidR="00843C2F">
        <w:t>6</w:t>
      </w:r>
      <w:r w:rsidRPr="00C60AD1">
        <w:t xml:space="preserve"> directed the Petitioner to publish, within 3 days from the date of issue of that order, the Public Notice detailing the salient information and facts of the True-up Petition for FY </w:t>
      </w:r>
      <w:r w:rsidR="008A1A72" w:rsidRPr="00C60AD1">
        <w:t>201</w:t>
      </w:r>
      <w:r w:rsidR="005C6214">
        <w:t>3</w:t>
      </w:r>
      <w:r w:rsidRPr="00C60AD1">
        <w:t>-</w:t>
      </w:r>
      <w:r w:rsidR="0022393E" w:rsidRPr="00C60AD1">
        <w:t>1</w:t>
      </w:r>
      <w:r w:rsidR="005C6214">
        <w:t>4</w:t>
      </w:r>
      <w:r w:rsidRPr="00C60AD1">
        <w:t>, ARR</w:t>
      </w:r>
      <w:r w:rsidR="00EB379E">
        <w:t xml:space="preserve"> / Tariff</w:t>
      </w:r>
      <w:r w:rsidRPr="00C60AD1">
        <w:t xml:space="preserve"> Petition for FY 201</w:t>
      </w:r>
      <w:r w:rsidR="005C6214">
        <w:t>6</w:t>
      </w:r>
      <w:r w:rsidR="0022393E" w:rsidRPr="00C60AD1">
        <w:t>-1</w:t>
      </w:r>
      <w:r w:rsidR="005C6214">
        <w:t>7</w:t>
      </w:r>
      <w:r w:rsidR="00131CA8" w:rsidRPr="00C60AD1">
        <w:t>,</w:t>
      </w:r>
      <w:r w:rsidRPr="00C60AD1">
        <w:t xml:space="preserve"> the Rate Schedule (Tariff Proposed for different categories/ sub-categories of consumers)</w:t>
      </w:r>
      <w:r w:rsidR="00131CA8" w:rsidRPr="00C60AD1">
        <w:t xml:space="preserve">, the details of the cumulative revenue gap (regulatory asset) and its treatment, proposed ‘Regulatory Surcharge’, </w:t>
      </w:r>
      <w:r w:rsidR="00131CA8" w:rsidRPr="00C60AD1">
        <w:lastRenderedPageBreak/>
        <w:t>Distribution losses, average power purchase cost, average cost of supply, average retail tariff realised from each category / sub-category of consumers and the % of average tariff increase required to cover the revenue gap</w:t>
      </w:r>
      <w:r w:rsidRPr="00C60AD1">
        <w:t xml:space="preserve"> in at least two daily newspapers (one English and one Hindi) for two successive days for inviting views / </w:t>
      </w:r>
      <w:r w:rsidR="0022393E" w:rsidRPr="00C60AD1">
        <w:t>comments / suggestions /</w:t>
      </w:r>
      <w:r w:rsidRPr="00C60AD1">
        <w:t>objections</w:t>
      </w:r>
      <w:r w:rsidR="0022393E" w:rsidRPr="00C60AD1">
        <w:t xml:space="preserve"> /representations from </w:t>
      </w:r>
      <w:r w:rsidRPr="00C60AD1">
        <w:t xml:space="preserve"> all stakeholders and public at large</w:t>
      </w:r>
      <w:r w:rsidR="005E27AA" w:rsidRPr="00C60AD1">
        <w:t xml:space="preserve"> within the stipulated time of 15 days from the date of publication of the Public Notice.</w:t>
      </w:r>
      <w:r w:rsidRPr="00C60AD1">
        <w:t xml:space="preserve"> The Commission had also directed the Petitioner to </w:t>
      </w:r>
      <w:r w:rsidR="009E173F" w:rsidRPr="00C60AD1">
        <w:t xml:space="preserve">put all details on its internet website, in PDF format, showing detailed computations, the application made to the Commission along with all regulatory filings, information, particulars and documents, clarification and additional information on inadequacies etc. and all subsequent events and material placed on record if any, made before the issuance of final Order subject to confidentiality of information which requires prior approval </w:t>
      </w:r>
      <w:r w:rsidR="005E27AA" w:rsidRPr="00C60AD1">
        <w:t>of</w:t>
      </w:r>
      <w:r w:rsidR="009E173F" w:rsidRPr="00C60AD1">
        <w:t xml:space="preserve"> the Commission.</w:t>
      </w:r>
    </w:p>
    <w:p w:rsidR="00F70DA9" w:rsidRPr="00C60AD1" w:rsidRDefault="00F70DA9" w:rsidP="00C60AD1">
      <w:pPr>
        <w:pStyle w:val="Heading3"/>
        <w:numPr>
          <w:ilvl w:val="0"/>
          <w:numId w:val="0"/>
        </w:numPr>
        <w:tabs>
          <w:tab w:val="clear" w:pos="720"/>
          <w:tab w:val="left" w:pos="5400"/>
        </w:tabs>
        <w:ind w:left="993"/>
      </w:pPr>
    </w:p>
    <w:p w:rsidR="00F70DA9" w:rsidRPr="00D146E1" w:rsidRDefault="0022393E" w:rsidP="00D146E1">
      <w:pPr>
        <w:pStyle w:val="Heading2"/>
        <w:spacing w:after="240"/>
        <w:ind w:left="778" w:hanging="778"/>
        <w:contextualSpacing w:val="0"/>
        <w:rPr>
          <w:rFonts w:cs="Calibri"/>
          <w:szCs w:val="26"/>
          <w:lang w:val="en-US"/>
        </w:rPr>
      </w:pPr>
      <w:bookmarkStart w:id="18" w:name="_Toc394439279"/>
      <w:bookmarkStart w:id="19" w:name="_Toc457355432"/>
      <w:r w:rsidRPr="00C60AD1">
        <w:rPr>
          <w:rFonts w:cs="Calibri"/>
          <w:szCs w:val="26"/>
          <w:lang w:val="en-US"/>
        </w:rPr>
        <w:t xml:space="preserve">PUBLICITY OF </w:t>
      </w:r>
      <w:r w:rsidRPr="00C60AD1">
        <w:rPr>
          <w:rFonts w:cs="Calibri"/>
          <w:szCs w:val="26"/>
        </w:rPr>
        <w:t>THE</w:t>
      </w:r>
      <w:r w:rsidRPr="00C60AD1">
        <w:rPr>
          <w:rFonts w:cs="Calibri"/>
          <w:szCs w:val="26"/>
          <w:lang w:val="en-US"/>
        </w:rPr>
        <w:t xml:space="preserve"> PETITION</w:t>
      </w:r>
      <w:bookmarkEnd w:id="18"/>
      <w:bookmarkEnd w:id="19"/>
    </w:p>
    <w:p w:rsidR="00F70DA9" w:rsidRPr="00C60AD1" w:rsidRDefault="003147B8" w:rsidP="00C60AD1">
      <w:pPr>
        <w:pStyle w:val="Heading3"/>
        <w:tabs>
          <w:tab w:val="clear" w:pos="720"/>
          <w:tab w:val="num" w:pos="993"/>
          <w:tab w:val="left" w:pos="5400"/>
        </w:tabs>
        <w:ind w:left="993" w:hanging="993"/>
      </w:pPr>
      <w:r w:rsidRPr="00C60AD1">
        <w:t>The Public Notice detailing the salient features of the True-up Petition for FY 20</w:t>
      </w:r>
      <w:r w:rsidR="007F16AB" w:rsidRPr="00C60AD1">
        <w:t>1</w:t>
      </w:r>
      <w:r w:rsidR="00D22C7C">
        <w:t>3</w:t>
      </w:r>
      <w:r w:rsidR="007F16AB" w:rsidRPr="00C60AD1">
        <w:t>-1</w:t>
      </w:r>
      <w:r w:rsidR="00D22C7C">
        <w:t>4</w:t>
      </w:r>
      <w:r w:rsidRPr="00C60AD1">
        <w:t xml:space="preserve"> and ARR </w:t>
      </w:r>
      <w:r w:rsidR="007F16AB" w:rsidRPr="00C60AD1">
        <w:t>Petition for</w:t>
      </w:r>
      <w:r w:rsidRPr="00C60AD1">
        <w:t xml:space="preserve"> FY 201</w:t>
      </w:r>
      <w:r w:rsidR="00D22C7C">
        <w:t>6</w:t>
      </w:r>
      <w:r w:rsidR="007F16AB" w:rsidRPr="00C60AD1">
        <w:t>-1</w:t>
      </w:r>
      <w:r w:rsidR="00D22C7C">
        <w:t>7</w:t>
      </w:r>
      <w:r w:rsidRPr="00C60AD1">
        <w:t xml:space="preserve"> w</w:t>
      </w:r>
      <w:r w:rsidR="0009670B" w:rsidRPr="00C60AD1">
        <w:t>as</w:t>
      </w:r>
      <w:r w:rsidRPr="00C60AD1">
        <w:t xml:space="preserve"> made </w:t>
      </w:r>
      <w:r w:rsidR="00091210">
        <w:t xml:space="preserve">available </w:t>
      </w:r>
      <w:r w:rsidRPr="00C60AD1">
        <w:t xml:space="preserve">by UPPCL on behalf of the Petitioner and they appeared in daily newspapers as detailed below, inviting objections from the public at large and all stakeholders: </w:t>
      </w:r>
    </w:p>
    <w:p w:rsidR="007C7081" w:rsidRPr="005607D3" w:rsidRDefault="008B0C65" w:rsidP="00C60AD1">
      <w:pPr>
        <w:pStyle w:val="Heading3"/>
        <w:numPr>
          <w:ilvl w:val="2"/>
          <w:numId w:val="9"/>
        </w:numPr>
        <w:tabs>
          <w:tab w:val="clear" w:pos="720"/>
          <w:tab w:val="clear" w:pos="936"/>
        </w:tabs>
        <w:ind w:left="1440" w:hanging="306"/>
      </w:pPr>
      <w:r w:rsidRPr="005607D3">
        <w:t>Times of India (English)</w:t>
      </w:r>
      <w:r w:rsidRPr="005607D3">
        <w:tab/>
      </w:r>
      <w:r w:rsidRPr="005607D3">
        <w:tab/>
        <w:t xml:space="preserve">: March </w:t>
      </w:r>
      <w:r w:rsidR="009A4409">
        <w:t>31</w:t>
      </w:r>
      <w:r w:rsidRPr="005607D3">
        <w:t>, 201</w:t>
      </w:r>
      <w:r w:rsidR="009A4409">
        <w:t>6</w:t>
      </w:r>
    </w:p>
    <w:p w:rsidR="007C7081" w:rsidRPr="005607D3" w:rsidRDefault="008B0C65" w:rsidP="00C60AD1">
      <w:pPr>
        <w:pStyle w:val="Heading3"/>
        <w:numPr>
          <w:ilvl w:val="2"/>
          <w:numId w:val="9"/>
        </w:numPr>
        <w:tabs>
          <w:tab w:val="clear" w:pos="720"/>
          <w:tab w:val="clear" w:pos="936"/>
        </w:tabs>
        <w:ind w:left="1440" w:hanging="306"/>
      </w:pPr>
      <w:r w:rsidRPr="005607D3">
        <w:t>Pioneer (English)</w:t>
      </w:r>
      <w:r w:rsidRPr="005607D3">
        <w:tab/>
      </w:r>
      <w:r w:rsidRPr="005607D3">
        <w:tab/>
      </w:r>
      <w:r w:rsidRPr="005607D3">
        <w:tab/>
        <w:t xml:space="preserve">: </w:t>
      </w:r>
      <w:r w:rsidR="009A4409">
        <w:t>April 1, 2016</w:t>
      </w:r>
    </w:p>
    <w:p w:rsidR="007C7081" w:rsidRPr="005607D3" w:rsidRDefault="008B0C65" w:rsidP="00C60AD1">
      <w:pPr>
        <w:pStyle w:val="Heading3"/>
        <w:numPr>
          <w:ilvl w:val="2"/>
          <w:numId w:val="9"/>
        </w:numPr>
        <w:tabs>
          <w:tab w:val="clear" w:pos="720"/>
          <w:tab w:val="clear" w:pos="936"/>
        </w:tabs>
        <w:ind w:left="1440" w:hanging="306"/>
      </w:pPr>
      <w:r w:rsidRPr="005607D3">
        <w:t xml:space="preserve">Hindustan (Hindi) </w:t>
      </w:r>
      <w:r w:rsidRPr="005607D3">
        <w:tab/>
      </w:r>
      <w:r w:rsidRPr="005607D3">
        <w:tab/>
      </w:r>
      <w:r w:rsidRPr="005607D3">
        <w:tab/>
        <w:t xml:space="preserve">: March </w:t>
      </w:r>
      <w:r w:rsidR="009A4409">
        <w:t>31,</w:t>
      </w:r>
      <w:r w:rsidRPr="005607D3">
        <w:t xml:space="preserve"> 201</w:t>
      </w:r>
      <w:r w:rsidR="009A4409">
        <w:t>6</w:t>
      </w:r>
    </w:p>
    <w:p w:rsidR="009A4409" w:rsidRPr="009A4409" w:rsidRDefault="009A4409" w:rsidP="009A4409">
      <w:pPr>
        <w:pStyle w:val="Heading3"/>
        <w:numPr>
          <w:ilvl w:val="2"/>
          <w:numId w:val="9"/>
        </w:numPr>
        <w:tabs>
          <w:tab w:val="clear" w:pos="720"/>
          <w:tab w:val="clear" w:pos="936"/>
        </w:tabs>
        <w:ind w:left="1440" w:hanging="306"/>
      </w:pPr>
      <w:r w:rsidRPr="009A4409">
        <w:t>A</w:t>
      </w:r>
      <w:r>
        <w:t>aj</w:t>
      </w:r>
      <w:r w:rsidRPr="009A4409">
        <w:t xml:space="preserve"> (Hindi) </w:t>
      </w:r>
      <w:r w:rsidRPr="009A4409">
        <w:tab/>
      </w:r>
      <w:r w:rsidRPr="009A4409">
        <w:tab/>
      </w:r>
      <w:r>
        <w:tab/>
      </w:r>
      <w:r w:rsidRPr="009A4409">
        <w:tab/>
        <w:t xml:space="preserve">: March </w:t>
      </w:r>
      <w:r>
        <w:t>31</w:t>
      </w:r>
      <w:r w:rsidRPr="009A4409">
        <w:t>, 201</w:t>
      </w:r>
      <w:r>
        <w:t>6</w:t>
      </w:r>
    </w:p>
    <w:p w:rsidR="009A4409" w:rsidRDefault="009A4409" w:rsidP="00C60AD1">
      <w:pPr>
        <w:pStyle w:val="Heading3"/>
        <w:numPr>
          <w:ilvl w:val="2"/>
          <w:numId w:val="9"/>
        </w:numPr>
        <w:tabs>
          <w:tab w:val="clear" w:pos="720"/>
          <w:tab w:val="clear" w:pos="936"/>
        </w:tabs>
        <w:ind w:left="1440" w:hanging="306"/>
      </w:pPr>
      <w:r>
        <w:t xml:space="preserve">Amar Ujala </w:t>
      </w:r>
      <w:r w:rsidRPr="009A4409">
        <w:t>(Hindi)</w:t>
      </w:r>
      <w:r>
        <w:tab/>
      </w:r>
      <w:r>
        <w:tab/>
      </w:r>
      <w:r>
        <w:tab/>
        <w:t>: March 31, 2016</w:t>
      </w:r>
    </w:p>
    <w:p w:rsidR="007C7081" w:rsidRDefault="008B0C65" w:rsidP="00C60AD1">
      <w:pPr>
        <w:pStyle w:val="Heading3"/>
        <w:numPr>
          <w:ilvl w:val="2"/>
          <w:numId w:val="9"/>
        </w:numPr>
        <w:tabs>
          <w:tab w:val="clear" w:pos="720"/>
          <w:tab w:val="clear" w:pos="936"/>
        </w:tabs>
        <w:ind w:left="1440" w:hanging="306"/>
      </w:pPr>
      <w:r w:rsidRPr="005607D3">
        <w:t xml:space="preserve">Dainik Jagaran (Hindi) </w:t>
      </w:r>
      <w:r w:rsidRPr="005607D3">
        <w:tab/>
      </w:r>
      <w:r w:rsidRPr="005607D3">
        <w:tab/>
        <w:t xml:space="preserve">: </w:t>
      </w:r>
      <w:r w:rsidR="009A4409">
        <w:t>April, 1, 2016</w:t>
      </w:r>
    </w:p>
    <w:p w:rsidR="009A4409" w:rsidRPr="009A4409" w:rsidRDefault="009A4409" w:rsidP="009A4409">
      <w:pPr>
        <w:pStyle w:val="Heading3"/>
        <w:numPr>
          <w:ilvl w:val="2"/>
          <w:numId w:val="9"/>
        </w:numPr>
        <w:tabs>
          <w:tab w:val="clear" w:pos="720"/>
          <w:tab w:val="clear" w:pos="936"/>
        </w:tabs>
        <w:ind w:left="1440" w:hanging="306"/>
      </w:pPr>
      <w:r>
        <w:t>Rashtriya Sahara</w:t>
      </w:r>
      <w:r w:rsidRPr="009A4409">
        <w:t xml:space="preserve"> (Hindi) </w:t>
      </w:r>
      <w:r w:rsidRPr="009A4409">
        <w:tab/>
      </w:r>
      <w:r w:rsidRPr="009A4409">
        <w:tab/>
        <w:t xml:space="preserve">: </w:t>
      </w:r>
      <w:r>
        <w:t>April, 1, 2016</w:t>
      </w:r>
    </w:p>
    <w:p w:rsidR="009A4409" w:rsidRPr="005607D3" w:rsidRDefault="009A4409" w:rsidP="005607D3">
      <w:pPr>
        <w:pStyle w:val="Heading3"/>
        <w:numPr>
          <w:ilvl w:val="2"/>
          <w:numId w:val="9"/>
        </w:numPr>
        <w:tabs>
          <w:tab w:val="clear" w:pos="720"/>
          <w:tab w:val="clear" w:pos="936"/>
        </w:tabs>
        <w:ind w:left="1440" w:hanging="306"/>
      </w:pPr>
      <w:r>
        <w:t>Swatantra Bharat</w:t>
      </w:r>
      <w:r w:rsidRPr="009A4409">
        <w:t xml:space="preserve"> (Hindi) </w:t>
      </w:r>
      <w:r w:rsidRPr="009A4409">
        <w:tab/>
      </w:r>
      <w:r w:rsidRPr="009A4409">
        <w:tab/>
        <w:t xml:space="preserve">: </w:t>
      </w:r>
      <w:r>
        <w:t>April, 1, 2016</w:t>
      </w:r>
    </w:p>
    <w:p w:rsidR="003147B8" w:rsidRPr="00C60AD1" w:rsidRDefault="003147B8" w:rsidP="00C60AD1">
      <w:pPr>
        <w:spacing w:before="0" w:after="200"/>
        <w:jc w:val="left"/>
        <w:rPr>
          <w:sz w:val="22"/>
          <w:szCs w:val="22"/>
        </w:rPr>
      </w:pPr>
    </w:p>
    <w:p w:rsidR="003147B8" w:rsidRPr="00C60AD1" w:rsidRDefault="0022393E" w:rsidP="00C60AD1">
      <w:pPr>
        <w:pStyle w:val="Heading2"/>
        <w:rPr>
          <w:rFonts w:cs="Calibri"/>
          <w:szCs w:val="26"/>
          <w:lang w:val="en-US"/>
        </w:rPr>
      </w:pPr>
      <w:bookmarkStart w:id="20" w:name="_Toc419553041"/>
      <w:bookmarkStart w:id="21" w:name="_Toc419641564"/>
      <w:bookmarkStart w:id="22" w:name="_Toc420005489"/>
      <w:bookmarkStart w:id="23" w:name="_Toc420016180"/>
      <w:bookmarkStart w:id="24" w:name="_Toc420020955"/>
      <w:bookmarkStart w:id="25" w:name="_Toc420193355"/>
      <w:bookmarkStart w:id="26" w:name="_Toc420193497"/>
      <w:bookmarkStart w:id="27" w:name="_Toc420196244"/>
      <w:bookmarkStart w:id="28" w:name="_Toc420197497"/>
      <w:bookmarkStart w:id="29" w:name="_Toc457355433"/>
      <w:bookmarkEnd w:id="20"/>
      <w:bookmarkEnd w:id="21"/>
      <w:bookmarkEnd w:id="22"/>
      <w:bookmarkEnd w:id="23"/>
      <w:bookmarkEnd w:id="24"/>
      <w:bookmarkEnd w:id="25"/>
      <w:bookmarkEnd w:id="26"/>
      <w:bookmarkEnd w:id="27"/>
      <w:bookmarkEnd w:id="28"/>
      <w:r w:rsidRPr="00C60AD1">
        <w:rPr>
          <w:rFonts w:cs="Calibri"/>
          <w:szCs w:val="26"/>
          <w:lang w:val="en-US"/>
        </w:rPr>
        <w:t>PUBLIC HEARING PROCESS</w:t>
      </w:r>
      <w:bookmarkEnd w:id="29"/>
    </w:p>
    <w:p w:rsidR="003147B8" w:rsidRPr="00C60AD1" w:rsidRDefault="007320D7" w:rsidP="00C60AD1">
      <w:pPr>
        <w:pStyle w:val="Heading3"/>
        <w:tabs>
          <w:tab w:val="clear" w:pos="720"/>
          <w:tab w:val="num" w:pos="993"/>
        </w:tabs>
        <w:ind w:left="993" w:hanging="993"/>
      </w:pPr>
      <w:r w:rsidRPr="00C60AD1">
        <w:t xml:space="preserve">The Commission invited comments / suggestions from consumers and all other stakeholders on the ARR &amp; Tariff proposals of the </w:t>
      </w:r>
      <w:r w:rsidR="005C51C5">
        <w:t>L</w:t>
      </w:r>
      <w:r w:rsidRPr="00C60AD1">
        <w:t xml:space="preserve">icensees. To provide an </w:t>
      </w:r>
      <w:r w:rsidRPr="00C60AD1">
        <w:lastRenderedPageBreak/>
        <w:t>opportunity to all sections of the population in the State and to obtain feedback from them, public hearings were held by the Commission in the State. Consumer representatives, industry associations and other individual consumers participated actively in the public hearing process.</w:t>
      </w:r>
    </w:p>
    <w:p w:rsidR="003147B8" w:rsidRDefault="007320D7" w:rsidP="00C60AD1">
      <w:pPr>
        <w:pStyle w:val="Heading3"/>
        <w:tabs>
          <w:tab w:val="clear" w:pos="720"/>
          <w:tab w:val="num" w:pos="993"/>
        </w:tabs>
        <w:ind w:left="993" w:hanging="993"/>
      </w:pPr>
      <w:r w:rsidRPr="00C60AD1">
        <w:t xml:space="preserve">The Commission conducted </w:t>
      </w:r>
      <w:r w:rsidR="005C05AA" w:rsidRPr="00C60AD1">
        <w:t xml:space="preserve">combined </w:t>
      </w:r>
      <w:r w:rsidRPr="00C60AD1">
        <w:t xml:space="preserve">public hearing in the above matter for </w:t>
      </w:r>
      <w:r w:rsidR="005C05AA" w:rsidRPr="00C60AD1">
        <w:t xml:space="preserve">all Distribution Licensees namely PuVVNL, PVVNL, MVVNL, DVVNL, </w:t>
      </w:r>
      <w:r w:rsidR="008414D1" w:rsidRPr="00C60AD1">
        <w:t xml:space="preserve">KESCO, </w:t>
      </w:r>
      <w:r w:rsidR="005C05AA" w:rsidRPr="00C60AD1">
        <w:t xml:space="preserve">NPCL and Transmission Licensee namely </w:t>
      </w:r>
      <w:r w:rsidR="00F650CD" w:rsidRPr="00F650CD">
        <w:t xml:space="preserve">UPPTCL </w:t>
      </w:r>
      <w:r w:rsidR="004839DB">
        <w:t xml:space="preserve">on </w:t>
      </w:r>
      <w:r w:rsidR="00E21528" w:rsidRPr="00E849D6">
        <w:t>May 11, 2016 at Greater Noida, May 13, 2016 at Lucknow and May 20, 2016 at Aligarh</w:t>
      </w:r>
      <w:r w:rsidR="00E21528">
        <w:t>.</w:t>
      </w:r>
    </w:p>
    <w:p w:rsidR="00E15008" w:rsidRDefault="00E15008">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14595E" w:rsidRDefault="0014595E">
      <w:pPr>
        <w:pStyle w:val="Heading3"/>
        <w:numPr>
          <w:ilvl w:val="0"/>
          <w:numId w:val="0"/>
        </w:numPr>
        <w:tabs>
          <w:tab w:val="clear" w:pos="720"/>
        </w:tabs>
        <w:ind w:left="993"/>
      </w:pPr>
    </w:p>
    <w:p w:rsidR="00C41EAC" w:rsidRPr="00C60AD1" w:rsidRDefault="00C41EAC" w:rsidP="00C60AD1">
      <w:pPr>
        <w:pStyle w:val="Heading1"/>
        <w:rPr>
          <w:rFonts w:asciiTheme="minorHAnsi" w:eastAsiaTheme="majorEastAsia" w:hAnsiTheme="minorHAnsi" w:cstheme="minorHAnsi"/>
          <w:kern w:val="0"/>
          <w:szCs w:val="24"/>
          <w:lang w:val="en-US"/>
        </w:rPr>
      </w:pPr>
      <w:bookmarkStart w:id="30" w:name="_Toc455574812"/>
      <w:bookmarkStart w:id="31" w:name="_Toc455673423"/>
      <w:bookmarkStart w:id="32" w:name="_Toc396573709"/>
      <w:bookmarkStart w:id="33" w:name="_Toc457355434"/>
      <w:bookmarkEnd w:id="30"/>
      <w:bookmarkEnd w:id="31"/>
      <w:r w:rsidRPr="00C60AD1">
        <w:rPr>
          <w:rFonts w:asciiTheme="minorHAnsi" w:hAnsiTheme="minorHAnsi" w:cstheme="minorHAnsi"/>
          <w:szCs w:val="24"/>
        </w:rPr>
        <w:lastRenderedPageBreak/>
        <w:t>PUBLIC HEARING PROCESS</w:t>
      </w:r>
      <w:bookmarkEnd w:id="32"/>
      <w:bookmarkEnd w:id="33"/>
    </w:p>
    <w:p w:rsidR="00EC69F7" w:rsidRPr="00C60AD1" w:rsidRDefault="00C41EAC" w:rsidP="00BA3941">
      <w:pPr>
        <w:pStyle w:val="Heading2"/>
        <w:numPr>
          <w:ilvl w:val="1"/>
          <w:numId w:val="28"/>
        </w:numPr>
      </w:pPr>
      <w:bookmarkStart w:id="34" w:name="_Toc396573710"/>
      <w:bookmarkStart w:id="35" w:name="_Toc457355435"/>
      <w:r w:rsidRPr="00C60AD1">
        <w:t>OBJECTIVE:</w:t>
      </w:r>
      <w:bookmarkEnd w:id="34"/>
      <w:bookmarkEnd w:id="35"/>
    </w:p>
    <w:p w:rsidR="003F2D07" w:rsidRDefault="00C41EAC">
      <w:pPr>
        <w:pStyle w:val="Heading3"/>
        <w:tabs>
          <w:tab w:val="clear" w:pos="720"/>
          <w:tab w:val="num" w:pos="993"/>
        </w:tabs>
        <w:ind w:left="993" w:hanging="993"/>
      </w:pPr>
      <w:r w:rsidRPr="00C60AD1">
        <w:t xml:space="preserve">The </w:t>
      </w:r>
      <w:r w:rsidRPr="00C60AD1">
        <w:rPr>
          <w:rFonts w:cs="Calibri"/>
        </w:rPr>
        <w:t>Commission</w:t>
      </w:r>
      <w:r w:rsidRPr="00C60AD1">
        <w:t xml:space="preserve">, in order to achieve the twin objective i.e. to observe transparency in its proceedings and functions and to protect interest of consumers has always attached importance to the views / comments / suggestions / objections / representations of the public. The process gains significant importance in a “cost plus regime”, where the entire cost allowed to the </w:t>
      </w:r>
      <w:r w:rsidR="00091210">
        <w:t>L</w:t>
      </w:r>
      <w:r w:rsidRPr="00C60AD1">
        <w:t xml:space="preserve">icensee gets transferred to the consumer. The consumers therefore have a locus-standi to comment on the True-up and ARR &amp; Tariff Petitions filed by the licensees. </w:t>
      </w:r>
    </w:p>
    <w:p w:rsidR="003F2D07" w:rsidRDefault="00C41EAC">
      <w:pPr>
        <w:pStyle w:val="Heading3"/>
        <w:tabs>
          <w:tab w:val="clear" w:pos="720"/>
          <w:tab w:val="num" w:pos="993"/>
        </w:tabs>
        <w:ind w:left="993" w:hanging="993"/>
      </w:pPr>
      <w:r w:rsidRPr="00C60AD1">
        <w:t>The comments of the consumers play an important role in the determination of Tariff and the design of the Rate Schedule. Factors such as quality of electricity supply and the service levels need to be considered while determining the Tariff. The Commission takes into consideration the submissions of the consumers before it embarks upon the exercise of determining the Tariff.</w:t>
      </w:r>
    </w:p>
    <w:p w:rsidR="00C41EAC" w:rsidRPr="00C60AD1" w:rsidRDefault="00C41EAC" w:rsidP="00C60AD1">
      <w:pPr>
        <w:pStyle w:val="Heading3"/>
        <w:tabs>
          <w:tab w:val="clear" w:pos="720"/>
          <w:tab w:val="num" w:pos="993"/>
        </w:tabs>
        <w:ind w:left="993" w:hanging="993"/>
      </w:pPr>
      <w:r w:rsidRPr="00C60AD1">
        <w:t>The Commission, by holding public hearings, has provided the various stakeholders as well as the public at large, a platform where they were able to share their views / comments / suggestions / objections / representations for determination of the retail Tariff for FY 201</w:t>
      </w:r>
      <w:r w:rsidR="00B3712A">
        <w:t>6</w:t>
      </w:r>
      <w:r w:rsidR="007F16AB" w:rsidRPr="00C60AD1">
        <w:t>-1</w:t>
      </w:r>
      <w:r w:rsidR="00B3712A">
        <w:t>7</w:t>
      </w:r>
      <w:r w:rsidRPr="00C60AD1">
        <w:t>. This process also enables the Commission to adopt a transparent and participative approach in the process of Tariff determination</w:t>
      </w:r>
    </w:p>
    <w:p w:rsidR="00C41EAC" w:rsidRPr="00C60AD1" w:rsidRDefault="00C41EAC" w:rsidP="00C60AD1">
      <w:pPr>
        <w:pStyle w:val="ListParagraph"/>
        <w:spacing w:before="0" w:line="312" w:lineRule="auto"/>
        <w:ind w:left="180"/>
        <w:contextualSpacing/>
      </w:pPr>
    </w:p>
    <w:p w:rsidR="00C41EAC" w:rsidRPr="00C60AD1" w:rsidRDefault="00C41EAC" w:rsidP="00C60AD1">
      <w:pPr>
        <w:pStyle w:val="Heading2"/>
      </w:pPr>
      <w:bookmarkStart w:id="36" w:name="_Toc337201333"/>
      <w:bookmarkStart w:id="37" w:name="_Toc337459174"/>
      <w:bookmarkStart w:id="38" w:name="_Toc357720831"/>
      <w:bookmarkStart w:id="39" w:name="_Toc396573711"/>
      <w:bookmarkStart w:id="40" w:name="_Toc457355436"/>
      <w:r w:rsidRPr="00C60AD1">
        <w:t>PUBLIC HEARING:</w:t>
      </w:r>
      <w:bookmarkEnd w:id="36"/>
      <w:bookmarkEnd w:id="37"/>
      <w:bookmarkEnd w:id="38"/>
      <w:bookmarkEnd w:id="39"/>
      <w:bookmarkEnd w:id="40"/>
    </w:p>
    <w:p w:rsidR="00C250B8" w:rsidRPr="004839DB" w:rsidRDefault="00C41EAC" w:rsidP="00C60AD1">
      <w:pPr>
        <w:pStyle w:val="Heading3"/>
        <w:tabs>
          <w:tab w:val="clear" w:pos="720"/>
          <w:tab w:val="num" w:pos="993"/>
        </w:tabs>
        <w:ind w:left="993" w:hanging="993"/>
      </w:pPr>
      <w:r w:rsidRPr="00C60AD1">
        <w:t xml:space="preserve">To provide an opportunity to all sections of the population in the State to express their views and to also obtain feedback from them, public hearings for each Distribution Licensee were held by the Commission at various places in the State. The </w:t>
      </w:r>
      <w:r w:rsidR="00F650CD" w:rsidRPr="00F650CD">
        <w:t xml:space="preserve">public hearings were conducted </w:t>
      </w:r>
      <w:r w:rsidR="00E50E1D">
        <w:t>on</w:t>
      </w:r>
      <w:r w:rsidR="00F650CD" w:rsidRPr="00F650CD">
        <w:t xml:space="preserve"> </w:t>
      </w:r>
      <w:r w:rsidR="00F650CD">
        <w:t>May 11, 2016</w:t>
      </w:r>
      <w:r w:rsidR="005C51C5">
        <w:t>, May 13, 2016 and</w:t>
      </w:r>
      <w:r w:rsidR="008B0C65" w:rsidRPr="008B0C65">
        <w:t xml:space="preserve"> May 20, 2016</w:t>
      </w:r>
      <w:r w:rsidR="00F650CD" w:rsidRPr="00F650CD">
        <w:t xml:space="preserve"> as per details given below:</w:t>
      </w:r>
    </w:p>
    <w:p w:rsidR="00C41EAC" w:rsidRPr="00C60AD1" w:rsidRDefault="009F0F4B" w:rsidP="00C60AD1">
      <w:pPr>
        <w:spacing w:before="0"/>
        <w:jc w:val="center"/>
        <w:rPr>
          <w:b/>
          <w:sz w:val="22"/>
          <w:szCs w:val="22"/>
          <w:lang w:val="en-US"/>
        </w:rPr>
      </w:pPr>
      <w:bookmarkStart w:id="41" w:name="_Toc337201459"/>
      <w:bookmarkStart w:id="42" w:name="_Toc337459303"/>
      <w:bookmarkStart w:id="43" w:name="_Toc357721088"/>
      <w:bookmarkStart w:id="44" w:name="_Toc396573861"/>
      <w:bookmarkStart w:id="45" w:name="_Toc457355601"/>
      <w:r w:rsidRPr="00895193">
        <w:rPr>
          <w:rFonts w:cs="Calibri"/>
          <w:b/>
          <w:sz w:val="22"/>
          <w:szCs w:val="22"/>
          <w:lang w:val="en-US"/>
        </w:rPr>
        <w:t xml:space="preserve">Table </w:t>
      </w:r>
      <w:r w:rsidR="004A2D9E" w:rsidRPr="00895193">
        <w:rPr>
          <w:rFonts w:cs="Calibri"/>
          <w:b/>
          <w:sz w:val="22"/>
          <w:szCs w:val="22"/>
          <w:lang w:val="en-US"/>
        </w:rPr>
        <w:fldChar w:fldCharType="begin"/>
      </w:r>
      <w:r w:rsidRPr="00895193">
        <w:rPr>
          <w:rFonts w:cs="Calibri"/>
          <w:b/>
          <w:sz w:val="22"/>
          <w:szCs w:val="22"/>
          <w:lang w:val="en-US"/>
        </w:rPr>
        <w:instrText xml:space="preserve"> STYLEREF 1 \s </w:instrText>
      </w:r>
      <w:r w:rsidR="004A2D9E" w:rsidRPr="00895193">
        <w:rPr>
          <w:rFonts w:cs="Calibri"/>
          <w:b/>
          <w:sz w:val="22"/>
          <w:szCs w:val="22"/>
          <w:lang w:val="en-US"/>
        </w:rPr>
        <w:fldChar w:fldCharType="separate"/>
      </w:r>
      <w:r w:rsidR="0011185B">
        <w:rPr>
          <w:rFonts w:cs="Calibri"/>
          <w:b/>
          <w:noProof/>
          <w:sz w:val="22"/>
          <w:szCs w:val="22"/>
          <w:lang w:val="en-US"/>
        </w:rPr>
        <w:t>3</w:t>
      </w:r>
      <w:r w:rsidR="004A2D9E" w:rsidRPr="00895193">
        <w:rPr>
          <w:rFonts w:cs="Calibri"/>
          <w:b/>
          <w:sz w:val="22"/>
          <w:szCs w:val="22"/>
          <w:lang w:val="en-US"/>
        </w:rPr>
        <w:fldChar w:fldCharType="end"/>
      </w:r>
      <w:r w:rsidRPr="00895193">
        <w:rPr>
          <w:rFonts w:cs="Calibri"/>
          <w:b/>
          <w:sz w:val="22"/>
          <w:szCs w:val="22"/>
          <w:lang w:val="en-US"/>
        </w:rPr>
        <w:noBreakHyphen/>
      </w:r>
      <w:r w:rsidR="004A2D9E" w:rsidRPr="00895193">
        <w:rPr>
          <w:rFonts w:cs="Calibri"/>
          <w:b/>
          <w:sz w:val="22"/>
          <w:szCs w:val="22"/>
          <w:lang w:val="en-US"/>
        </w:rPr>
        <w:fldChar w:fldCharType="begin"/>
      </w:r>
      <w:r w:rsidRPr="00895193">
        <w:rPr>
          <w:rFonts w:cs="Calibri"/>
          <w:b/>
          <w:sz w:val="22"/>
          <w:szCs w:val="22"/>
          <w:lang w:val="en-US"/>
        </w:rPr>
        <w:instrText xml:space="preserve"> SEQ Table \* ARABIC \s 1 </w:instrText>
      </w:r>
      <w:r w:rsidR="004A2D9E" w:rsidRPr="00895193">
        <w:rPr>
          <w:rFonts w:cs="Calibri"/>
          <w:b/>
          <w:sz w:val="22"/>
          <w:szCs w:val="22"/>
          <w:lang w:val="en-US"/>
        </w:rPr>
        <w:fldChar w:fldCharType="separate"/>
      </w:r>
      <w:r w:rsidR="0011185B">
        <w:rPr>
          <w:rFonts w:cs="Calibri"/>
          <w:b/>
          <w:noProof/>
          <w:sz w:val="22"/>
          <w:szCs w:val="22"/>
          <w:lang w:val="en-US"/>
        </w:rPr>
        <w:t>1</w:t>
      </w:r>
      <w:r w:rsidR="004A2D9E" w:rsidRPr="00895193">
        <w:rPr>
          <w:rFonts w:cs="Calibri"/>
          <w:b/>
          <w:sz w:val="22"/>
          <w:szCs w:val="22"/>
          <w:lang w:val="en-US"/>
        </w:rPr>
        <w:fldChar w:fldCharType="end"/>
      </w:r>
      <w:r>
        <w:rPr>
          <w:rFonts w:cs="Calibri"/>
          <w:b/>
          <w:sz w:val="22"/>
          <w:szCs w:val="22"/>
          <w:lang w:val="en-US"/>
        </w:rPr>
        <w:t>: SC</w:t>
      </w:r>
      <w:r w:rsidR="00203ED7">
        <w:rPr>
          <w:b/>
          <w:sz w:val="22"/>
          <w:szCs w:val="22"/>
          <w:lang w:val="en-US"/>
        </w:rPr>
        <w:t xml:space="preserve">HEDULE OF </w:t>
      </w:r>
      <w:r w:rsidR="00C41EAC" w:rsidRPr="00C60AD1">
        <w:rPr>
          <w:b/>
          <w:sz w:val="22"/>
          <w:szCs w:val="22"/>
          <w:lang w:val="en-US"/>
        </w:rPr>
        <w:t>PUBLIC HEARING</w:t>
      </w:r>
      <w:r w:rsidR="00A30A72">
        <w:rPr>
          <w:b/>
          <w:sz w:val="22"/>
          <w:szCs w:val="22"/>
          <w:lang w:val="en-US"/>
        </w:rPr>
        <w:t xml:space="preserve"> </w:t>
      </w:r>
      <w:r w:rsidR="004662D6">
        <w:rPr>
          <w:b/>
          <w:sz w:val="22"/>
          <w:szCs w:val="22"/>
          <w:lang w:val="en-US"/>
        </w:rPr>
        <w:t xml:space="preserve">HELD </w:t>
      </w:r>
      <w:r w:rsidR="00C41EAC" w:rsidRPr="00C60AD1">
        <w:rPr>
          <w:b/>
          <w:sz w:val="22"/>
          <w:szCs w:val="22"/>
          <w:lang w:val="en-US"/>
        </w:rPr>
        <w:t>AT VARIOUS LOCATIONS OF THE STATE</w:t>
      </w:r>
      <w:bookmarkEnd w:id="41"/>
      <w:bookmarkEnd w:id="42"/>
      <w:bookmarkEnd w:id="43"/>
      <w:bookmarkEnd w:id="44"/>
      <w:bookmarkEnd w:id="45"/>
    </w:p>
    <w:tbl>
      <w:tblPr>
        <w:tblW w:w="3950" w:type="pct"/>
        <w:jc w:val="center"/>
        <w:tblInd w:w="19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10"/>
        <w:gridCol w:w="1555"/>
        <w:gridCol w:w="2103"/>
        <w:gridCol w:w="3049"/>
      </w:tblGrid>
      <w:tr w:rsidR="00A92A8A" w:rsidRPr="00D97F7F" w:rsidTr="00714D83">
        <w:trPr>
          <w:trHeight w:val="324"/>
          <w:tblHeader/>
          <w:jc w:val="center"/>
        </w:trPr>
        <w:tc>
          <w:tcPr>
            <w:tcW w:w="539" w:type="pct"/>
            <w:shd w:val="clear" w:color="auto" w:fill="DBE5F1"/>
          </w:tcPr>
          <w:p w:rsidR="00023318" w:rsidRDefault="00027D0D" w:rsidP="00023318">
            <w:pPr>
              <w:spacing w:before="0" w:line="240" w:lineRule="auto"/>
              <w:jc w:val="center"/>
              <w:rPr>
                <w:rFonts w:asciiTheme="minorHAnsi" w:hAnsiTheme="minorHAnsi"/>
                <w:b/>
                <w:bCs/>
                <w:color w:val="333399"/>
                <w:kern w:val="32"/>
                <w:sz w:val="22"/>
              </w:rPr>
            </w:pPr>
            <w:r w:rsidRPr="00027D0D">
              <w:rPr>
                <w:rFonts w:asciiTheme="minorHAnsi" w:hAnsiTheme="minorHAnsi"/>
                <w:b/>
                <w:sz w:val="22"/>
              </w:rPr>
              <w:t>Sl.</w:t>
            </w:r>
            <w:r w:rsidR="005C51C5">
              <w:rPr>
                <w:rFonts w:asciiTheme="minorHAnsi" w:hAnsiTheme="minorHAnsi"/>
                <w:b/>
                <w:sz w:val="22"/>
              </w:rPr>
              <w:t xml:space="preserve"> </w:t>
            </w:r>
            <w:r w:rsidRPr="00027D0D">
              <w:rPr>
                <w:rFonts w:asciiTheme="minorHAnsi" w:hAnsiTheme="minorHAnsi"/>
                <w:b/>
                <w:sz w:val="22"/>
              </w:rPr>
              <w:t>No</w:t>
            </w:r>
          </w:p>
        </w:tc>
        <w:tc>
          <w:tcPr>
            <w:tcW w:w="1034" w:type="pct"/>
            <w:shd w:val="clear" w:color="auto" w:fill="DBE5F1"/>
          </w:tcPr>
          <w:p w:rsidR="00023318" w:rsidRDefault="00027D0D" w:rsidP="00023318">
            <w:pPr>
              <w:spacing w:before="0" w:line="240" w:lineRule="auto"/>
              <w:jc w:val="center"/>
              <w:rPr>
                <w:rFonts w:asciiTheme="minorHAnsi" w:hAnsiTheme="minorHAnsi"/>
                <w:b/>
                <w:sz w:val="22"/>
              </w:rPr>
            </w:pPr>
            <w:r w:rsidRPr="00027D0D">
              <w:rPr>
                <w:rFonts w:asciiTheme="minorHAnsi" w:hAnsiTheme="minorHAnsi"/>
                <w:b/>
                <w:sz w:val="22"/>
              </w:rPr>
              <w:t>Date</w:t>
            </w:r>
          </w:p>
        </w:tc>
        <w:tc>
          <w:tcPr>
            <w:tcW w:w="1399" w:type="pct"/>
            <w:shd w:val="clear" w:color="auto" w:fill="DBE5F1" w:themeFill="accent1" w:themeFillTint="33"/>
          </w:tcPr>
          <w:p w:rsidR="00023318" w:rsidRDefault="00027D0D" w:rsidP="00023318">
            <w:pPr>
              <w:spacing w:before="0" w:line="240" w:lineRule="auto"/>
              <w:jc w:val="center"/>
              <w:rPr>
                <w:rFonts w:asciiTheme="minorHAnsi" w:hAnsiTheme="minorHAnsi"/>
                <w:b/>
                <w:sz w:val="22"/>
              </w:rPr>
            </w:pPr>
            <w:r w:rsidRPr="00027D0D">
              <w:rPr>
                <w:rFonts w:asciiTheme="minorHAnsi" w:hAnsiTheme="minorHAnsi"/>
                <w:b/>
                <w:sz w:val="22"/>
              </w:rPr>
              <w:t>Place of Hearing</w:t>
            </w:r>
          </w:p>
        </w:tc>
        <w:tc>
          <w:tcPr>
            <w:tcW w:w="2028" w:type="pct"/>
            <w:shd w:val="clear" w:color="auto" w:fill="DBE5F1"/>
          </w:tcPr>
          <w:p w:rsidR="00023318" w:rsidRDefault="00027D0D" w:rsidP="00023318">
            <w:pPr>
              <w:spacing w:before="0" w:line="240" w:lineRule="auto"/>
              <w:jc w:val="center"/>
              <w:rPr>
                <w:rFonts w:asciiTheme="minorHAnsi" w:hAnsiTheme="minorHAnsi"/>
                <w:b/>
                <w:sz w:val="22"/>
              </w:rPr>
            </w:pPr>
            <w:r w:rsidRPr="00027D0D">
              <w:rPr>
                <w:rFonts w:asciiTheme="minorHAnsi" w:hAnsiTheme="minorHAnsi"/>
                <w:b/>
                <w:sz w:val="22"/>
              </w:rPr>
              <w:t>Hearings in the matter of</w:t>
            </w:r>
          </w:p>
        </w:tc>
      </w:tr>
      <w:tr w:rsidR="00A92A8A" w:rsidRPr="00D97F7F" w:rsidTr="00D97F7F">
        <w:trPr>
          <w:trHeight w:val="341"/>
          <w:jc w:val="center"/>
        </w:trPr>
        <w:tc>
          <w:tcPr>
            <w:tcW w:w="539" w:type="pct"/>
            <w:vAlign w:val="center"/>
          </w:tcPr>
          <w:p w:rsidR="00023318" w:rsidRDefault="00027D0D" w:rsidP="00023318">
            <w:pPr>
              <w:spacing w:before="0" w:line="240" w:lineRule="auto"/>
              <w:jc w:val="center"/>
              <w:rPr>
                <w:rFonts w:asciiTheme="minorHAnsi" w:hAnsiTheme="minorHAnsi"/>
                <w:sz w:val="22"/>
                <w:szCs w:val="18"/>
              </w:rPr>
            </w:pPr>
            <w:r w:rsidRPr="00027D0D">
              <w:rPr>
                <w:rFonts w:asciiTheme="minorHAnsi" w:hAnsiTheme="minorHAnsi"/>
                <w:sz w:val="22"/>
              </w:rPr>
              <w:t>1</w:t>
            </w:r>
          </w:p>
        </w:tc>
        <w:tc>
          <w:tcPr>
            <w:tcW w:w="1034" w:type="pct"/>
            <w:vAlign w:val="center"/>
          </w:tcPr>
          <w:p w:rsidR="00023318" w:rsidRDefault="00027D0D" w:rsidP="00023318">
            <w:pPr>
              <w:spacing w:before="0" w:line="240" w:lineRule="auto"/>
              <w:rPr>
                <w:rFonts w:asciiTheme="minorHAnsi" w:hAnsiTheme="minorHAnsi"/>
                <w:sz w:val="22"/>
                <w:szCs w:val="18"/>
              </w:rPr>
            </w:pPr>
            <w:r w:rsidRPr="00027D0D">
              <w:rPr>
                <w:rFonts w:asciiTheme="minorHAnsi" w:hAnsiTheme="minorHAnsi"/>
                <w:sz w:val="22"/>
              </w:rPr>
              <w:t>May 11, 2016</w:t>
            </w:r>
          </w:p>
        </w:tc>
        <w:tc>
          <w:tcPr>
            <w:tcW w:w="1399" w:type="pct"/>
            <w:vAlign w:val="center"/>
          </w:tcPr>
          <w:p w:rsidR="00023318" w:rsidRDefault="00027D0D" w:rsidP="00023318">
            <w:pPr>
              <w:spacing w:before="0" w:line="240" w:lineRule="auto"/>
              <w:rPr>
                <w:rFonts w:asciiTheme="minorHAnsi" w:hAnsiTheme="minorHAnsi"/>
                <w:sz w:val="22"/>
                <w:szCs w:val="18"/>
              </w:rPr>
            </w:pPr>
            <w:r w:rsidRPr="00027D0D">
              <w:rPr>
                <w:rFonts w:asciiTheme="minorHAnsi" w:hAnsiTheme="minorHAnsi"/>
                <w:sz w:val="22"/>
              </w:rPr>
              <w:t xml:space="preserve">Greater Noida </w:t>
            </w:r>
          </w:p>
        </w:tc>
        <w:tc>
          <w:tcPr>
            <w:tcW w:w="2028" w:type="pct"/>
            <w:vMerge w:val="restart"/>
          </w:tcPr>
          <w:p w:rsidR="00023318" w:rsidRDefault="00027D0D" w:rsidP="00023318">
            <w:pPr>
              <w:spacing w:before="0" w:line="240" w:lineRule="auto"/>
              <w:rPr>
                <w:rFonts w:asciiTheme="minorHAnsi" w:hAnsiTheme="minorHAnsi"/>
                <w:sz w:val="22"/>
                <w:szCs w:val="18"/>
              </w:rPr>
            </w:pPr>
            <w:r w:rsidRPr="00027D0D">
              <w:rPr>
                <w:rFonts w:asciiTheme="minorHAnsi" w:hAnsiTheme="minorHAnsi"/>
                <w:sz w:val="22"/>
              </w:rPr>
              <w:t>PuVVNL, PVVNL, MVVNL, DVVNL, KESCO, NPCL and UPPTCL</w:t>
            </w:r>
          </w:p>
        </w:tc>
      </w:tr>
      <w:tr w:rsidR="00A92A8A" w:rsidRPr="00D97F7F" w:rsidTr="00D97F7F">
        <w:trPr>
          <w:trHeight w:val="269"/>
          <w:jc w:val="center"/>
        </w:trPr>
        <w:tc>
          <w:tcPr>
            <w:tcW w:w="539" w:type="pct"/>
            <w:vAlign w:val="center"/>
          </w:tcPr>
          <w:p w:rsidR="00023318" w:rsidRDefault="00027D0D" w:rsidP="00023318">
            <w:pPr>
              <w:spacing w:before="0" w:line="240" w:lineRule="auto"/>
              <w:jc w:val="center"/>
              <w:rPr>
                <w:rFonts w:asciiTheme="minorHAnsi" w:hAnsiTheme="minorHAnsi"/>
                <w:sz w:val="22"/>
                <w:szCs w:val="18"/>
              </w:rPr>
            </w:pPr>
            <w:r w:rsidRPr="00027D0D">
              <w:rPr>
                <w:rFonts w:asciiTheme="minorHAnsi" w:hAnsiTheme="minorHAnsi"/>
                <w:sz w:val="22"/>
              </w:rPr>
              <w:t>2</w:t>
            </w:r>
          </w:p>
        </w:tc>
        <w:tc>
          <w:tcPr>
            <w:tcW w:w="1034" w:type="pct"/>
            <w:vAlign w:val="center"/>
          </w:tcPr>
          <w:p w:rsidR="00023318" w:rsidRDefault="00027D0D" w:rsidP="00023318">
            <w:pPr>
              <w:spacing w:before="0" w:line="240" w:lineRule="auto"/>
              <w:rPr>
                <w:rFonts w:asciiTheme="minorHAnsi" w:hAnsiTheme="minorHAnsi"/>
                <w:sz w:val="22"/>
                <w:szCs w:val="18"/>
              </w:rPr>
            </w:pPr>
            <w:r w:rsidRPr="00027D0D">
              <w:rPr>
                <w:rFonts w:asciiTheme="minorHAnsi" w:hAnsiTheme="minorHAnsi"/>
                <w:sz w:val="22"/>
              </w:rPr>
              <w:t>May 13, 2016</w:t>
            </w:r>
          </w:p>
        </w:tc>
        <w:tc>
          <w:tcPr>
            <w:tcW w:w="1399" w:type="pct"/>
            <w:vAlign w:val="center"/>
          </w:tcPr>
          <w:p w:rsidR="00023318" w:rsidRDefault="00027D0D" w:rsidP="00023318">
            <w:pPr>
              <w:spacing w:before="0" w:line="240" w:lineRule="auto"/>
              <w:rPr>
                <w:rFonts w:asciiTheme="minorHAnsi" w:hAnsiTheme="minorHAnsi"/>
                <w:sz w:val="22"/>
                <w:szCs w:val="18"/>
              </w:rPr>
            </w:pPr>
            <w:r w:rsidRPr="00027D0D">
              <w:rPr>
                <w:rFonts w:asciiTheme="minorHAnsi" w:hAnsiTheme="minorHAnsi"/>
                <w:sz w:val="22"/>
              </w:rPr>
              <w:t>Lucknow</w:t>
            </w:r>
          </w:p>
        </w:tc>
        <w:tc>
          <w:tcPr>
            <w:tcW w:w="2028" w:type="pct"/>
            <w:vMerge/>
          </w:tcPr>
          <w:p w:rsidR="00023318" w:rsidRDefault="00023318" w:rsidP="00023318">
            <w:pPr>
              <w:spacing w:before="0" w:line="240" w:lineRule="auto"/>
              <w:rPr>
                <w:rFonts w:cs="Arial"/>
                <w:bCs/>
                <w:szCs w:val="26"/>
              </w:rPr>
            </w:pPr>
          </w:p>
        </w:tc>
      </w:tr>
      <w:tr w:rsidR="00A92A8A" w:rsidRPr="00D97F7F" w:rsidTr="00D97F7F">
        <w:trPr>
          <w:trHeight w:val="323"/>
          <w:jc w:val="center"/>
        </w:trPr>
        <w:tc>
          <w:tcPr>
            <w:tcW w:w="539" w:type="pct"/>
            <w:vAlign w:val="center"/>
          </w:tcPr>
          <w:p w:rsidR="00023318" w:rsidRDefault="00027D0D" w:rsidP="00023318">
            <w:pPr>
              <w:spacing w:before="0" w:line="240" w:lineRule="auto"/>
              <w:jc w:val="center"/>
              <w:rPr>
                <w:rFonts w:asciiTheme="minorHAnsi" w:hAnsiTheme="minorHAnsi"/>
                <w:sz w:val="22"/>
              </w:rPr>
            </w:pPr>
            <w:r w:rsidRPr="00027D0D">
              <w:rPr>
                <w:rFonts w:asciiTheme="minorHAnsi" w:hAnsiTheme="minorHAnsi"/>
                <w:sz w:val="22"/>
              </w:rPr>
              <w:t>3</w:t>
            </w:r>
          </w:p>
        </w:tc>
        <w:tc>
          <w:tcPr>
            <w:tcW w:w="1034" w:type="pct"/>
            <w:vAlign w:val="center"/>
          </w:tcPr>
          <w:p w:rsidR="00023318" w:rsidRDefault="00027D0D" w:rsidP="00023318">
            <w:pPr>
              <w:spacing w:before="0" w:line="240" w:lineRule="auto"/>
              <w:rPr>
                <w:rFonts w:asciiTheme="minorHAnsi" w:hAnsiTheme="minorHAnsi"/>
                <w:sz w:val="22"/>
              </w:rPr>
            </w:pPr>
            <w:r w:rsidRPr="00027D0D">
              <w:rPr>
                <w:rFonts w:asciiTheme="minorHAnsi" w:hAnsiTheme="minorHAnsi"/>
                <w:sz w:val="22"/>
              </w:rPr>
              <w:t>May 20, 2016</w:t>
            </w:r>
          </w:p>
        </w:tc>
        <w:tc>
          <w:tcPr>
            <w:tcW w:w="1399" w:type="pct"/>
            <w:vAlign w:val="center"/>
          </w:tcPr>
          <w:p w:rsidR="00023318" w:rsidRDefault="00027D0D" w:rsidP="00023318">
            <w:pPr>
              <w:spacing w:before="0" w:line="240" w:lineRule="auto"/>
              <w:rPr>
                <w:rFonts w:asciiTheme="minorHAnsi" w:hAnsiTheme="minorHAnsi"/>
                <w:sz w:val="22"/>
              </w:rPr>
            </w:pPr>
            <w:r w:rsidRPr="00027D0D">
              <w:rPr>
                <w:rFonts w:asciiTheme="minorHAnsi" w:hAnsiTheme="minorHAnsi"/>
                <w:sz w:val="22"/>
              </w:rPr>
              <w:t>Aligarh</w:t>
            </w:r>
          </w:p>
        </w:tc>
        <w:tc>
          <w:tcPr>
            <w:tcW w:w="2028" w:type="pct"/>
            <w:vMerge/>
          </w:tcPr>
          <w:p w:rsidR="00023318" w:rsidRDefault="00023318" w:rsidP="00023318">
            <w:pPr>
              <w:spacing w:before="0" w:line="240" w:lineRule="auto"/>
              <w:rPr>
                <w:rFonts w:cs="Arial"/>
                <w:bCs/>
                <w:szCs w:val="26"/>
              </w:rPr>
            </w:pPr>
          </w:p>
        </w:tc>
      </w:tr>
    </w:tbl>
    <w:p w:rsidR="00023318" w:rsidRDefault="00023318" w:rsidP="00023318">
      <w:pPr>
        <w:pStyle w:val="Heading3"/>
        <w:numPr>
          <w:ilvl w:val="0"/>
          <w:numId w:val="0"/>
        </w:numPr>
        <w:tabs>
          <w:tab w:val="clear" w:pos="720"/>
        </w:tabs>
        <w:spacing w:before="0"/>
        <w:ind w:left="993"/>
      </w:pPr>
    </w:p>
    <w:p w:rsidR="00023318" w:rsidRDefault="00C41EAC" w:rsidP="00023318">
      <w:pPr>
        <w:pStyle w:val="Heading3"/>
        <w:tabs>
          <w:tab w:val="clear" w:pos="720"/>
          <w:tab w:val="num" w:pos="993"/>
        </w:tabs>
        <w:spacing w:before="0"/>
        <w:ind w:left="993" w:hanging="993"/>
      </w:pPr>
      <w:r w:rsidRPr="00C60AD1">
        <w:t xml:space="preserve">Consumer representatives, industry associations as well as several individual consumers participated actively in the public hearing process. </w:t>
      </w:r>
    </w:p>
    <w:p w:rsidR="00C41EAC" w:rsidRPr="00C60AD1" w:rsidRDefault="00C41EAC" w:rsidP="00C60AD1">
      <w:pPr>
        <w:pStyle w:val="Heading3"/>
        <w:tabs>
          <w:tab w:val="clear" w:pos="720"/>
          <w:tab w:val="num" w:pos="993"/>
        </w:tabs>
        <w:ind w:left="993" w:hanging="993"/>
      </w:pPr>
      <w:r w:rsidRPr="00C60AD1">
        <w:lastRenderedPageBreak/>
        <w:t xml:space="preserve">The views / suggestions / comments / objections / representations on the True-up / ARR / Tariff Petitions received from the public were forwarded to the Licensees for their comments / response. The Commission considers these submissions of the consumers and the response of the Licensees before it embarks upon the exercise of determining the final True-up / ARR / Tariff. </w:t>
      </w:r>
    </w:p>
    <w:p w:rsidR="00C41EAC" w:rsidRPr="00C60AD1" w:rsidRDefault="00C41EAC" w:rsidP="00C60AD1">
      <w:pPr>
        <w:pStyle w:val="Heading3"/>
        <w:tabs>
          <w:tab w:val="clear" w:pos="720"/>
          <w:tab w:val="num" w:pos="993"/>
        </w:tabs>
        <w:ind w:left="993" w:hanging="993"/>
      </w:pPr>
      <w:r w:rsidRPr="00C60AD1">
        <w:t>Besides this, the Commission, while disposing the True-up / ARR / Tariff Petitions filed by the Petitioners, has also taken into consideration the oral and written views / comments / suggestions / objections / representations received from various stakeholders during the public hearings or through post or by e-mail.</w:t>
      </w:r>
    </w:p>
    <w:p w:rsidR="00C41EAC" w:rsidRPr="00C60AD1" w:rsidRDefault="00C41EAC" w:rsidP="00C60AD1">
      <w:pPr>
        <w:pStyle w:val="Heading3"/>
        <w:tabs>
          <w:tab w:val="clear" w:pos="720"/>
          <w:tab w:val="num" w:pos="993"/>
        </w:tabs>
        <w:ind w:left="993" w:hanging="993"/>
      </w:pPr>
      <w:r w:rsidRPr="00C60AD1">
        <w:t>The Commission has taken note of the views and suggestions submitted by the various stakeholders who provided useful feedback on various issues and the Commission appreciates their participation in the entire process.</w:t>
      </w:r>
    </w:p>
    <w:p w:rsidR="00C41EAC" w:rsidRPr="00C60AD1" w:rsidRDefault="00C41EAC" w:rsidP="00C60AD1">
      <w:pPr>
        <w:pStyle w:val="Heading2"/>
        <w:numPr>
          <w:ilvl w:val="0"/>
          <w:numId w:val="0"/>
        </w:numPr>
        <w:ind w:left="780"/>
      </w:pPr>
      <w:bookmarkStart w:id="46" w:name="_Toc337095407"/>
      <w:bookmarkStart w:id="47" w:name="_Toc337097073"/>
      <w:bookmarkStart w:id="48" w:name="_Toc337124787"/>
      <w:bookmarkStart w:id="49" w:name="_Toc337126623"/>
      <w:bookmarkStart w:id="50" w:name="_Toc337128118"/>
      <w:bookmarkStart w:id="51" w:name="_Toc337133878"/>
      <w:bookmarkStart w:id="52" w:name="_Toc337144486"/>
      <w:bookmarkStart w:id="53" w:name="_Toc337145071"/>
      <w:bookmarkStart w:id="54" w:name="_Toc337146391"/>
      <w:bookmarkStart w:id="55" w:name="_Toc337182826"/>
      <w:bookmarkStart w:id="56" w:name="_Toc337183799"/>
      <w:bookmarkStart w:id="57" w:name="_Toc337183990"/>
      <w:bookmarkStart w:id="58" w:name="_Toc337186733"/>
      <w:bookmarkStart w:id="59" w:name="_Toc337187822"/>
      <w:bookmarkStart w:id="60" w:name="_Toc337190139"/>
      <w:bookmarkStart w:id="61" w:name="_Toc337192435"/>
      <w:bookmarkStart w:id="62" w:name="_Toc337197967"/>
      <w:bookmarkStart w:id="63" w:name="_Toc337198820"/>
      <w:bookmarkStart w:id="64" w:name="_Toc337199166"/>
      <w:bookmarkStart w:id="65" w:name="_Toc337199408"/>
      <w:bookmarkStart w:id="66" w:name="_Toc337199636"/>
      <w:bookmarkStart w:id="67" w:name="_Toc337199953"/>
      <w:bookmarkStart w:id="68" w:name="_Toc33720012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C41EAC" w:rsidRPr="00C60AD1" w:rsidRDefault="00C41EAC" w:rsidP="00D146E1">
      <w:pPr>
        <w:pStyle w:val="Heading2"/>
        <w:spacing w:after="240"/>
      </w:pPr>
      <w:bookmarkStart w:id="69" w:name="_Toc396573712"/>
      <w:bookmarkStart w:id="70" w:name="_Toc457355437"/>
      <w:r w:rsidRPr="00C60AD1">
        <w:t>VIEWS / COMMENTS / SUGGESTIONS / OBJECTIONS / REPRESENTATIONS ON TRUE-UP / ARR / TARIFF PETITION</w:t>
      </w:r>
      <w:bookmarkEnd w:id="69"/>
      <w:bookmarkEnd w:id="70"/>
    </w:p>
    <w:p w:rsidR="00C41EAC" w:rsidRPr="00C60AD1" w:rsidRDefault="00C41EAC" w:rsidP="00C60AD1">
      <w:pPr>
        <w:pStyle w:val="Heading3"/>
        <w:tabs>
          <w:tab w:val="clear" w:pos="720"/>
          <w:tab w:val="num" w:pos="993"/>
        </w:tabs>
        <w:ind w:left="993" w:hanging="993"/>
      </w:pPr>
      <w:r w:rsidRPr="00C60AD1">
        <w:t>The Commission has taken note of the various views / comments / suggestions / objections / representations made by the stakeholders and would like to make specific mention of the following stakeholders for their valuable inputs:</w:t>
      </w:r>
    </w:p>
    <w:p w:rsidR="00C41EAC" w:rsidRPr="00B80CF5" w:rsidRDefault="00F650CD" w:rsidP="00BA3941">
      <w:pPr>
        <w:pStyle w:val="ListParagraph"/>
        <w:numPr>
          <w:ilvl w:val="0"/>
          <w:numId w:val="19"/>
        </w:numPr>
      </w:pPr>
      <w:r>
        <w:t>Mr. Avadhesh Kumar Verma, Chairman, Uttar Pradesh Rajya Vidyut Upbhoktha Parishad (UPRVUP)</w:t>
      </w:r>
    </w:p>
    <w:p w:rsidR="00C41EAC" w:rsidRPr="00B80CF5" w:rsidRDefault="00F650CD" w:rsidP="00BA3941">
      <w:pPr>
        <w:pStyle w:val="ListParagraph"/>
        <w:numPr>
          <w:ilvl w:val="0"/>
          <w:numId w:val="19"/>
        </w:numPr>
      </w:pPr>
      <w:r>
        <w:t>Mr. Rama Shanker Awasthi, Lucknow</w:t>
      </w:r>
    </w:p>
    <w:p w:rsidR="003F2D07" w:rsidRDefault="00741FC9">
      <w:pPr>
        <w:pStyle w:val="Heading3"/>
        <w:tabs>
          <w:tab w:val="clear" w:pos="720"/>
          <w:tab w:val="num" w:pos="993"/>
        </w:tabs>
        <w:ind w:left="993" w:hanging="993"/>
      </w:pPr>
      <w:r w:rsidRPr="00C60AD1">
        <w:t xml:space="preserve">The Commission has attempted to capture the </w:t>
      </w:r>
      <w:r w:rsidR="00E212D4" w:rsidRPr="00C60AD1">
        <w:t>summary</w:t>
      </w:r>
      <w:r w:rsidR="00CA0CCA" w:rsidRPr="00C60AD1">
        <w:t xml:space="preserve"> of </w:t>
      </w:r>
      <w:r w:rsidRPr="00C60AD1">
        <w:t>comments/suggestions/observations</w:t>
      </w:r>
      <w:r w:rsidR="00CA0CCA" w:rsidRPr="00C60AD1">
        <w:t xml:space="preserve"> in this section</w:t>
      </w:r>
      <w:r w:rsidRPr="00C60AD1">
        <w:t xml:space="preserve">. However, in case any comment/suggestion/observation is not specifically elaborated, it does not mean that the same has not been considered. The Commission has considered all the issues raised by the stakeholders and </w:t>
      </w:r>
      <w:r w:rsidR="00CA0CCA" w:rsidRPr="00C60AD1">
        <w:t xml:space="preserve">Petitioner’s </w:t>
      </w:r>
      <w:r w:rsidRPr="00C60AD1">
        <w:t xml:space="preserve">response on these issues while carrying out the detailed analysis of the </w:t>
      </w:r>
      <w:r w:rsidR="00CA0CCA" w:rsidRPr="00C60AD1">
        <w:t>True Up for FY 201</w:t>
      </w:r>
      <w:r w:rsidR="00F30699">
        <w:t>3</w:t>
      </w:r>
      <w:r w:rsidR="00CA0CCA" w:rsidRPr="00C60AD1">
        <w:t>-1</w:t>
      </w:r>
      <w:r w:rsidR="00F30699">
        <w:t>4</w:t>
      </w:r>
      <w:r w:rsidR="00CA0CCA" w:rsidRPr="00C60AD1">
        <w:t xml:space="preserve">, </w:t>
      </w:r>
      <w:r w:rsidRPr="00C60AD1">
        <w:t>ARR and Tariff for FY 201</w:t>
      </w:r>
      <w:r w:rsidR="00F30699">
        <w:t>6</w:t>
      </w:r>
      <w:r w:rsidRPr="00C60AD1">
        <w:t>-1</w:t>
      </w:r>
      <w:r w:rsidR="00F30699">
        <w:t>7</w:t>
      </w:r>
      <w:r w:rsidR="00CA0CCA" w:rsidRPr="00C60AD1">
        <w:t>.</w:t>
      </w:r>
    </w:p>
    <w:p w:rsidR="00596C3F" w:rsidRDefault="00C41EAC" w:rsidP="00D146E1">
      <w:pPr>
        <w:pStyle w:val="Heading3"/>
        <w:tabs>
          <w:tab w:val="clear" w:pos="720"/>
          <w:tab w:val="num" w:pos="993"/>
        </w:tabs>
        <w:ind w:left="993" w:hanging="993"/>
      </w:pPr>
      <w:r w:rsidRPr="00C60AD1">
        <w:t>The list of the consumers, who have submitted their views / comments / suggestions / objections / representations, is appended a</w:t>
      </w:r>
      <w:r w:rsidR="00CC701F" w:rsidRPr="00C60AD1">
        <w:t>s</w:t>
      </w:r>
      <w:r w:rsidR="001C6571">
        <w:t xml:space="preserve"> </w:t>
      </w:r>
      <w:r w:rsidR="00164D92">
        <w:t>A</w:t>
      </w:r>
      <w:r w:rsidR="00E50E1D">
        <w:t>nnexure</w:t>
      </w:r>
      <w:r w:rsidR="00164D92">
        <w:t xml:space="preserve"> 11.</w:t>
      </w:r>
      <w:r w:rsidR="002D021B">
        <w:t>5</w:t>
      </w:r>
      <w:r w:rsidR="00275418">
        <w:t xml:space="preserve"> </w:t>
      </w:r>
      <w:r w:rsidR="00CC701F" w:rsidRPr="00C60AD1">
        <w:t>to</w:t>
      </w:r>
      <w:r w:rsidRPr="00C60AD1">
        <w:t xml:space="preserve"> this Order. The major issues raised therein, the replies given by the Licensee and the views of the Commission have been summarised as detailed below:</w:t>
      </w:r>
      <w:bookmarkStart w:id="71" w:name="_Toc420197503"/>
      <w:bookmarkEnd w:id="71"/>
    </w:p>
    <w:p w:rsidR="00596C3F" w:rsidRDefault="00596C3F" w:rsidP="00C60AD1">
      <w:pPr>
        <w:spacing w:before="0" w:line="240" w:lineRule="auto"/>
        <w:jc w:val="left"/>
      </w:pPr>
    </w:p>
    <w:p w:rsidR="00596C3F" w:rsidRPr="00C60AD1" w:rsidRDefault="00596C3F" w:rsidP="00C60AD1">
      <w:pPr>
        <w:spacing w:before="0" w:line="240" w:lineRule="auto"/>
        <w:jc w:val="left"/>
      </w:pPr>
    </w:p>
    <w:p w:rsidR="00023318" w:rsidRDefault="002A3AA1" w:rsidP="00023318">
      <w:pPr>
        <w:pStyle w:val="Heading2"/>
      </w:pPr>
      <w:bookmarkStart w:id="72" w:name="_Toc454277458"/>
      <w:bookmarkStart w:id="73" w:name="_Toc457355438"/>
      <w:r w:rsidRPr="00BC6A33">
        <w:lastRenderedPageBreak/>
        <w:t>SINGLE POINT SUPPLY</w:t>
      </w:r>
      <w:bookmarkEnd w:id="72"/>
      <w:bookmarkEnd w:id="73"/>
    </w:p>
    <w:p w:rsidR="002A3AA1" w:rsidRPr="00BC6A33" w:rsidRDefault="002A3AA1" w:rsidP="002A3AA1">
      <w:pPr>
        <w:pStyle w:val="Heading2"/>
        <w:numPr>
          <w:ilvl w:val="0"/>
          <w:numId w:val="0"/>
        </w:numPr>
        <w:spacing w:line="276" w:lineRule="auto"/>
      </w:pPr>
    </w:p>
    <w:p w:rsidR="002A3AA1" w:rsidRPr="00BC6A33" w:rsidRDefault="002A3AA1" w:rsidP="00BA3941">
      <w:pPr>
        <w:numPr>
          <w:ilvl w:val="0"/>
          <w:numId w:val="33"/>
        </w:numPr>
        <w:spacing w:before="0"/>
        <w:contextualSpacing/>
        <w:rPr>
          <w:rFonts w:asciiTheme="minorHAnsi" w:hAnsiTheme="minorHAnsi" w:cs="Calibri"/>
          <w:b/>
          <w:bCs/>
          <w:i/>
          <w:iCs/>
        </w:rPr>
      </w:pPr>
      <w:r w:rsidRPr="00BC6A33">
        <w:rPr>
          <w:rFonts w:asciiTheme="minorHAnsi" w:hAnsiTheme="minorHAnsi" w:cs="Calibri"/>
          <w:b/>
          <w:bCs/>
          <w:i/>
          <w:iCs/>
        </w:rPr>
        <w:t xml:space="preserve">Comments/Suggestions of the Public </w:t>
      </w:r>
    </w:p>
    <w:p w:rsidR="00023318" w:rsidRPr="00023318" w:rsidRDefault="00023318" w:rsidP="00023318">
      <w:pPr>
        <w:pStyle w:val="Heading3"/>
        <w:tabs>
          <w:tab w:val="clear" w:pos="720"/>
        </w:tabs>
        <w:spacing w:after="240"/>
        <w:ind w:left="993" w:hanging="993"/>
        <w:rPr>
          <w:szCs w:val="24"/>
        </w:rPr>
      </w:pPr>
      <w:r w:rsidRPr="00023318">
        <w:rPr>
          <w:szCs w:val="24"/>
        </w:rPr>
        <w:t xml:space="preserve">ANSAL API, Kasturba Gandhi Marg New Delhi made following submissions related to single point supply </w:t>
      </w:r>
    </w:p>
    <w:p w:rsidR="002A3AA1" w:rsidRPr="00714D83" w:rsidRDefault="00023318" w:rsidP="00EC6AAC">
      <w:pPr>
        <w:pStyle w:val="ListParagraph"/>
        <w:numPr>
          <w:ilvl w:val="0"/>
          <w:numId w:val="66"/>
        </w:numPr>
        <w:spacing w:before="0" w:after="240"/>
        <w:ind w:left="1440"/>
        <w:contextualSpacing/>
        <w:rPr>
          <w:rFonts w:cs="Calibri"/>
        </w:rPr>
      </w:pPr>
      <w:r w:rsidRPr="00023318">
        <w:rPr>
          <w:rFonts w:cs="Calibri"/>
        </w:rPr>
        <w:t>In rate schedule it is mentioned that to qualify under the LMV-1 category, the single point consumer must have 70% of domestic load. It is understood that the remaining 30% of the total contracted load for the township / housing colonies which may be for non- domestic purpose inside the colony (including shops, club house etc.) should be billed at LMV-2 rates.  For loads ranging from 50 kW to below 75 kW, it is not always possible to maintain the ratio of percentage of domestic to non-domestic loads at 70:30 as sometimes the percentage of domestic load may reduce to 60% as well. Therefore, it is suggested that the single point consumers may be directed to recover the tariff from individual residents at either LMV-1 / LMV-2 tariff based on the purpose of supply.</w:t>
      </w:r>
      <w:r w:rsidRPr="00023318">
        <w:rPr>
          <w:rFonts w:cs="Calibri"/>
        </w:rPr>
        <w:br/>
      </w:r>
    </w:p>
    <w:p w:rsidR="002A3AA1" w:rsidRPr="00714D83" w:rsidRDefault="00023318" w:rsidP="00EC6AAC">
      <w:pPr>
        <w:pStyle w:val="ListParagraph"/>
        <w:numPr>
          <w:ilvl w:val="1"/>
          <w:numId w:val="67"/>
        </w:numPr>
        <w:spacing w:before="0" w:after="240"/>
        <w:contextualSpacing/>
        <w:rPr>
          <w:rFonts w:cs="Calibri"/>
        </w:rPr>
      </w:pPr>
      <w:r w:rsidRPr="00023318">
        <w:rPr>
          <w:rFonts w:cs="Calibri"/>
        </w:rPr>
        <w:t>Clarification is required regarding classification of load among LMV-1 &amp; HV-1 in various residents, shop owners, townships and multiplexes in the state of UP.</w:t>
      </w:r>
    </w:p>
    <w:p w:rsidR="00023318" w:rsidRPr="00023318" w:rsidRDefault="00023318" w:rsidP="00023318">
      <w:pPr>
        <w:pStyle w:val="ListParagraph"/>
        <w:spacing w:before="0" w:after="240"/>
        <w:ind w:left="1440"/>
        <w:contextualSpacing/>
        <w:rPr>
          <w:rFonts w:cs="Calibri"/>
        </w:rPr>
      </w:pPr>
    </w:p>
    <w:p w:rsidR="002A3AA1" w:rsidRPr="00714D83" w:rsidRDefault="00023318" w:rsidP="00EC6AAC">
      <w:pPr>
        <w:pStyle w:val="ListParagraph"/>
        <w:numPr>
          <w:ilvl w:val="0"/>
          <w:numId w:val="66"/>
        </w:numPr>
        <w:spacing w:before="0" w:after="240"/>
        <w:ind w:left="1440"/>
        <w:contextualSpacing/>
        <w:rPr>
          <w:rFonts w:cs="Calibri"/>
        </w:rPr>
      </w:pPr>
      <w:r w:rsidRPr="00023318">
        <w:rPr>
          <w:rFonts w:cs="Calibri"/>
        </w:rPr>
        <w:t>Single point consumer should be allowed to recover both temporary charge for construction purpose and LMV-1 / HV-1 tariffs from individual consumers based on the actual units consumed.</w:t>
      </w:r>
    </w:p>
    <w:p w:rsidR="00023318" w:rsidRPr="00023318" w:rsidRDefault="00023318" w:rsidP="00023318">
      <w:pPr>
        <w:pStyle w:val="ListParagraph"/>
        <w:spacing w:before="0" w:after="240"/>
        <w:ind w:left="1440"/>
        <w:contextualSpacing/>
        <w:rPr>
          <w:rFonts w:cs="Calibri"/>
        </w:rPr>
      </w:pPr>
    </w:p>
    <w:p w:rsidR="002A3AA1" w:rsidRPr="00714D83" w:rsidRDefault="00023318" w:rsidP="00EC6AAC">
      <w:pPr>
        <w:pStyle w:val="ListParagraph"/>
        <w:numPr>
          <w:ilvl w:val="0"/>
          <w:numId w:val="66"/>
        </w:numPr>
        <w:spacing w:before="0" w:after="240"/>
        <w:ind w:left="1440"/>
        <w:contextualSpacing/>
        <w:rPr>
          <w:rFonts w:cs="Calibri"/>
        </w:rPr>
      </w:pPr>
      <w:r w:rsidRPr="00023318">
        <w:rPr>
          <w:rFonts w:cs="Calibri"/>
        </w:rPr>
        <w:t>70% of contracted load is to include lighting loads for common recreations facilities /Services such as club/ common room, GHS / Care taker office, street lighting, sewerage treatment plant, ventilation system, common / parking areas, dispensary, school, convenience stores /shops etc. for the residents of a housing colony, such lighting load inside housing colonies/township is for common lighting purposes for the benefit of residents and is not being used for any  non-domestic or commercial purposes .A single Point consumer taking supply at 11/33 KV for HV-1 category has to sub-distribute the electricity at 220/440V voltage level. Therefore he should be permitted to recover HV-1 tariff from the end consumers.</w:t>
      </w:r>
    </w:p>
    <w:p w:rsidR="00023318" w:rsidRPr="00023318" w:rsidRDefault="00023318" w:rsidP="00023318">
      <w:pPr>
        <w:pStyle w:val="ListParagraph"/>
        <w:spacing w:before="0" w:after="240"/>
        <w:ind w:left="1440"/>
        <w:contextualSpacing/>
        <w:rPr>
          <w:rFonts w:cs="Calibri"/>
        </w:rPr>
      </w:pPr>
    </w:p>
    <w:p w:rsidR="002A3AA1" w:rsidRPr="00714D83" w:rsidRDefault="00023318" w:rsidP="00EC6AAC">
      <w:pPr>
        <w:pStyle w:val="ListParagraph"/>
        <w:numPr>
          <w:ilvl w:val="0"/>
          <w:numId w:val="66"/>
        </w:numPr>
        <w:spacing w:before="240" w:after="240"/>
        <w:ind w:left="1440"/>
        <w:contextualSpacing/>
        <w:rPr>
          <w:rFonts w:cs="Calibri"/>
        </w:rPr>
      </w:pPr>
      <w:r w:rsidRPr="00023318">
        <w:rPr>
          <w:rFonts w:cs="Calibri"/>
        </w:rPr>
        <w:lastRenderedPageBreak/>
        <w:t>It is proposed in the Petition filed by the Licensees  that a single point consumer is required to provide information to all its consumers along with a copy of detailed computation of the amounts realized from all the individual consumers and the amount paid to the Licensee for a certain billing cycle. Such exercise will be unduly burdensome and problematic, making objector vulnerable to malicious litigations. It is suggested that the objector should be allowed to follow the billing format that is used by distribution Licensees for its consumers.</w:t>
      </w:r>
    </w:p>
    <w:p w:rsidR="00023318" w:rsidRPr="00023318" w:rsidRDefault="00023318" w:rsidP="00023318">
      <w:pPr>
        <w:pStyle w:val="ListParagraph"/>
        <w:spacing w:before="240" w:after="240"/>
        <w:ind w:left="1440"/>
        <w:contextualSpacing/>
        <w:rPr>
          <w:rFonts w:cs="Calibri"/>
        </w:rPr>
      </w:pPr>
    </w:p>
    <w:p w:rsidR="002A3AA1" w:rsidRPr="00714D83" w:rsidRDefault="00023318" w:rsidP="00EC6AAC">
      <w:pPr>
        <w:pStyle w:val="ListParagraph"/>
        <w:numPr>
          <w:ilvl w:val="0"/>
          <w:numId w:val="66"/>
        </w:numPr>
        <w:spacing w:before="240" w:after="240"/>
        <w:ind w:left="1440"/>
        <w:contextualSpacing/>
        <w:rPr>
          <w:rFonts w:cs="Calibri"/>
        </w:rPr>
      </w:pPr>
      <w:r w:rsidRPr="00023318">
        <w:rPr>
          <w:rFonts w:cs="Calibri"/>
        </w:rPr>
        <w:t>The Licensee has not provided any details or specific method for the computation of additional charge by the developer. Clarification to be provided in this regard.</w:t>
      </w:r>
    </w:p>
    <w:p w:rsidR="00023318" w:rsidRPr="00023318" w:rsidRDefault="00023318" w:rsidP="00023318">
      <w:pPr>
        <w:pStyle w:val="ListParagraph"/>
        <w:spacing w:before="240" w:after="240"/>
        <w:ind w:left="1440"/>
        <w:contextualSpacing/>
        <w:rPr>
          <w:rFonts w:cs="Calibri"/>
        </w:rPr>
      </w:pPr>
    </w:p>
    <w:p w:rsidR="002A3AA1" w:rsidRPr="00714D83" w:rsidRDefault="00023318" w:rsidP="00EC6AAC">
      <w:pPr>
        <w:pStyle w:val="ListParagraph"/>
        <w:numPr>
          <w:ilvl w:val="0"/>
          <w:numId w:val="66"/>
        </w:numPr>
        <w:spacing w:before="240" w:after="200"/>
        <w:ind w:left="1440"/>
        <w:contextualSpacing/>
        <w:rPr>
          <w:rFonts w:cs="Calibri"/>
        </w:rPr>
      </w:pPr>
      <w:r w:rsidRPr="00023318">
        <w:rPr>
          <w:rFonts w:cs="Calibri"/>
        </w:rPr>
        <w:t xml:space="preserve">There is no clarity on how the single point consumer will recover line losses incurred during supply of electricity on the distribution network maintained by developer/mall owner. The lack of recovery of transmission / distribution losses is adversely impacting the single-point consumers. In view of such lack of methodology, it has requested the Commission to provide clarity on method of calculation and components for billing of additional 10% to consumers. </w:t>
      </w:r>
    </w:p>
    <w:p w:rsidR="002A3AA1" w:rsidRPr="00714D83" w:rsidRDefault="002A3AA1" w:rsidP="002A3AA1">
      <w:pPr>
        <w:pStyle w:val="ListParagraph"/>
        <w:rPr>
          <w:rFonts w:cs="Calibri"/>
        </w:rPr>
      </w:pPr>
    </w:p>
    <w:p w:rsidR="002A3AA1" w:rsidRPr="00714D83" w:rsidRDefault="00023318" w:rsidP="00EC6AAC">
      <w:pPr>
        <w:pStyle w:val="ListParagraph"/>
        <w:numPr>
          <w:ilvl w:val="0"/>
          <w:numId w:val="66"/>
        </w:numPr>
        <w:spacing w:before="240" w:after="200"/>
        <w:ind w:left="1440"/>
        <w:contextualSpacing/>
        <w:rPr>
          <w:rFonts w:cs="Calibri"/>
        </w:rPr>
      </w:pPr>
      <w:r w:rsidRPr="00023318">
        <w:rPr>
          <w:rFonts w:cs="Calibri"/>
        </w:rPr>
        <w:t>Instead of allowing levy and recovery of additional 10% from the consumer, the Commission may consider granting 10% to 15% rebate to single point consumers on the units consumed by them as they have to compensate on account of the power loss and also they have to construct, maintain and upgrade their own infrastructure /network for distributing power to end - consumers.</w:t>
      </w:r>
    </w:p>
    <w:p w:rsidR="002A3AA1" w:rsidRPr="00714D83" w:rsidRDefault="002A3AA1" w:rsidP="002A3AA1">
      <w:pPr>
        <w:pStyle w:val="ListParagraph"/>
        <w:rPr>
          <w:rFonts w:cs="Calibri"/>
        </w:rPr>
      </w:pPr>
    </w:p>
    <w:p w:rsidR="002A3AA1" w:rsidRPr="00714D83" w:rsidRDefault="00023318" w:rsidP="00EC6AAC">
      <w:pPr>
        <w:pStyle w:val="ListParagraph"/>
        <w:numPr>
          <w:ilvl w:val="0"/>
          <w:numId w:val="66"/>
        </w:numPr>
        <w:spacing w:before="240" w:after="200"/>
        <w:ind w:left="1440"/>
        <w:contextualSpacing/>
        <w:rPr>
          <w:rFonts w:cs="Calibri"/>
        </w:rPr>
      </w:pPr>
      <w:r w:rsidRPr="00023318">
        <w:rPr>
          <w:rFonts w:cs="Calibri"/>
        </w:rPr>
        <w:t>There is no minimum charge specified for single-point consumer. Therefore, the methodology for recovering minimum charge by single-point consumers from end consumers needs to be specified.</w:t>
      </w:r>
    </w:p>
    <w:p w:rsidR="00023318" w:rsidRPr="00023318" w:rsidRDefault="00023318" w:rsidP="00023318">
      <w:pPr>
        <w:pStyle w:val="Heading3"/>
        <w:tabs>
          <w:tab w:val="clear" w:pos="720"/>
        </w:tabs>
        <w:ind w:left="993" w:hanging="993"/>
        <w:rPr>
          <w:szCs w:val="24"/>
        </w:rPr>
      </w:pPr>
      <w:r w:rsidRPr="00023318">
        <w:rPr>
          <w:szCs w:val="24"/>
        </w:rPr>
        <w:t xml:space="preserve">Shalimar Corp Limited and ANSAL API, Kasturba Ghandhi Marg, New Delhi submitted that the option of multi point connection may be provided to Mega townships comprising mix of Plots, EWS Flats, Single storied individual villas /Row Houses and Multi-storied flats. </w:t>
      </w:r>
    </w:p>
    <w:p w:rsidR="00023318" w:rsidRPr="00023318" w:rsidRDefault="00023318" w:rsidP="00023318">
      <w:pPr>
        <w:pStyle w:val="Heading3"/>
        <w:tabs>
          <w:tab w:val="clear" w:pos="720"/>
        </w:tabs>
        <w:ind w:left="993" w:hanging="993"/>
        <w:rPr>
          <w:rFonts w:cs="Calibri"/>
          <w:szCs w:val="24"/>
        </w:rPr>
      </w:pPr>
      <w:r w:rsidRPr="00023318">
        <w:rPr>
          <w:szCs w:val="24"/>
        </w:rPr>
        <w:t xml:space="preserve">Shri Shivshankar Singh Chairman, Civil Lines Vyapar Mandal submitted that due to non-payment of bills by some of the consumer, honest consumers also get suffer as </w:t>
      </w:r>
      <w:r w:rsidRPr="00023318">
        <w:rPr>
          <w:szCs w:val="24"/>
        </w:rPr>
        <w:lastRenderedPageBreak/>
        <w:t>supply get disconnected due to non-payment of complete amount by some consumers. It is further submitted that in multi-storey building the purpose of supply varies</w:t>
      </w:r>
      <w:r w:rsidRPr="00023318">
        <w:rPr>
          <w:rFonts w:cs="Calibri"/>
          <w:szCs w:val="24"/>
        </w:rPr>
        <w:t xml:space="preserve"> with consumer to consumer. So</w:t>
      </w:r>
      <w:r w:rsidR="00596C3F">
        <w:rPr>
          <w:rFonts w:cs="Calibri"/>
          <w:szCs w:val="24"/>
        </w:rPr>
        <w:t>,</w:t>
      </w:r>
      <w:r w:rsidRPr="00023318">
        <w:rPr>
          <w:rFonts w:cs="Calibri"/>
          <w:szCs w:val="24"/>
        </w:rPr>
        <w:t xml:space="preserve"> Single point supply should be converted into multipoint supply for multi-storey building.</w:t>
      </w:r>
    </w:p>
    <w:p w:rsidR="002A3AA1" w:rsidRPr="00714D83" w:rsidRDefault="002A3AA1" w:rsidP="002A3AA1">
      <w:pPr>
        <w:pStyle w:val="Heading3"/>
        <w:numPr>
          <w:ilvl w:val="0"/>
          <w:numId w:val="0"/>
        </w:numPr>
        <w:tabs>
          <w:tab w:val="clear" w:pos="720"/>
        </w:tabs>
        <w:ind w:left="993"/>
        <w:rPr>
          <w:rFonts w:cs="Calibri"/>
          <w:szCs w:val="24"/>
        </w:rPr>
      </w:pPr>
    </w:p>
    <w:p w:rsidR="00023318" w:rsidRDefault="00023318" w:rsidP="00023318">
      <w:pPr>
        <w:pStyle w:val="Heading3"/>
        <w:tabs>
          <w:tab w:val="clear" w:pos="720"/>
        </w:tabs>
        <w:ind w:left="993" w:hanging="993"/>
        <w:rPr>
          <w:rFonts w:asciiTheme="minorHAnsi" w:hAnsiTheme="minorHAnsi"/>
          <w:szCs w:val="24"/>
        </w:rPr>
      </w:pPr>
      <w:r w:rsidRPr="00023318">
        <w:rPr>
          <w:szCs w:val="24"/>
        </w:rPr>
        <w:t>Miss Romi, Global Care Organization submitted that in case of multi-storey buildings and colonies, domestic and commercial consumers should be charged separately.</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BA3941">
      <w:pPr>
        <w:numPr>
          <w:ilvl w:val="0"/>
          <w:numId w:val="33"/>
        </w:numPr>
        <w:spacing w:before="0"/>
        <w:contextualSpacing/>
        <w:rPr>
          <w:rFonts w:cs="Calibri"/>
          <w:b/>
          <w:bCs/>
          <w:i/>
          <w:iCs/>
        </w:rPr>
      </w:pPr>
      <w:bookmarkStart w:id="74" w:name="_Toc420960068"/>
      <w:r w:rsidRPr="00023318">
        <w:rPr>
          <w:rFonts w:cs="Calibri"/>
          <w:b/>
          <w:bCs/>
          <w:i/>
          <w:iCs/>
        </w:rPr>
        <w:t>Petitioner’s Response</w:t>
      </w:r>
      <w:bookmarkEnd w:id="74"/>
    </w:p>
    <w:p w:rsidR="00023318" w:rsidRPr="00023318" w:rsidRDefault="00023318" w:rsidP="00023318">
      <w:pPr>
        <w:pStyle w:val="Heading3"/>
        <w:tabs>
          <w:tab w:val="clear" w:pos="720"/>
        </w:tabs>
        <w:ind w:left="993" w:hanging="993"/>
        <w:rPr>
          <w:szCs w:val="24"/>
        </w:rPr>
      </w:pPr>
      <w:r w:rsidRPr="00023318">
        <w:rPr>
          <w:szCs w:val="24"/>
        </w:rPr>
        <w:t>The Licensee submitted that Clause 4.9 (a) of supply code 2005 provides as follows:</w:t>
      </w:r>
    </w:p>
    <w:p w:rsidR="002A3AA1" w:rsidRPr="001022DE" w:rsidRDefault="00023318" w:rsidP="002A3AA1">
      <w:pPr>
        <w:pStyle w:val="Heading3"/>
        <w:numPr>
          <w:ilvl w:val="0"/>
          <w:numId w:val="0"/>
        </w:numPr>
        <w:tabs>
          <w:tab w:val="clear" w:pos="720"/>
        </w:tabs>
        <w:ind w:left="1440"/>
        <w:rPr>
          <w:i/>
          <w:szCs w:val="24"/>
        </w:rPr>
      </w:pPr>
      <w:r w:rsidRPr="00023318">
        <w:rPr>
          <w:i/>
          <w:szCs w:val="24"/>
        </w:rPr>
        <w:t>"Electricity Connection at single point of supply with single point metering shall be provided to a new domestic/ non-domestic Multi storied Buildings/ Multiplex / Marriage Halls/ Cooperative Group Housing Societies / Colonies, with load exceeding 25 KW."</w:t>
      </w:r>
    </w:p>
    <w:p w:rsidR="00023318" w:rsidRPr="00023318" w:rsidRDefault="00023318" w:rsidP="00023318">
      <w:pPr>
        <w:pStyle w:val="Heading3"/>
        <w:tabs>
          <w:tab w:val="clear" w:pos="720"/>
        </w:tabs>
        <w:ind w:left="993" w:hanging="993"/>
        <w:rPr>
          <w:szCs w:val="24"/>
        </w:rPr>
      </w:pPr>
      <w:r w:rsidRPr="00023318">
        <w:rPr>
          <w:szCs w:val="24"/>
        </w:rPr>
        <w:t>The Licensee further submitted that it is clear from above that for domestic / non-domestic Multi-storied Buildings / Multiplex / Marriage Halls / Cooperative Group Housing Societies / Colonies, with load exceeding 25 kW connections has to be released on single point as sentence provides "connection shall be released". The use of word "shall" raises a presumption that the particular provision is imperative as has been held by Hon'ble Supreme Court in State of UP vs. Manbodhan Lal Srivastava. Such an interpretation that "when a statute uses the word shall, prima facia it is mandatory" has been adopted by Hon'ble Supreme Court in catena of cases such as State of UP vs. Babu Ram Upadhya, Sainik Motors, Jodhpur vs. State of Rajasthan, Govindlal Chagganlal Patel vs. Agriculture Produce Market Committee. The Licensees added that accordingly, the spirit of supply code has been implemented as per legal provisions and no doubt it helped to a certain extent, in mitigating the problem of scanty meter-reading and billing resources.</w:t>
      </w:r>
    </w:p>
    <w:p w:rsidR="002A3AA1" w:rsidRPr="00714D83" w:rsidRDefault="00023318" w:rsidP="002A3AA1">
      <w:pPr>
        <w:pStyle w:val="Heading3"/>
        <w:numPr>
          <w:ilvl w:val="0"/>
          <w:numId w:val="0"/>
        </w:numPr>
        <w:tabs>
          <w:tab w:val="clear" w:pos="720"/>
        </w:tabs>
        <w:ind w:left="993"/>
        <w:rPr>
          <w:szCs w:val="24"/>
        </w:rPr>
      </w:pPr>
      <w:r w:rsidRPr="00023318">
        <w:rPr>
          <w:szCs w:val="24"/>
        </w:rPr>
        <w:t xml:space="preserve">The Licensee submitted that recently number of grievances relating to individual inhabitants of these multi-storied buildings came in the notice of Licensees as well as the Commission. An understanding was evolved that a first-hand ground survey would be conducted and some kind of feasible solution will be worked out within the legal framework, which would address majority of concerns. In this regard, the Commission vide its Letter No. UPERC / Secy. / D (T) / 2015-2032 dated March 3, </w:t>
      </w:r>
      <w:r w:rsidRPr="00023318">
        <w:rPr>
          <w:szCs w:val="24"/>
        </w:rPr>
        <w:lastRenderedPageBreak/>
        <w:t>2015 directed the Licensees to submit a detailed proposal related to New Mechanism for Billing the Single Point Consumers.</w:t>
      </w:r>
    </w:p>
    <w:p w:rsidR="002A3AA1" w:rsidRPr="00714D83" w:rsidRDefault="00023318" w:rsidP="002A3AA1">
      <w:pPr>
        <w:pStyle w:val="Heading3"/>
        <w:numPr>
          <w:ilvl w:val="0"/>
          <w:numId w:val="0"/>
        </w:numPr>
        <w:tabs>
          <w:tab w:val="clear" w:pos="720"/>
        </w:tabs>
        <w:ind w:left="993"/>
        <w:rPr>
          <w:szCs w:val="24"/>
        </w:rPr>
      </w:pPr>
      <w:r w:rsidRPr="00023318">
        <w:rPr>
          <w:szCs w:val="24"/>
        </w:rPr>
        <w:t xml:space="preserve">The Licensee submitted that, in this context, a meeting with Resident Welfare Associations was organized at Noida on May 9, 2015 to discuss various issues linked with supply to Multi Storied Building including tariffs and option of individual connections to consumers residing in Multi Storied Buildings. Subsequently, the Licensee had submitted a detailed report to the Commission. </w:t>
      </w:r>
    </w:p>
    <w:p w:rsidR="002A3AA1" w:rsidRPr="00714D83" w:rsidRDefault="00023318" w:rsidP="002A3AA1">
      <w:pPr>
        <w:pStyle w:val="Heading3"/>
        <w:numPr>
          <w:ilvl w:val="0"/>
          <w:numId w:val="0"/>
        </w:numPr>
        <w:tabs>
          <w:tab w:val="clear" w:pos="720"/>
        </w:tabs>
        <w:ind w:left="993"/>
        <w:rPr>
          <w:bCs w:val="0"/>
          <w:szCs w:val="24"/>
        </w:rPr>
      </w:pPr>
      <w:r w:rsidRPr="00023318">
        <w:rPr>
          <w:szCs w:val="24"/>
        </w:rPr>
        <w:t>The Licensee understands that the Commission is in the process of framing Regulations for single point bulk supply and the same are expected to be issued shortly.</w:t>
      </w:r>
    </w:p>
    <w:p w:rsidR="002A3AA1" w:rsidRPr="00714D83" w:rsidRDefault="002A3AA1" w:rsidP="002A3AA1">
      <w:pPr>
        <w:rPr>
          <w:rFonts w:cs="Calibri"/>
          <w:b/>
          <w:bCs/>
          <w:i/>
          <w:iCs/>
        </w:rPr>
      </w:pPr>
    </w:p>
    <w:p w:rsidR="002A3AA1" w:rsidRPr="00714D83" w:rsidRDefault="00023318" w:rsidP="00BA3941">
      <w:pPr>
        <w:numPr>
          <w:ilvl w:val="0"/>
          <w:numId w:val="33"/>
        </w:numPr>
        <w:spacing w:before="0"/>
        <w:contextualSpacing/>
        <w:rPr>
          <w:b/>
          <w:i/>
        </w:rPr>
      </w:pPr>
      <w:r w:rsidRPr="00023318">
        <w:rPr>
          <w:rFonts w:cs="Calibri"/>
          <w:b/>
          <w:bCs/>
          <w:i/>
          <w:iCs/>
        </w:rPr>
        <w:t>The Commission’s view:</w:t>
      </w:r>
    </w:p>
    <w:p w:rsidR="00023318" w:rsidRPr="00023318" w:rsidRDefault="00023318" w:rsidP="00023318">
      <w:pPr>
        <w:pStyle w:val="Heading3"/>
        <w:tabs>
          <w:tab w:val="clear" w:pos="720"/>
        </w:tabs>
        <w:ind w:left="993" w:hanging="993"/>
        <w:rPr>
          <w:szCs w:val="24"/>
        </w:rPr>
      </w:pPr>
      <w:r w:rsidRPr="00023318">
        <w:rPr>
          <w:szCs w:val="24"/>
        </w:rPr>
        <w:t>The Commission has taken note of the objections / suggestions made by the stakeholders in this regards. The Commission has already taken up this issue and  may take appropriate step in this regard. The applicable Tariffs for all the consumer categories have been designed in accordance with the Electricity Act, 2003 and the Tariff Policy. The details of all the aspects related to Tariff design have been covered subsequently in Chapter on Tariff Philosophy and Rate Schedule provided in this Order.</w:t>
      </w:r>
    </w:p>
    <w:p w:rsidR="002A3AA1" w:rsidRPr="00714D83" w:rsidRDefault="002A3AA1" w:rsidP="002A3AA1">
      <w:pPr>
        <w:pStyle w:val="Heading3"/>
        <w:numPr>
          <w:ilvl w:val="0"/>
          <w:numId w:val="0"/>
        </w:numPr>
        <w:tabs>
          <w:tab w:val="clear" w:pos="720"/>
        </w:tabs>
        <w:ind w:left="993"/>
        <w:rPr>
          <w:szCs w:val="24"/>
        </w:rPr>
      </w:pPr>
    </w:p>
    <w:p w:rsidR="00023318" w:rsidRPr="00023318" w:rsidRDefault="00023318" w:rsidP="00023318">
      <w:pPr>
        <w:pStyle w:val="Heading2"/>
        <w:spacing w:line="276" w:lineRule="auto"/>
        <w:rPr>
          <w:rFonts w:ascii="Calibri" w:hAnsi="Calibri"/>
        </w:rPr>
      </w:pPr>
      <w:bookmarkStart w:id="75" w:name="_Toc454277459"/>
      <w:bookmarkStart w:id="76" w:name="_Toc457355439"/>
      <w:r w:rsidRPr="00023318">
        <w:rPr>
          <w:rFonts w:ascii="Calibri" w:hAnsi="Calibri"/>
        </w:rPr>
        <w:t>ARR &amp; TRUE UP</w:t>
      </w:r>
      <w:bookmarkEnd w:id="75"/>
      <w:bookmarkEnd w:id="76"/>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BA3941">
      <w:pPr>
        <w:numPr>
          <w:ilvl w:val="0"/>
          <w:numId w:val="34"/>
        </w:numPr>
        <w:spacing w:before="0"/>
        <w:contextualSpacing/>
        <w:rPr>
          <w:rFonts w:cstheme="minorHAnsi"/>
        </w:rPr>
      </w:pPr>
      <w:r w:rsidRPr="00023318">
        <w:rPr>
          <w:b/>
          <w:i/>
        </w:rPr>
        <w:t>Comments/Suggestion of the Public</w:t>
      </w:r>
    </w:p>
    <w:p w:rsidR="00023318" w:rsidRPr="00023318" w:rsidRDefault="00023318" w:rsidP="00023318">
      <w:pPr>
        <w:pStyle w:val="Heading3"/>
        <w:tabs>
          <w:tab w:val="clear" w:pos="720"/>
        </w:tabs>
        <w:ind w:left="993" w:hanging="993"/>
        <w:rPr>
          <w:szCs w:val="24"/>
        </w:rPr>
      </w:pPr>
      <w:r w:rsidRPr="00023318">
        <w:rPr>
          <w:szCs w:val="24"/>
        </w:rPr>
        <w:t>Shri Akarsh Garg, Advocate for Indian Industries Association, Shri Rama Shanker Awasthi, Shri Avadhesh Kumar Verma, Chairman, U.P. Rajya Vidyut Upbhokta Parishad and Shri Amar Singh, President Consumer protection Society submitted the following points on ARR petitions for FY 2016-17 and True Ups petitions for FY 2013-14:</w:t>
      </w:r>
    </w:p>
    <w:p w:rsidR="002A3AA1" w:rsidRPr="00714D83" w:rsidRDefault="00023318" w:rsidP="002A3AA1">
      <w:pPr>
        <w:pStyle w:val="Heading3"/>
        <w:numPr>
          <w:ilvl w:val="0"/>
          <w:numId w:val="0"/>
        </w:numPr>
        <w:ind w:left="1929" w:hanging="936"/>
        <w:rPr>
          <w:szCs w:val="24"/>
        </w:rPr>
      </w:pPr>
      <w:r w:rsidRPr="00023318">
        <w:rPr>
          <w:szCs w:val="24"/>
        </w:rPr>
        <w:t>Comments and suggestion on ARR petitions for FY 2016-17</w:t>
      </w:r>
    </w:p>
    <w:p w:rsidR="002A3AA1" w:rsidRPr="00714D83" w:rsidRDefault="00023318" w:rsidP="00EC6AAC">
      <w:pPr>
        <w:numPr>
          <w:ilvl w:val="0"/>
          <w:numId w:val="68"/>
        </w:numPr>
        <w:spacing w:before="0" w:after="200"/>
        <w:rPr>
          <w:rFonts w:cs="Calibri"/>
        </w:rPr>
      </w:pPr>
      <w:r w:rsidRPr="00023318">
        <w:rPr>
          <w:rFonts w:cs="Calibri"/>
        </w:rPr>
        <w:t xml:space="preserve">The ARR can only be fixed after voltage wise supply study has been conducted by the utilities and the tariff of each category is in consonance with Clause 8.2.2 of the Tariff Policy. Stakeholder further submitted that the tariff of each category should be within +/- 20% of the average cost of supply of electricity. </w:t>
      </w:r>
    </w:p>
    <w:p w:rsidR="002A3AA1" w:rsidRPr="00714D83" w:rsidRDefault="00023318" w:rsidP="00EC6AAC">
      <w:pPr>
        <w:numPr>
          <w:ilvl w:val="0"/>
          <w:numId w:val="68"/>
        </w:numPr>
        <w:spacing w:before="0" w:after="200"/>
        <w:rPr>
          <w:rFonts w:cs="Calibri"/>
        </w:rPr>
      </w:pPr>
      <w:r w:rsidRPr="00023318">
        <w:rPr>
          <w:rFonts w:cs="Calibri"/>
        </w:rPr>
        <w:lastRenderedPageBreak/>
        <w:t>Capital Investment Plan: Capital investment plan is not in consonance with Regulation 4.5 of Tariff Regulation and may be rejected. The capital sought to be invested by Discoms may be allowed only after through verification of investment already been made by Discoms. The investments are being made for procuring low-quality and sub-slandered products to favor certain people at the cost of consumers. Discoms have indulged into malpractice for paying for products which are not supplied by approved sellers.</w:t>
      </w:r>
    </w:p>
    <w:p w:rsidR="002A3AA1" w:rsidRPr="00714D83" w:rsidRDefault="00023318" w:rsidP="00EC6AAC">
      <w:pPr>
        <w:numPr>
          <w:ilvl w:val="0"/>
          <w:numId w:val="68"/>
        </w:numPr>
        <w:spacing w:before="0" w:after="200"/>
        <w:rPr>
          <w:rFonts w:cs="Calibri"/>
        </w:rPr>
      </w:pPr>
      <w:r w:rsidRPr="00023318">
        <w:rPr>
          <w:rFonts w:cs="Calibri"/>
        </w:rPr>
        <w:t>Fixed Asset Register, Gross Fixed Asset and Depreciation: It is submitted that in absence of Fixed Asset Register, the GFA of utility be considered as zero. The main reason behind non-creation or creation of fixed asset register is siphoning off money by officials of Discoms in the name of capital investment. It is further submitted that Discoms have inflated GFA and adding the burden on consumers every year by paying huge sums in the name of capital investment.</w:t>
      </w:r>
    </w:p>
    <w:p w:rsidR="002A3AA1" w:rsidRPr="00714D83" w:rsidRDefault="00023318" w:rsidP="00EC6AAC">
      <w:pPr>
        <w:numPr>
          <w:ilvl w:val="0"/>
          <w:numId w:val="68"/>
        </w:numPr>
        <w:spacing w:before="0" w:after="200"/>
        <w:rPr>
          <w:rFonts w:cs="Calibri"/>
        </w:rPr>
      </w:pPr>
      <w:r w:rsidRPr="00023318">
        <w:rPr>
          <w:rFonts w:cs="Calibri"/>
        </w:rPr>
        <w:t xml:space="preserve">Finance charges: Discoms have sought finance charges without giving any details of the same. </w:t>
      </w:r>
    </w:p>
    <w:p w:rsidR="002A3AA1" w:rsidRPr="00714D83" w:rsidRDefault="00023318" w:rsidP="00EC6AAC">
      <w:pPr>
        <w:numPr>
          <w:ilvl w:val="0"/>
          <w:numId w:val="68"/>
        </w:numPr>
        <w:spacing w:before="0" w:after="200"/>
        <w:rPr>
          <w:rFonts w:cs="Calibri"/>
        </w:rPr>
      </w:pPr>
      <w:r w:rsidRPr="00023318">
        <w:rPr>
          <w:rFonts w:cs="Calibri"/>
        </w:rPr>
        <w:t>Bad and doubtful debt: No bad and doubtful debt can be allowed in ARR for the ensuing year.</w:t>
      </w:r>
    </w:p>
    <w:p w:rsidR="002A3AA1" w:rsidRPr="00714D83" w:rsidRDefault="00023318" w:rsidP="00EC6AAC">
      <w:pPr>
        <w:numPr>
          <w:ilvl w:val="0"/>
          <w:numId w:val="68"/>
        </w:numPr>
        <w:spacing w:before="0" w:after="200"/>
        <w:rPr>
          <w:rFonts w:cs="Calibri"/>
        </w:rPr>
      </w:pPr>
      <w:r w:rsidRPr="00023318">
        <w:rPr>
          <w:rFonts w:cs="Calibri"/>
        </w:rPr>
        <w:t>Return on Equity and Tariff for LMV-10 consumers: Discoms have sought 50% discount on the tariff of departmental employees instead of Return on Equity. Such an act of Discoms should not be allowed since it would mean burdening the consumers by depriving the benefits of the ‘Return on Equity’.</w:t>
      </w:r>
    </w:p>
    <w:p w:rsidR="002A3AA1" w:rsidRPr="00714D83" w:rsidRDefault="00023318" w:rsidP="002A3AA1">
      <w:pPr>
        <w:pStyle w:val="Heading3"/>
        <w:numPr>
          <w:ilvl w:val="0"/>
          <w:numId w:val="0"/>
        </w:numPr>
        <w:ind w:left="1929" w:hanging="936"/>
        <w:rPr>
          <w:szCs w:val="24"/>
        </w:rPr>
      </w:pPr>
      <w:r w:rsidRPr="00023318">
        <w:rPr>
          <w:szCs w:val="24"/>
        </w:rPr>
        <w:t>Comment and suggestion for True Up petitions for FY 2013-14</w:t>
      </w:r>
    </w:p>
    <w:p w:rsidR="002A3AA1" w:rsidRPr="00714D83" w:rsidRDefault="00023318" w:rsidP="00EC6AAC">
      <w:pPr>
        <w:numPr>
          <w:ilvl w:val="0"/>
          <w:numId w:val="68"/>
        </w:numPr>
        <w:spacing w:before="0" w:after="200"/>
        <w:rPr>
          <w:rFonts w:cs="Calibri"/>
        </w:rPr>
      </w:pPr>
      <w:r w:rsidRPr="00023318">
        <w:rPr>
          <w:rFonts w:cs="Calibri"/>
        </w:rPr>
        <w:t>Power Purchase Expense: They requested the Commission to conduct a prudence check of the rates at which power has been purchased by Discoms vis-à-vis price at which power available in the market and also initiate appropriate proceedings against the Discoms.</w:t>
      </w:r>
    </w:p>
    <w:p w:rsidR="002A3AA1" w:rsidRPr="00714D83" w:rsidRDefault="00023318" w:rsidP="00EC6AAC">
      <w:pPr>
        <w:numPr>
          <w:ilvl w:val="0"/>
          <w:numId w:val="68"/>
        </w:numPr>
        <w:spacing w:before="0" w:after="200"/>
        <w:rPr>
          <w:rFonts w:cs="Calibri"/>
        </w:rPr>
      </w:pPr>
      <w:r w:rsidRPr="00023318">
        <w:rPr>
          <w:rFonts w:cs="Calibri"/>
        </w:rPr>
        <w:t xml:space="preserve">Repair &amp; Maintenance Expense: R&amp;M being controllable factor, inefficiency of Discoms should not be passed on the consumers. Purchase of faulty transformers and equipments is also one of the major reasons for higher R&amp;M expenses than expected. They requested the Commission to conduct a prudence check of the quality of equipments procured by Discoms vis-à-vis price </w:t>
      </w:r>
      <w:r w:rsidRPr="00023318">
        <w:rPr>
          <w:rFonts w:cs="Calibri"/>
        </w:rPr>
        <w:lastRenderedPageBreak/>
        <w:t>at which they are available in the market and initiate appropriate proceedings against the Discoms.</w:t>
      </w:r>
    </w:p>
    <w:p w:rsidR="002A3AA1" w:rsidRPr="00714D83" w:rsidRDefault="00023318" w:rsidP="00EC6AAC">
      <w:pPr>
        <w:numPr>
          <w:ilvl w:val="0"/>
          <w:numId w:val="68"/>
        </w:numPr>
        <w:spacing w:before="0" w:after="200"/>
        <w:rPr>
          <w:rFonts w:cs="Calibri"/>
        </w:rPr>
      </w:pPr>
      <w:r w:rsidRPr="00023318">
        <w:rPr>
          <w:rFonts w:cs="Calibri"/>
        </w:rPr>
        <w:t>Proposed Investment should be disallowed: Discoms have been procuring goods/machineries including transformers from the companies which were blacklisted without prejudice to the same, it is submitted that the Discoms have been falsely capitalizing the machinery without actual purchase of the same. Therefore, they requested the Commission to allow capitalization after verifying the physical existence of the assets.</w:t>
      </w:r>
    </w:p>
    <w:p w:rsidR="002A3AA1" w:rsidRPr="00714D83" w:rsidRDefault="00023318" w:rsidP="00EC6AAC">
      <w:pPr>
        <w:numPr>
          <w:ilvl w:val="0"/>
          <w:numId w:val="68"/>
        </w:numPr>
        <w:spacing w:before="0" w:after="200"/>
        <w:rPr>
          <w:rFonts w:cs="Calibri"/>
        </w:rPr>
      </w:pPr>
      <w:r w:rsidRPr="00023318">
        <w:rPr>
          <w:rFonts w:cs="Calibri"/>
        </w:rPr>
        <w:t>Depreciation: Discoms are not entitled for any depreciation in absence of Gross Fixed Asset Register.</w:t>
      </w:r>
    </w:p>
    <w:p w:rsidR="002A3AA1" w:rsidRPr="00714D83" w:rsidRDefault="00023318" w:rsidP="00EC6AAC">
      <w:pPr>
        <w:numPr>
          <w:ilvl w:val="0"/>
          <w:numId w:val="68"/>
        </w:numPr>
        <w:spacing w:before="0" w:after="200"/>
        <w:rPr>
          <w:rFonts w:cs="Calibri"/>
        </w:rPr>
      </w:pPr>
      <w:r w:rsidRPr="00023318">
        <w:rPr>
          <w:rFonts w:cs="Calibri"/>
        </w:rPr>
        <w:t>Prior Period Expense: It is submitted that prior period expense ought to be disallowed as Discoms have not given any details of the same (year and purpose for which these expense were incurred).</w:t>
      </w:r>
    </w:p>
    <w:p w:rsidR="002A3AA1" w:rsidRPr="00714D83" w:rsidRDefault="00023318" w:rsidP="00EC6AAC">
      <w:pPr>
        <w:numPr>
          <w:ilvl w:val="0"/>
          <w:numId w:val="68"/>
        </w:numPr>
        <w:spacing w:before="0" w:after="200"/>
        <w:rPr>
          <w:rFonts w:cs="Calibri"/>
        </w:rPr>
      </w:pPr>
      <w:r w:rsidRPr="00023318">
        <w:rPr>
          <w:rFonts w:cs="Calibri"/>
        </w:rPr>
        <w:t>Bad &amp; Doubtful Debt: PVVNL has submitted Rs. 54.64 Crore towards bad and doubtful debt which is contrary to Clause4.4 of the Tariff Regulations, 2006.</w:t>
      </w:r>
    </w:p>
    <w:p w:rsidR="002A3AA1" w:rsidRPr="00714D83" w:rsidRDefault="00023318" w:rsidP="00EC6AAC">
      <w:pPr>
        <w:numPr>
          <w:ilvl w:val="0"/>
          <w:numId w:val="68"/>
        </w:numPr>
        <w:spacing w:before="0" w:after="200"/>
        <w:rPr>
          <w:rFonts w:cs="Calibri"/>
        </w:rPr>
      </w:pPr>
      <w:r w:rsidRPr="00023318">
        <w:rPr>
          <w:rFonts w:cs="Calibri"/>
        </w:rPr>
        <w:t>Carrying Cost: It is submitted that carrying cost, if any, should not be allowed on account of True-up of ARR for FY 2013-14 as Discoms failed in filling True-up Petition in time. It is submitted that consumers should not be burdened due to inefficiency and negligence on the part of Discoms. It is submitted that audited accounts of a company for FY 2013-14, should have been finalized by September, 2014. However, Discoms chose to file True-up Petition for FY 2013-14 after a period more than two years.</w:t>
      </w:r>
    </w:p>
    <w:p w:rsidR="002A3AA1" w:rsidRPr="00714D83" w:rsidRDefault="00023318" w:rsidP="00EC6AAC">
      <w:pPr>
        <w:numPr>
          <w:ilvl w:val="0"/>
          <w:numId w:val="68"/>
        </w:numPr>
        <w:spacing w:before="0" w:after="200"/>
        <w:rPr>
          <w:rFonts w:cstheme="minorHAnsi"/>
        </w:rPr>
      </w:pPr>
      <w:r w:rsidRPr="00023318">
        <w:rPr>
          <w:rFonts w:cstheme="minorHAnsi"/>
        </w:rPr>
        <w:t>Security Deposit: The Commission may not allow interest on security deposit amount in ARR claimed by Licensees because Licensees had failed to pay the amount of interest on security deposit deposited by the consumers.</w:t>
      </w:r>
    </w:p>
    <w:p w:rsidR="002A3AA1" w:rsidRPr="00714D83" w:rsidRDefault="00023318" w:rsidP="00EC6AAC">
      <w:pPr>
        <w:numPr>
          <w:ilvl w:val="0"/>
          <w:numId w:val="68"/>
        </w:numPr>
        <w:spacing w:before="0" w:after="200"/>
        <w:rPr>
          <w:rFonts w:cstheme="minorHAnsi"/>
        </w:rPr>
      </w:pPr>
      <w:r w:rsidRPr="00023318">
        <w:rPr>
          <w:rFonts w:cstheme="minorHAnsi"/>
        </w:rPr>
        <w:t>The State Discoms never filed ARR petition as per provisions specified in Conduct of Business Regulations and Tariff Regulations. It is further submitted that provisions in the Regulation are mandatory to be followed by Licensee a well as Commission.</w:t>
      </w:r>
    </w:p>
    <w:p w:rsidR="002A3AA1" w:rsidRPr="00714D83" w:rsidRDefault="00023318" w:rsidP="00EC6AAC">
      <w:pPr>
        <w:numPr>
          <w:ilvl w:val="0"/>
          <w:numId w:val="68"/>
        </w:numPr>
        <w:spacing w:before="0" w:after="200"/>
        <w:rPr>
          <w:rFonts w:cstheme="minorHAnsi"/>
        </w:rPr>
      </w:pPr>
      <w:r w:rsidRPr="00023318">
        <w:rPr>
          <w:rFonts w:cstheme="minorHAnsi"/>
        </w:rPr>
        <w:t xml:space="preserve">O&amp;M Expenses: O&amp;M expenses of the Licensees are very high as compared to the other utilities across the country, which shows Licensees’ inefficiency. </w:t>
      </w:r>
    </w:p>
    <w:p w:rsidR="002A3AA1" w:rsidRPr="00714D83" w:rsidRDefault="00023318" w:rsidP="00EC6AAC">
      <w:pPr>
        <w:numPr>
          <w:ilvl w:val="0"/>
          <w:numId w:val="68"/>
        </w:numPr>
        <w:spacing w:before="0" w:after="200"/>
        <w:rPr>
          <w:rFonts w:cstheme="minorHAnsi"/>
        </w:rPr>
      </w:pPr>
      <w:r w:rsidRPr="00023318">
        <w:rPr>
          <w:rFonts w:cstheme="minorHAnsi"/>
        </w:rPr>
        <w:lastRenderedPageBreak/>
        <w:t xml:space="preserve">The scanned copies of vital documents like category details of consumers and tariff schedule are not good for reference and hence, such information should be in word / excel format. Further, it is submitted that ARR petitions are incorrect, vague, incomplete and is not specific. </w:t>
      </w:r>
    </w:p>
    <w:p w:rsidR="002A3AA1" w:rsidRDefault="00023318" w:rsidP="002A3AA1">
      <w:pPr>
        <w:ind w:left="993"/>
        <w:rPr>
          <w:rFonts w:cstheme="minorHAnsi"/>
        </w:rPr>
      </w:pPr>
      <w:r w:rsidRPr="00023318">
        <w:rPr>
          <w:rFonts w:cstheme="minorHAnsi"/>
        </w:rPr>
        <w:t xml:space="preserve">ARR Petitions contains proposal for capital investments of more than Rs 20,000 Crore for FY 2015-16 and FY 2016-17 in respect of improvement of distribution network system but it is highly disgusting and unfortunate that the Petitioners have assumed arbitrary quantities. </w:t>
      </w:r>
    </w:p>
    <w:p w:rsidR="001022DE" w:rsidRPr="00714D83" w:rsidRDefault="001022DE" w:rsidP="002A3AA1">
      <w:pPr>
        <w:ind w:left="993"/>
        <w:rPr>
          <w:highlight w:val="yellow"/>
        </w:rPr>
      </w:pPr>
    </w:p>
    <w:p w:rsidR="002A3AA1" w:rsidRPr="00714D83" w:rsidRDefault="00023318" w:rsidP="00BA3941">
      <w:pPr>
        <w:numPr>
          <w:ilvl w:val="0"/>
          <w:numId w:val="34"/>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The Licensee submitted that opening balance of assets and year wise capitalisations as provided in the audited financial statements have been considered for truing up and Tariff purposes and the same have been approved by the independent statutory auditor as well as by CAG. The Licensee further submitted that the growth in the distribution network and consumer base is also a testimony of the large capital investment undertaken by the Licensees in the State. Hence, it cannot be denied that the capital investment has been put to beneficial use.</w:t>
      </w:r>
    </w:p>
    <w:p w:rsidR="00023318" w:rsidRPr="00023318" w:rsidRDefault="00023318" w:rsidP="00023318">
      <w:pPr>
        <w:pStyle w:val="Heading3"/>
        <w:tabs>
          <w:tab w:val="clear" w:pos="720"/>
        </w:tabs>
        <w:ind w:left="993" w:hanging="993"/>
        <w:rPr>
          <w:szCs w:val="24"/>
        </w:rPr>
      </w:pPr>
      <w:r w:rsidRPr="00023318">
        <w:rPr>
          <w:szCs w:val="24"/>
        </w:rPr>
        <w:t xml:space="preserve">The Licensee further submitted that the accounting policy in relation to fixed assets is provided as part of the Audited Accounts. However, the fixed assets are shown at the value transferred as per the second Transfer Scheme as opening balance. The Licensee submitted that all the costs relating to the acquisition and installation of fixed assets till the date of their commissioning are capitalised in the accounts. The Licensee submitted that based on this policy, the capitalisations have been accounted in Audited Accounts of each year and the statutory auditors have approved the overall balance sheet of the Licensees. Further, the Licensee submitted that even the supplementary audit report of the Auditor General of Uttar Pradesh has not found any discrepancy in this policy. However, the licensee is committed in this direction. </w:t>
      </w:r>
    </w:p>
    <w:p w:rsidR="00023318" w:rsidRPr="00023318" w:rsidRDefault="00023318" w:rsidP="00023318">
      <w:pPr>
        <w:pStyle w:val="Heading3"/>
        <w:tabs>
          <w:tab w:val="clear" w:pos="720"/>
        </w:tabs>
        <w:ind w:left="993" w:hanging="993"/>
        <w:rPr>
          <w:szCs w:val="24"/>
        </w:rPr>
      </w:pPr>
      <w:r w:rsidRPr="00023318">
        <w:rPr>
          <w:szCs w:val="24"/>
        </w:rPr>
        <w:t>The capital investment plan has been duly submitted in the ARR Petition. Finance charges have been claimed towards guarantee charges payable to banks and financial institutions, bank charges etc. The rationale for claiming bad and doubtful debts has been elaborated in the ARR Petition.</w:t>
      </w:r>
    </w:p>
    <w:p w:rsidR="00023318" w:rsidRPr="00023318" w:rsidRDefault="00023318" w:rsidP="00023318">
      <w:pPr>
        <w:pStyle w:val="Heading3"/>
        <w:tabs>
          <w:tab w:val="clear" w:pos="720"/>
        </w:tabs>
        <w:ind w:left="993" w:hanging="993"/>
        <w:rPr>
          <w:szCs w:val="24"/>
        </w:rPr>
      </w:pPr>
      <w:r w:rsidRPr="00023318">
        <w:rPr>
          <w:szCs w:val="24"/>
        </w:rPr>
        <w:lastRenderedPageBreak/>
        <w:t>The Licensee submitted that various sub-components of the ARR have been claimed by the Petitioner strictly in line with the provisions of the UPERC (Terms and Conditions of Distribution Tariff) Regulations, 2006.</w:t>
      </w:r>
    </w:p>
    <w:p w:rsidR="002A3AA1" w:rsidRPr="00714D83" w:rsidRDefault="002A3AA1" w:rsidP="002A3AA1">
      <w:pPr>
        <w:contextualSpacing/>
        <w:rPr>
          <w:rFonts w:cs="Calibri"/>
          <w:b/>
          <w:bCs/>
          <w:i/>
          <w:iCs/>
        </w:rPr>
      </w:pPr>
    </w:p>
    <w:p w:rsidR="002A3AA1" w:rsidRPr="00714D83" w:rsidRDefault="00023318" w:rsidP="00BA3941">
      <w:pPr>
        <w:pStyle w:val="ListParagraph"/>
        <w:numPr>
          <w:ilvl w:val="0"/>
          <w:numId w:val="34"/>
        </w:numPr>
        <w:spacing w:before="0" w:after="200"/>
        <w:contextualSpacing/>
        <w:rPr>
          <w:rFonts w:cs="Calibri"/>
          <w:b/>
          <w:bCs/>
          <w:i/>
          <w:iCs/>
        </w:rPr>
      </w:pPr>
      <w:r w:rsidRPr="00023318">
        <w:rPr>
          <w:rFonts w:cs="Calibri"/>
          <w:b/>
          <w:bCs/>
          <w:i/>
          <w:iCs/>
        </w:rPr>
        <w:t>The Commission’s view:</w:t>
      </w:r>
    </w:p>
    <w:p w:rsidR="00023318" w:rsidRPr="00023318" w:rsidRDefault="00023318" w:rsidP="00023318">
      <w:pPr>
        <w:pStyle w:val="Heading3"/>
        <w:tabs>
          <w:tab w:val="clear" w:pos="720"/>
        </w:tabs>
        <w:ind w:left="993" w:hanging="993"/>
        <w:rPr>
          <w:szCs w:val="24"/>
        </w:rPr>
      </w:pPr>
      <w:r w:rsidRPr="00023318">
        <w:rPr>
          <w:szCs w:val="24"/>
        </w:rPr>
        <w:t xml:space="preserve">The Commission has taken note of the objections / suggestions made by the stakeholders in this regards. The detailed analysis of various elements of ARR and True-up has been carried out by the Commission in accordance of the Distribution Tariff Regulations, 2006 and Tariff Policy as elaborated in subsequent sections of the Order. </w:t>
      </w:r>
    </w:p>
    <w:p w:rsidR="002A3AA1" w:rsidRPr="00714D83" w:rsidRDefault="002A3AA1" w:rsidP="002A3AA1">
      <w:pPr>
        <w:pStyle w:val="Heading3"/>
        <w:numPr>
          <w:ilvl w:val="0"/>
          <w:numId w:val="0"/>
        </w:numPr>
        <w:tabs>
          <w:tab w:val="clear" w:pos="720"/>
        </w:tabs>
        <w:ind w:left="1929" w:hanging="936"/>
        <w:rPr>
          <w:szCs w:val="24"/>
        </w:rPr>
      </w:pPr>
    </w:p>
    <w:p w:rsidR="00023318" w:rsidRPr="00023318" w:rsidRDefault="00023318" w:rsidP="00023318">
      <w:pPr>
        <w:pStyle w:val="Heading2"/>
        <w:spacing w:line="276" w:lineRule="auto"/>
        <w:rPr>
          <w:rFonts w:ascii="Calibri" w:hAnsi="Calibri" w:cs="Calibri"/>
        </w:rPr>
      </w:pPr>
      <w:bookmarkStart w:id="77" w:name="_Toc453506797"/>
      <w:bookmarkStart w:id="78" w:name="_Toc453522754"/>
      <w:bookmarkStart w:id="79" w:name="_Toc453506798"/>
      <w:bookmarkStart w:id="80" w:name="_Toc453522755"/>
      <w:bookmarkStart w:id="81" w:name="_Toc454277460"/>
      <w:bookmarkStart w:id="82" w:name="_Toc457355440"/>
      <w:bookmarkEnd w:id="77"/>
      <w:bookmarkEnd w:id="78"/>
      <w:bookmarkEnd w:id="79"/>
      <w:bookmarkEnd w:id="80"/>
      <w:r w:rsidRPr="00023318">
        <w:rPr>
          <w:rFonts w:ascii="Calibri" w:hAnsi="Calibri" w:cs="Calibri"/>
        </w:rPr>
        <w:t>TIME OF DAY TARIFF</w:t>
      </w:r>
      <w:bookmarkEnd w:id="81"/>
      <w:bookmarkEnd w:id="82"/>
    </w:p>
    <w:p w:rsidR="002A3AA1" w:rsidRPr="00714D83" w:rsidRDefault="002A3AA1" w:rsidP="002A3AA1">
      <w:pPr>
        <w:pStyle w:val="Heading2"/>
        <w:numPr>
          <w:ilvl w:val="0"/>
          <w:numId w:val="0"/>
        </w:numPr>
        <w:spacing w:line="276" w:lineRule="auto"/>
        <w:rPr>
          <w:rFonts w:ascii="Calibri" w:hAnsi="Calibri" w:cs="Calibri"/>
          <w:b w:val="0"/>
          <w:bCs w:val="0"/>
        </w:rPr>
      </w:pPr>
    </w:p>
    <w:p w:rsidR="002A3AA1" w:rsidRPr="00714D83" w:rsidRDefault="00023318" w:rsidP="00EC6AAC">
      <w:pPr>
        <w:numPr>
          <w:ilvl w:val="0"/>
          <w:numId w:val="69"/>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Shri Vishnu Bhagwan Agarwal Chairman, Agra Chapter, ASSOCHAM, U.P and Ashok Kumar Goyal President, National Chamber of Industries &amp; Commerce submitted that  the TOD charges may be made more consumer /Industry friendly and off peak hours should be between 22:00 PM to 7:00 AM.</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and Industries of U. P suggested following rates for TOD for HV-2 and LMV-6 tariff categories.</w:t>
      </w:r>
    </w:p>
    <w:p w:rsidR="002A3AA1" w:rsidRPr="00BC6A33" w:rsidRDefault="002A3AA1" w:rsidP="002A3AA1">
      <w:pPr>
        <w:pStyle w:val="Heading3"/>
        <w:numPr>
          <w:ilvl w:val="0"/>
          <w:numId w:val="0"/>
        </w:numPr>
        <w:tabs>
          <w:tab w:val="clear" w:pos="720"/>
        </w:tabs>
        <w:ind w:left="993"/>
        <w:rPr>
          <w:rFonts w:asciiTheme="minorHAnsi" w:hAnsiTheme="minorHAnsi"/>
          <w:szCs w:val="24"/>
        </w:rPr>
      </w:pPr>
    </w:p>
    <w:tbl>
      <w:tblPr>
        <w:tblW w:w="0" w:type="auto"/>
        <w:jc w:val="center"/>
        <w:tblInd w:w="13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047"/>
        <w:gridCol w:w="2250"/>
        <w:gridCol w:w="2610"/>
      </w:tblGrid>
      <w:tr w:rsidR="002A3AA1" w:rsidRPr="001022DE" w:rsidTr="001022DE">
        <w:trPr>
          <w:jc w:val="center"/>
        </w:trPr>
        <w:tc>
          <w:tcPr>
            <w:tcW w:w="2047" w:type="dxa"/>
            <w:shd w:val="clear" w:color="auto" w:fill="DBE5F1" w:themeFill="accent1" w:themeFillTint="33"/>
          </w:tcPr>
          <w:p w:rsidR="002A3AA1" w:rsidRPr="001022DE" w:rsidRDefault="00023318" w:rsidP="00EB02EF">
            <w:pPr>
              <w:jc w:val="center"/>
              <w:rPr>
                <w:rFonts w:asciiTheme="minorHAnsi" w:hAnsiTheme="minorHAnsi" w:cs="Calibri"/>
                <w:b/>
                <w:color w:val="000000"/>
                <w:sz w:val="22"/>
              </w:rPr>
            </w:pPr>
            <w:r w:rsidRPr="00023318">
              <w:rPr>
                <w:rFonts w:asciiTheme="minorHAnsi" w:hAnsiTheme="minorHAnsi" w:cs="Calibri"/>
                <w:b/>
                <w:color w:val="000000"/>
                <w:sz w:val="22"/>
              </w:rPr>
              <w:t>Time hrs.</w:t>
            </w:r>
          </w:p>
        </w:tc>
        <w:tc>
          <w:tcPr>
            <w:tcW w:w="2250" w:type="dxa"/>
            <w:shd w:val="clear" w:color="auto" w:fill="DBE5F1" w:themeFill="accent1" w:themeFillTint="33"/>
          </w:tcPr>
          <w:p w:rsidR="002A3AA1" w:rsidRPr="001022DE" w:rsidRDefault="00023318" w:rsidP="00EB02EF">
            <w:pPr>
              <w:jc w:val="center"/>
              <w:rPr>
                <w:rFonts w:asciiTheme="minorHAnsi" w:hAnsiTheme="minorHAnsi" w:cs="Calibri"/>
                <w:b/>
                <w:color w:val="000000"/>
                <w:sz w:val="22"/>
              </w:rPr>
            </w:pPr>
            <w:r w:rsidRPr="00023318">
              <w:rPr>
                <w:rFonts w:asciiTheme="minorHAnsi" w:hAnsiTheme="minorHAnsi" w:cs="Calibri"/>
                <w:b/>
                <w:color w:val="000000"/>
                <w:sz w:val="22"/>
              </w:rPr>
              <w:t>Proposed TOD Rate</w:t>
            </w:r>
          </w:p>
        </w:tc>
        <w:tc>
          <w:tcPr>
            <w:tcW w:w="2610" w:type="dxa"/>
            <w:shd w:val="clear" w:color="auto" w:fill="DBE5F1" w:themeFill="accent1" w:themeFillTint="33"/>
          </w:tcPr>
          <w:p w:rsidR="002A3AA1" w:rsidRPr="001022DE" w:rsidRDefault="00023318" w:rsidP="00EB02EF">
            <w:pPr>
              <w:jc w:val="center"/>
              <w:rPr>
                <w:rFonts w:asciiTheme="minorHAnsi" w:hAnsiTheme="minorHAnsi" w:cs="Calibri"/>
                <w:b/>
                <w:color w:val="000000"/>
                <w:sz w:val="22"/>
              </w:rPr>
            </w:pPr>
            <w:r w:rsidRPr="00023318">
              <w:rPr>
                <w:rFonts w:asciiTheme="minorHAnsi" w:hAnsiTheme="minorHAnsi" w:cs="Calibri"/>
                <w:b/>
                <w:color w:val="000000"/>
                <w:sz w:val="22"/>
              </w:rPr>
              <w:t>Suggestive TOD Rate</w:t>
            </w:r>
          </w:p>
        </w:tc>
      </w:tr>
      <w:tr w:rsidR="002A3AA1" w:rsidRPr="001022DE" w:rsidTr="00EB02EF">
        <w:trPr>
          <w:jc w:val="center"/>
        </w:trPr>
        <w:tc>
          <w:tcPr>
            <w:tcW w:w="2047" w:type="dxa"/>
            <w:shd w:val="clear" w:color="auto" w:fill="auto"/>
          </w:tcPr>
          <w:p w:rsidR="002A3AA1" w:rsidRPr="001022DE" w:rsidRDefault="00023318" w:rsidP="00EB02EF">
            <w:pPr>
              <w:rPr>
                <w:rFonts w:asciiTheme="minorHAnsi" w:hAnsiTheme="minorHAnsi" w:cs="Calibri"/>
                <w:color w:val="000000"/>
                <w:sz w:val="22"/>
              </w:rPr>
            </w:pPr>
            <w:r w:rsidRPr="00023318">
              <w:rPr>
                <w:rFonts w:asciiTheme="minorHAnsi" w:hAnsiTheme="minorHAnsi" w:cs="Calibri"/>
                <w:color w:val="000000"/>
                <w:sz w:val="22"/>
              </w:rPr>
              <w:t>22.00 to 06.00</w:t>
            </w:r>
          </w:p>
        </w:tc>
        <w:tc>
          <w:tcPr>
            <w:tcW w:w="225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(-)7.5%</w:t>
            </w:r>
          </w:p>
        </w:tc>
        <w:tc>
          <w:tcPr>
            <w:tcW w:w="261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(-)10%</w:t>
            </w:r>
          </w:p>
        </w:tc>
      </w:tr>
      <w:tr w:rsidR="002A3AA1" w:rsidRPr="001022DE" w:rsidTr="00EB02EF">
        <w:trPr>
          <w:jc w:val="center"/>
        </w:trPr>
        <w:tc>
          <w:tcPr>
            <w:tcW w:w="2047" w:type="dxa"/>
            <w:shd w:val="clear" w:color="auto" w:fill="auto"/>
          </w:tcPr>
          <w:p w:rsidR="002A3AA1" w:rsidRPr="001022DE" w:rsidRDefault="00023318" w:rsidP="00EB02EF">
            <w:pPr>
              <w:rPr>
                <w:rFonts w:asciiTheme="minorHAnsi" w:hAnsiTheme="minorHAnsi" w:cs="Calibri"/>
                <w:color w:val="000000"/>
                <w:sz w:val="22"/>
              </w:rPr>
            </w:pPr>
            <w:r w:rsidRPr="00023318">
              <w:rPr>
                <w:rFonts w:asciiTheme="minorHAnsi" w:hAnsiTheme="minorHAnsi" w:cs="Calibri"/>
                <w:color w:val="000000"/>
                <w:sz w:val="22"/>
              </w:rPr>
              <w:t>06.00 to 17.00</w:t>
            </w:r>
          </w:p>
        </w:tc>
        <w:tc>
          <w:tcPr>
            <w:tcW w:w="225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0.0%</w:t>
            </w:r>
          </w:p>
        </w:tc>
        <w:tc>
          <w:tcPr>
            <w:tcW w:w="261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0.0%</w:t>
            </w:r>
          </w:p>
        </w:tc>
      </w:tr>
      <w:tr w:rsidR="002A3AA1" w:rsidRPr="001022DE" w:rsidTr="00EB02EF">
        <w:trPr>
          <w:jc w:val="center"/>
        </w:trPr>
        <w:tc>
          <w:tcPr>
            <w:tcW w:w="2047" w:type="dxa"/>
            <w:shd w:val="clear" w:color="auto" w:fill="auto"/>
          </w:tcPr>
          <w:p w:rsidR="002A3AA1" w:rsidRPr="001022DE" w:rsidRDefault="00023318" w:rsidP="00EB02EF">
            <w:pPr>
              <w:rPr>
                <w:rFonts w:asciiTheme="minorHAnsi" w:hAnsiTheme="minorHAnsi" w:cs="Calibri"/>
                <w:color w:val="000000"/>
                <w:sz w:val="22"/>
              </w:rPr>
            </w:pPr>
            <w:r w:rsidRPr="00023318">
              <w:rPr>
                <w:rFonts w:asciiTheme="minorHAnsi" w:hAnsiTheme="minorHAnsi" w:cs="Calibri"/>
                <w:color w:val="000000"/>
                <w:sz w:val="22"/>
              </w:rPr>
              <w:t>17.00 to 22.00</w:t>
            </w:r>
          </w:p>
        </w:tc>
        <w:tc>
          <w:tcPr>
            <w:tcW w:w="225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(+)15%</w:t>
            </w:r>
          </w:p>
        </w:tc>
        <w:tc>
          <w:tcPr>
            <w:tcW w:w="2610" w:type="dxa"/>
            <w:shd w:val="clear" w:color="auto" w:fill="auto"/>
          </w:tcPr>
          <w:p w:rsidR="002A3AA1" w:rsidRPr="001022DE" w:rsidRDefault="00023318" w:rsidP="00EB02EF">
            <w:pPr>
              <w:jc w:val="center"/>
              <w:rPr>
                <w:rFonts w:asciiTheme="minorHAnsi" w:hAnsiTheme="minorHAnsi" w:cs="Calibri"/>
                <w:color w:val="000000"/>
                <w:sz w:val="22"/>
              </w:rPr>
            </w:pPr>
            <w:r w:rsidRPr="00023318">
              <w:rPr>
                <w:rFonts w:asciiTheme="minorHAnsi" w:hAnsiTheme="minorHAnsi" w:cs="Calibri"/>
                <w:color w:val="000000"/>
                <w:sz w:val="22"/>
              </w:rPr>
              <w:t>(+)10%</w:t>
            </w:r>
          </w:p>
        </w:tc>
      </w:tr>
    </w:tbl>
    <w:p w:rsidR="002A3AA1" w:rsidRPr="00BC6A33" w:rsidRDefault="002A3AA1" w:rsidP="002A3AA1">
      <w:pPr>
        <w:pStyle w:val="Heading3"/>
        <w:numPr>
          <w:ilvl w:val="0"/>
          <w:numId w:val="0"/>
        </w:numPr>
        <w:tabs>
          <w:tab w:val="clear" w:pos="720"/>
        </w:tabs>
        <w:rPr>
          <w:rFonts w:asciiTheme="minorHAnsi" w:hAnsiTheme="minorHAnsi"/>
          <w:szCs w:val="24"/>
        </w:rPr>
      </w:pPr>
    </w:p>
    <w:p w:rsidR="00023318" w:rsidRPr="00023318" w:rsidRDefault="00023318" w:rsidP="00023318">
      <w:pPr>
        <w:pStyle w:val="Heading3"/>
        <w:tabs>
          <w:tab w:val="clear" w:pos="720"/>
        </w:tabs>
        <w:ind w:left="993" w:hanging="993"/>
        <w:rPr>
          <w:szCs w:val="24"/>
        </w:rPr>
      </w:pPr>
      <w:r w:rsidRPr="00023318">
        <w:rPr>
          <w:szCs w:val="24"/>
        </w:rPr>
        <w:t xml:space="preserve">Shri Sudhir Chandra Goyal, M/s Khatauli Cold Storage submitted that the proposal for cold storage under HV-2 category which is proposed to be without TOD slabs may be adopted for cold storage under LMV-6 tariff Category.  </w:t>
      </w:r>
    </w:p>
    <w:p w:rsidR="00023318" w:rsidRPr="00023318" w:rsidRDefault="00023318" w:rsidP="00023318">
      <w:pPr>
        <w:pStyle w:val="Heading3"/>
        <w:tabs>
          <w:tab w:val="clear" w:pos="720"/>
        </w:tabs>
        <w:ind w:left="993" w:hanging="993"/>
        <w:rPr>
          <w:szCs w:val="24"/>
        </w:rPr>
      </w:pPr>
      <w:r w:rsidRPr="00023318">
        <w:rPr>
          <w:szCs w:val="24"/>
        </w:rPr>
        <w:lastRenderedPageBreak/>
        <w:t>Aligarh Furnace &amp; Rolling Mill Association submitted that the electricity tariff should be reduced up to 50% to 60 % during night hours as power is available at Rs 2 per Unit in exchanges.</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69"/>
        </w:numPr>
        <w:spacing w:before="0"/>
        <w:contextualSpacing/>
        <w:rPr>
          <w:rFonts w:cs="Calibri"/>
          <w:b/>
          <w:bCs/>
          <w:i/>
          <w:iCs/>
        </w:rPr>
      </w:pPr>
      <w:r w:rsidRPr="00023318">
        <w:rPr>
          <w:rFonts w:cs="Calibri"/>
          <w:b/>
          <w:bCs/>
          <w:i/>
          <w:iCs/>
        </w:rPr>
        <w:t>Petitioner’s Response</w:t>
      </w:r>
    </w:p>
    <w:p w:rsidR="002A3AA1" w:rsidRPr="00714D83" w:rsidRDefault="00023318" w:rsidP="002A3AA1">
      <w:pPr>
        <w:pStyle w:val="ListParagraph"/>
        <w:ind w:left="360"/>
        <w:rPr>
          <w:rFonts w:cs="Arial"/>
          <w:bCs/>
        </w:rPr>
      </w:pPr>
      <w:r w:rsidRPr="00023318">
        <w:rPr>
          <w:rFonts w:cs="Arial"/>
          <w:bCs/>
        </w:rPr>
        <w:t xml:space="preserve">The Licensee submitted that no revision in the TOD structure has been proposed in the instant petition. </w:t>
      </w:r>
    </w:p>
    <w:p w:rsidR="001022DE" w:rsidRPr="00714D83" w:rsidRDefault="001022DE"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69"/>
        </w:numPr>
        <w:spacing w:before="0"/>
        <w:contextualSpacing/>
        <w:rPr>
          <w:b/>
          <w:i/>
        </w:rPr>
      </w:pPr>
      <w:r w:rsidRPr="00023318">
        <w:rPr>
          <w:b/>
          <w:i/>
        </w:rPr>
        <w:t>The Commission’s view:</w:t>
      </w:r>
    </w:p>
    <w:p w:rsidR="00023318" w:rsidRPr="00023318" w:rsidRDefault="00023318" w:rsidP="00023318">
      <w:pPr>
        <w:pStyle w:val="Heading3"/>
        <w:tabs>
          <w:tab w:val="clear" w:pos="720"/>
        </w:tabs>
        <w:ind w:left="993" w:hanging="993"/>
        <w:rPr>
          <w:szCs w:val="24"/>
        </w:rPr>
      </w:pPr>
      <w:r w:rsidRPr="00023318">
        <w:rPr>
          <w:szCs w:val="24"/>
        </w:rPr>
        <w:t>The Commission has taken note of the above objections / suggestions given by the stakeholders in this regard. The detailed design for TOD Tariff has been further, discussed in Chapter on Tariff Philosophy and the Rate Schedule provided subsequently in this Order.</w:t>
      </w:r>
    </w:p>
    <w:p w:rsidR="002A3AA1" w:rsidRPr="00714D83" w:rsidRDefault="002A3AA1" w:rsidP="002A3AA1">
      <w:pPr>
        <w:pStyle w:val="Heading3"/>
        <w:numPr>
          <w:ilvl w:val="0"/>
          <w:numId w:val="0"/>
        </w:numPr>
        <w:ind w:left="1929" w:hanging="936"/>
        <w:rPr>
          <w:szCs w:val="24"/>
        </w:rPr>
      </w:pPr>
    </w:p>
    <w:p w:rsidR="00023318" w:rsidRPr="00023318" w:rsidRDefault="00023318" w:rsidP="00023318">
      <w:pPr>
        <w:pStyle w:val="Heading2"/>
        <w:spacing w:line="276" w:lineRule="auto"/>
        <w:rPr>
          <w:rFonts w:ascii="Calibri" w:hAnsi="Calibri"/>
        </w:rPr>
      </w:pPr>
      <w:bookmarkStart w:id="83" w:name="_Toc454277461"/>
      <w:bookmarkStart w:id="84" w:name="_Toc457355441"/>
      <w:r w:rsidRPr="00023318">
        <w:rPr>
          <w:rFonts w:ascii="Calibri" w:hAnsi="Calibri"/>
        </w:rPr>
        <w:t>REGULATORY SURCHARGE</w:t>
      </w:r>
      <w:bookmarkEnd w:id="83"/>
      <w:bookmarkEnd w:id="84"/>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70"/>
        </w:numPr>
        <w:spacing w:before="0"/>
        <w:contextualSpacing/>
        <w:rPr>
          <w:b/>
          <w:i/>
        </w:rPr>
      </w:pPr>
      <w:r w:rsidRPr="00023318">
        <w:rPr>
          <w:b/>
          <w:i/>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Shri Vishnu Bhagwan Agarwal Chairman, Agra Chapter, ASSOCHAM, U.P and Ashok Kumar Goyal President, National Chamber of Industries &amp; Commerce submitted that the regulatory surcharge has to be a non- repetitive temporary surcharge and to be imposed in extra ordinary circumstances only. This regulatory surcharge has become permanent feature of ARR and Discoms are deliberately taking advantage of this.</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&amp; Industries of U. P submitted that the collection amount figures of RS-1 and RS-2 has to be submitted by Discoms.</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&amp; Industries of U. P submitted that the imposition of Regulatory Surcharge additionally on total amount results in addition of 0.50 paisa per unit in the electricity bill. The regulatory surcharge so imposed on the electricity consumers are against the alleged accumulated losses of the Discoms from past 8 years, which is irrational &amp; unjustified.  Hence, it is suggested to meet out such alleged accumulated losses of the Discoms by way of direct state subsidy, instead of passing the burden on the consumers.</w:t>
      </w:r>
    </w:p>
    <w:p w:rsidR="00023318" w:rsidRPr="00023318" w:rsidRDefault="00023318" w:rsidP="00023318">
      <w:pPr>
        <w:pStyle w:val="Heading3"/>
        <w:tabs>
          <w:tab w:val="clear" w:pos="720"/>
        </w:tabs>
        <w:ind w:left="993" w:hanging="993"/>
        <w:rPr>
          <w:szCs w:val="24"/>
        </w:rPr>
      </w:pPr>
      <w:r w:rsidRPr="00023318">
        <w:rPr>
          <w:szCs w:val="24"/>
        </w:rPr>
        <w:lastRenderedPageBreak/>
        <w:t>Shri K. L. Aggarwal chairman Associate Chambers of Commerce &amp; Industries of U. P submitted that Commission’s Order dated June 06, 2014 in regard to levy of 2.84% of Regulatory Surcharge (RS) has been implemented without any notice to the public. Further, vide the Commission’s Tariff Order dated October 01, 2014 levy of additional Regulatory Surcharge @ 2.38% is made applicable. As a result thereof the period from 06/06/2014 to 11/10/2014 remains un-notified by UPPCL. Stakeholder further submitted that realization of Regulatory Surcharge @ 2.84% is not incompliance of rule 139 of UPERC conduct of business Regulations 2004. Stakeholder requested to refund the entire amount so realized in RS @ 2.84% to all consumers.</w:t>
      </w:r>
    </w:p>
    <w:p w:rsidR="00023318" w:rsidRPr="00023318" w:rsidRDefault="00023318" w:rsidP="00023318">
      <w:pPr>
        <w:pStyle w:val="Heading3"/>
        <w:tabs>
          <w:tab w:val="clear" w:pos="720"/>
        </w:tabs>
        <w:ind w:left="993" w:hanging="993"/>
        <w:rPr>
          <w:szCs w:val="24"/>
        </w:rPr>
      </w:pPr>
      <w:r w:rsidRPr="00023318">
        <w:rPr>
          <w:szCs w:val="24"/>
        </w:rPr>
        <w:t xml:space="preserve">The Mahabir Jute Mills Ltd. and Shri K. L. Aggarwal chairman Associate Chambers of Commerce &amp; Industries submitted that the Commission’s Order to stop charging regulatory Surcharge-1 from April 2016 is not followed till May 2016, which is the clear violation of rule 139 of Conduct of Business Regulations. Therefore, differential amount with interest thereof must be refunded to the relative consumer by the Discoms. </w:t>
      </w:r>
    </w:p>
    <w:p w:rsidR="00023318" w:rsidRPr="00023318" w:rsidRDefault="00023318" w:rsidP="00023318">
      <w:pPr>
        <w:pStyle w:val="Heading3"/>
        <w:tabs>
          <w:tab w:val="clear" w:pos="720"/>
        </w:tabs>
        <w:ind w:left="993" w:hanging="993"/>
        <w:rPr>
          <w:szCs w:val="24"/>
        </w:rPr>
      </w:pPr>
      <w:r w:rsidRPr="00023318">
        <w:rPr>
          <w:szCs w:val="24"/>
        </w:rPr>
        <w:t xml:space="preserve">Shri Avadhesh Kumar, Chairman, Uttar Pradesh Rajya Vidyut Upbhoktha Parishad submitted that as per UDAY scheme launched by GOI, net loss for UPPCL is Rs.70738 Crore out of which bank loan is Rs.53211 Crore.  As per UDAY scheme guidelines 75% of the loan will be taken over by GoUP, so it’s not justified to levy Regulatory Surcharge i.e. 4.28% which is continuing year on year on the verge of losses. Stakeholder further requested the Commission to abolish Regulatory Surcharge.  </w:t>
      </w:r>
    </w:p>
    <w:p w:rsidR="00023318" w:rsidRPr="00023318" w:rsidRDefault="00023318" w:rsidP="00023318">
      <w:pPr>
        <w:pStyle w:val="Heading3"/>
        <w:tabs>
          <w:tab w:val="clear" w:pos="720"/>
        </w:tabs>
        <w:ind w:left="993" w:hanging="993"/>
        <w:rPr>
          <w:szCs w:val="24"/>
        </w:rPr>
      </w:pPr>
      <w:r w:rsidRPr="00023318">
        <w:rPr>
          <w:szCs w:val="24"/>
        </w:rPr>
        <w:t>Shri Niraj Khandelwal, B.L. Agro Oils Limited and Shri Rahul Agarwal Director (Operations), Vacmet India Ltd. submitted that Regulatory Surcharge is being levied by Discoms on consumers to cover-up there earlier gaps. If a consumer is not having any arrear on his service it means that he has paid all his electricity bills on time. If a consumer have paid all the bills which are raised by Discoms regularly then why he has to pay the Regulatory Surcharge, which is demanded by Discoms for their past losses Hence, it is requested before the commission to abolish the Regulatory Surcharge.</w:t>
      </w:r>
    </w:p>
    <w:p w:rsidR="00023318" w:rsidRPr="00023318" w:rsidRDefault="00023318" w:rsidP="00023318">
      <w:pPr>
        <w:pStyle w:val="Heading3"/>
        <w:tabs>
          <w:tab w:val="clear" w:pos="720"/>
        </w:tabs>
        <w:ind w:left="993" w:hanging="993"/>
        <w:rPr>
          <w:szCs w:val="24"/>
        </w:rPr>
      </w:pPr>
      <w:r w:rsidRPr="00023318">
        <w:rPr>
          <w:szCs w:val="24"/>
        </w:rPr>
        <w:t>Shri Vishnu Bhagwan Agarwal Chairman, Agra Chapter, ASSOCHAM, U.P suggested that no regulatory surcharge should be levied unless the Discoms submit ARR petition on time and achieve 100% metering.</w:t>
      </w:r>
    </w:p>
    <w:p w:rsidR="00023318" w:rsidRPr="00023318" w:rsidRDefault="00023318" w:rsidP="00023318">
      <w:pPr>
        <w:pStyle w:val="Heading3"/>
        <w:tabs>
          <w:tab w:val="clear" w:pos="720"/>
        </w:tabs>
        <w:ind w:left="993" w:hanging="993"/>
        <w:rPr>
          <w:szCs w:val="24"/>
        </w:rPr>
      </w:pPr>
      <w:r w:rsidRPr="00023318">
        <w:rPr>
          <w:szCs w:val="24"/>
        </w:rPr>
        <w:lastRenderedPageBreak/>
        <w:t>Shri Rama Shanker Awasthi submitted that the State Discoms must provide information, pertaining to collection of Regulatory Surcharge-1 and Regulatory Surcharge-2, consumer category /sub-category wise. The Commission issued a direction to the State Discoms to submit year wise collection of Regulatory Surcharge-1 and Regulatory Surcharge-2 but the details are not submitted by the State Discoms till date.</w:t>
      </w:r>
    </w:p>
    <w:p w:rsidR="001022DE" w:rsidRPr="00714D83" w:rsidRDefault="001022DE" w:rsidP="002A3AA1">
      <w:pPr>
        <w:pStyle w:val="Heading3"/>
        <w:numPr>
          <w:ilvl w:val="0"/>
          <w:numId w:val="0"/>
        </w:numPr>
        <w:tabs>
          <w:tab w:val="clear" w:pos="720"/>
        </w:tabs>
        <w:ind w:left="993"/>
        <w:rPr>
          <w:szCs w:val="24"/>
        </w:rPr>
      </w:pPr>
    </w:p>
    <w:p w:rsidR="002A3AA1" w:rsidRPr="00714D83" w:rsidRDefault="00023318" w:rsidP="00EC6AAC">
      <w:pPr>
        <w:numPr>
          <w:ilvl w:val="0"/>
          <w:numId w:val="70"/>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Clause 6.12 of the UPERC (Terms and Conditions of Distribution Tariff) Regulations, 2006 provides:</w:t>
      </w:r>
    </w:p>
    <w:p w:rsidR="002A3AA1" w:rsidRPr="00714D83" w:rsidRDefault="00023318" w:rsidP="002A3AA1">
      <w:pPr>
        <w:pStyle w:val="Heading3"/>
        <w:numPr>
          <w:ilvl w:val="0"/>
          <w:numId w:val="0"/>
        </w:numPr>
        <w:tabs>
          <w:tab w:val="clear" w:pos="720"/>
        </w:tabs>
        <w:ind w:left="1440"/>
        <w:rPr>
          <w:i/>
          <w:szCs w:val="24"/>
        </w:rPr>
      </w:pPr>
      <w:r w:rsidRPr="00023318">
        <w:rPr>
          <w:i/>
          <w:szCs w:val="24"/>
        </w:rPr>
        <w:t>“1. Creation of Regulatory Asset only for the purposes of avoiding tariff increase shall not be allowed and it shall only be created to take care of natural causes or force majeure conditions or major tariff shocks. The Commission shall have the discretion of providing regulatory asset.</w:t>
      </w:r>
    </w:p>
    <w:p w:rsidR="002A3AA1" w:rsidRPr="00714D83" w:rsidRDefault="00023318" w:rsidP="002A3AA1">
      <w:pPr>
        <w:pStyle w:val="Heading3"/>
        <w:numPr>
          <w:ilvl w:val="0"/>
          <w:numId w:val="0"/>
        </w:numPr>
        <w:tabs>
          <w:tab w:val="clear" w:pos="720"/>
        </w:tabs>
        <w:ind w:left="1440"/>
        <w:rPr>
          <w:i/>
          <w:szCs w:val="24"/>
        </w:rPr>
      </w:pPr>
      <w:r w:rsidRPr="00023318">
        <w:rPr>
          <w:i/>
          <w:szCs w:val="24"/>
        </w:rPr>
        <w:t xml:space="preserve">2. The use of the facility of Regulatory Asset shall not be repetitive. </w:t>
      </w:r>
    </w:p>
    <w:p w:rsidR="002A3AA1" w:rsidRPr="00714D83" w:rsidRDefault="00023318" w:rsidP="002A3AA1">
      <w:pPr>
        <w:pStyle w:val="Heading3"/>
        <w:numPr>
          <w:ilvl w:val="0"/>
          <w:numId w:val="0"/>
        </w:numPr>
        <w:tabs>
          <w:tab w:val="clear" w:pos="720"/>
        </w:tabs>
        <w:ind w:left="1440"/>
        <w:rPr>
          <w:i/>
          <w:szCs w:val="24"/>
        </w:rPr>
      </w:pPr>
      <w:r w:rsidRPr="00023318">
        <w:rPr>
          <w:i/>
          <w:szCs w:val="24"/>
        </w:rPr>
        <w:t>3. Depending on the amount of Regulatory Asset accepted by the Commission, the Commission shall stipulate the amortization and financing of such assets. Regulatory Asset shall be recovered within a period not exceeding three years immediately following the year in which it is created.”</w:t>
      </w:r>
    </w:p>
    <w:p w:rsidR="00023318" w:rsidRPr="00023318" w:rsidRDefault="00023318" w:rsidP="00023318">
      <w:pPr>
        <w:pStyle w:val="Heading3"/>
        <w:tabs>
          <w:tab w:val="clear" w:pos="720"/>
        </w:tabs>
        <w:ind w:left="993" w:hanging="993"/>
        <w:rPr>
          <w:szCs w:val="24"/>
        </w:rPr>
      </w:pPr>
      <w:r w:rsidRPr="00023318">
        <w:rPr>
          <w:szCs w:val="24"/>
        </w:rPr>
        <w:t>The Licensee submitted that the regulatory asset had been created by the Commission towards unrecovered gap pursuant to the final true ups based on audited accounts. Thus, the regulatory surcharge is valid in law and is in accordance with the Distribution Tariff Regulations, 2006 and is being charged subsequent to the Orders of the Commission.</w:t>
      </w:r>
    </w:p>
    <w:p w:rsidR="00023318" w:rsidRPr="00023318" w:rsidRDefault="00023318" w:rsidP="00023318">
      <w:pPr>
        <w:pStyle w:val="Heading3"/>
        <w:tabs>
          <w:tab w:val="clear" w:pos="720"/>
        </w:tabs>
        <w:ind w:left="993" w:hanging="993"/>
        <w:rPr>
          <w:szCs w:val="24"/>
        </w:rPr>
      </w:pPr>
      <w:r w:rsidRPr="00023318">
        <w:rPr>
          <w:szCs w:val="24"/>
        </w:rPr>
        <w:t>Regarding capturing of the regulatory surcharge data separately, the Licensee submitted that the data from field units is being collected.</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70"/>
        </w:numPr>
        <w:spacing w:before="0"/>
        <w:contextualSpacing/>
        <w:rPr>
          <w:b/>
          <w:i/>
        </w:rPr>
      </w:pPr>
      <w:r w:rsidRPr="00023318">
        <w:rPr>
          <w:b/>
          <w:i/>
        </w:rPr>
        <w:t>The Commission’s view:</w:t>
      </w:r>
    </w:p>
    <w:p w:rsidR="00023318" w:rsidRPr="00023318" w:rsidRDefault="00023318" w:rsidP="00023318">
      <w:pPr>
        <w:pStyle w:val="Heading3"/>
        <w:tabs>
          <w:tab w:val="clear" w:pos="720"/>
        </w:tabs>
        <w:ind w:left="993" w:hanging="993"/>
        <w:rPr>
          <w:szCs w:val="24"/>
        </w:rPr>
      </w:pPr>
      <w:r w:rsidRPr="00023318">
        <w:rPr>
          <w:szCs w:val="24"/>
        </w:rPr>
        <w:t xml:space="preserve">The Commission has taken note of the above objections / suggestions given by the stakeholders in this regard. The Commission would like to clarify that the recovery of Regulatory Surcharge allowed is towards the unrecovered gap allowed by the Commission based on truing up carried out after prudence check and not towards the entire losses of the Distribution Licensees. The matter of accounting of </w:t>
      </w:r>
      <w:r w:rsidRPr="00023318">
        <w:rPr>
          <w:szCs w:val="24"/>
        </w:rPr>
        <w:lastRenderedPageBreak/>
        <w:t>Regulatory surcharge is of great concern to the Commission and accordingly, the Commission deficiency note dated January 29, 2016 directed the Licensees to submit details regarding Regulatory Surcharge. The Commission has also issued a separate Order on April 18, 2016 “Suo-Moto Proceedings in the matter of Regulatory Surcharge” and directed Licensees to stop the collection of Regulatory Surcharge-1 after March 31 2016. The Commission has also discussed this issue in detail subsequently in this Order.</w:t>
      </w:r>
    </w:p>
    <w:p w:rsidR="002A3AA1" w:rsidRPr="00714D83" w:rsidRDefault="002A3AA1" w:rsidP="002A3AA1">
      <w:pPr>
        <w:rPr>
          <w:rFonts w:cs="Calibri"/>
        </w:rPr>
      </w:pPr>
    </w:p>
    <w:p w:rsidR="00023318" w:rsidRPr="00023318" w:rsidRDefault="00023318" w:rsidP="00023318">
      <w:pPr>
        <w:pStyle w:val="Heading2"/>
        <w:spacing w:line="276" w:lineRule="auto"/>
        <w:rPr>
          <w:rFonts w:ascii="Calibri" w:hAnsi="Calibri"/>
        </w:rPr>
      </w:pPr>
      <w:bookmarkStart w:id="85" w:name="_Toc454277462"/>
      <w:bookmarkStart w:id="86" w:name="_Toc457355442"/>
      <w:r w:rsidRPr="00023318">
        <w:rPr>
          <w:rFonts w:ascii="Calibri" w:hAnsi="Calibri"/>
        </w:rPr>
        <w:t>HIGH COST OF ELECTRICITY</w:t>
      </w:r>
      <w:bookmarkEnd w:id="85"/>
      <w:bookmarkEnd w:id="86"/>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71"/>
        </w:numPr>
        <w:spacing w:before="0"/>
        <w:contextualSpacing/>
        <w:rPr>
          <w:b/>
          <w:i/>
        </w:rPr>
      </w:pPr>
      <w:r w:rsidRPr="00023318">
        <w:rPr>
          <w:b/>
          <w:i/>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Shri Vishnu Bhagwan Agarwal Chairman, Agra Chapter, ASSOCHAM, U.P submitted that high cost of electricity in Uttar Pradesh is making Industrial products un-competitive.</w:t>
      </w:r>
    </w:p>
    <w:p w:rsidR="00023318" w:rsidRPr="00023318" w:rsidRDefault="00023318" w:rsidP="00023318">
      <w:pPr>
        <w:pStyle w:val="Heading3"/>
        <w:tabs>
          <w:tab w:val="clear" w:pos="720"/>
        </w:tabs>
        <w:ind w:left="993" w:hanging="993"/>
        <w:rPr>
          <w:szCs w:val="24"/>
        </w:rPr>
      </w:pPr>
      <w:r w:rsidRPr="00023318">
        <w:rPr>
          <w:szCs w:val="24"/>
        </w:rPr>
        <w:t xml:space="preserve">North Central Railway submitted that the traction tariff should not be further hiked and existing traction tariff for the Railway should be brought down to a reasonable level by determining category-wise voltage-wise cost of Supply, cross subsidy and further, ensuring direct subsidy to be borne by the State Government in line with Electricity Act 2003, Section 60 (g) 65 &amp; Para 8.3 of National Tariff policy. North Central Railway further submitted that Railway Traction Tariff should not be more than HT industrial category HV-2 i.e. other bulk supply tariff category, in line with Article 287 of the Constitution of India. </w:t>
      </w:r>
    </w:p>
    <w:p w:rsidR="00023318" w:rsidRPr="00023318" w:rsidRDefault="00023318" w:rsidP="00023318">
      <w:pPr>
        <w:pStyle w:val="Heading3"/>
        <w:tabs>
          <w:tab w:val="clear" w:pos="720"/>
        </w:tabs>
        <w:ind w:left="993" w:hanging="993"/>
        <w:rPr>
          <w:szCs w:val="24"/>
        </w:rPr>
      </w:pPr>
      <w:r w:rsidRPr="00023318">
        <w:rPr>
          <w:szCs w:val="24"/>
        </w:rPr>
        <w:t>Shri Naveen Gupta Manager Rimjhim Ispat Ltd., M/s Kanpur Fertilizer &amp; Cement Limited and M/s Ambika Steel submitted that higher industrial tariff and uncertain power availability in UP is adversely affecting the commercial viability of industries. It is suggested that affordable and reasonable industrial tariff maybe declared in the State to promote the industries.</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&amp; Industries of Muzaffarnagar, U. P submitted that there is continue general recession in the industries particularly. Due to the un-precedent increase in the energy rates i.e., approx. 45% to 50% w.e.f. 1</w:t>
      </w:r>
      <w:r w:rsidRPr="00023318">
        <w:rPr>
          <w:szCs w:val="24"/>
          <w:vertAlign w:val="superscript"/>
        </w:rPr>
        <w:t>st</w:t>
      </w:r>
      <w:r w:rsidRPr="00023318">
        <w:rPr>
          <w:szCs w:val="24"/>
        </w:rPr>
        <w:t xml:space="preserve"> Nov 2012, most of the furnace industries in U.P. have been closed during the period from 2013 to 2015.Further, the stakeholder submitted that present existing rates of energy charges for HV-2 category of consumers deserve to be reduced at least by 8% to 10%. </w:t>
      </w:r>
    </w:p>
    <w:p w:rsidR="00023318" w:rsidRPr="00023318" w:rsidRDefault="00023318" w:rsidP="00023318">
      <w:pPr>
        <w:pStyle w:val="Heading3"/>
        <w:tabs>
          <w:tab w:val="clear" w:pos="720"/>
        </w:tabs>
        <w:ind w:left="993" w:hanging="993"/>
        <w:rPr>
          <w:szCs w:val="24"/>
        </w:rPr>
      </w:pPr>
      <w:r w:rsidRPr="00023318">
        <w:rPr>
          <w:szCs w:val="24"/>
        </w:rPr>
        <w:lastRenderedPageBreak/>
        <w:t xml:space="preserve"> Shri Rahul Agarwal Director Manager (Operations), Vacmet India Ltd. Submitted that the electricity tariff for surrounding states like Rajasthan, Madhya Pradesh, Uttarakhand etc. are quite reasonable, low &amp; supportive to the Industries. Difference of even Rs. 1.00 / unit makes huge difference in cost of production so far as bulk power is concerned. Therefore, it is requested to rationalize the tariff with the surrounding States.</w:t>
      </w:r>
    </w:p>
    <w:p w:rsidR="00023318" w:rsidRPr="00023318" w:rsidRDefault="00023318" w:rsidP="00023318">
      <w:pPr>
        <w:pStyle w:val="Heading3"/>
        <w:tabs>
          <w:tab w:val="clear" w:pos="720"/>
        </w:tabs>
        <w:ind w:left="993" w:hanging="993"/>
        <w:rPr>
          <w:szCs w:val="24"/>
        </w:rPr>
      </w:pPr>
      <w:r w:rsidRPr="00023318">
        <w:rPr>
          <w:szCs w:val="24"/>
        </w:rPr>
        <w:t>Shri Akarsh Garg, Advocate for Indian Industries Association, submitted that the distribution utilities have been enshrined with the duty of supplying electricity to consumers on the basis of cost of supply of electricity for each category of consumers. The Industrial consumers are being made to pay higher cost to cross-subsidize the tariff of other categories, which is contrary to the objective of Electricity Act, 2003 principles enshrined under Section 61 of the Act of 2003 and Tariff policy.</w:t>
      </w:r>
    </w:p>
    <w:p w:rsidR="00023318" w:rsidRPr="00023318" w:rsidRDefault="00023318" w:rsidP="00023318">
      <w:pPr>
        <w:pStyle w:val="Heading3"/>
        <w:tabs>
          <w:tab w:val="clear" w:pos="720"/>
        </w:tabs>
        <w:ind w:left="993" w:hanging="993"/>
        <w:rPr>
          <w:szCs w:val="24"/>
        </w:rPr>
      </w:pPr>
      <w:r w:rsidRPr="00023318">
        <w:rPr>
          <w:szCs w:val="24"/>
        </w:rPr>
        <w:t>The Mahabir Jute Mills Ltd. submitted that protective load is meaningless as industries are paying double that of power purchase cost.</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71"/>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w:t>
      </w:r>
    </w:p>
    <w:p w:rsidR="00023318" w:rsidRPr="00023318" w:rsidRDefault="00023318" w:rsidP="00023318">
      <w:pPr>
        <w:pStyle w:val="Heading3"/>
        <w:tabs>
          <w:tab w:val="clear" w:pos="720"/>
        </w:tabs>
        <w:ind w:left="993" w:hanging="993"/>
        <w:rPr>
          <w:szCs w:val="24"/>
        </w:rPr>
      </w:pPr>
      <w:r w:rsidRPr="00023318">
        <w:rPr>
          <w:szCs w:val="24"/>
        </w:rPr>
        <w:t xml:space="preserve">The Licensee further submitted that the Retail Tariff within the State has been kept uniform as per guidelines provided in the Sec 8.4 (2) of the National Tariff Policy issued by Ministry of Power, Government of India. </w:t>
      </w:r>
    </w:p>
    <w:p w:rsidR="00023318" w:rsidRPr="00023318" w:rsidRDefault="00023318" w:rsidP="00023318">
      <w:pPr>
        <w:pStyle w:val="Heading3"/>
        <w:tabs>
          <w:tab w:val="clear" w:pos="720"/>
        </w:tabs>
        <w:ind w:left="993" w:hanging="993"/>
        <w:rPr>
          <w:szCs w:val="24"/>
        </w:rPr>
      </w:pPr>
      <w:r w:rsidRPr="00023318">
        <w:rPr>
          <w:szCs w:val="24"/>
        </w:rPr>
        <w:t xml:space="preserve">The Petitioner submitted that the Railway Traction Tariff has been increased in accordance with Article 287 of the Constitution of India. Further, the billing is being done in accordance with the Rate Schedule approved by the Commission. The Petitioner submitted that the Tariff for HV-3 consumers is within +/- 20% of the average cost of service of the licensee, as stated in the Tariff Policy, 2006. </w:t>
      </w:r>
    </w:p>
    <w:p w:rsidR="002A3AA1" w:rsidRDefault="002A3AA1" w:rsidP="002A3AA1">
      <w:pPr>
        <w:pStyle w:val="Heading3"/>
        <w:numPr>
          <w:ilvl w:val="0"/>
          <w:numId w:val="0"/>
        </w:numPr>
        <w:tabs>
          <w:tab w:val="clear" w:pos="720"/>
        </w:tabs>
        <w:rPr>
          <w:szCs w:val="24"/>
        </w:rPr>
      </w:pPr>
    </w:p>
    <w:p w:rsidR="00596C3F" w:rsidRPr="00714D83" w:rsidRDefault="00596C3F"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71"/>
        </w:numPr>
        <w:spacing w:before="0"/>
        <w:contextualSpacing/>
        <w:rPr>
          <w:b/>
          <w:i/>
        </w:rPr>
      </w:pPr>
      <w:r w:rsidRPr="00023318">
        <w:rPr>
          <w:b/>
          <w:i/>
        </w:rPr>
        <w:lastRenderedPageBreak/>
        <w:t>The Commission’s view:</w:t>
      </w:r>
    </w:p>
    <w:p w:rsidR="00023318" w:rsidRPr="00023318" w:rsidRDefault="00023318" w:rsidP="00023318">
      <w:pPr>
        <w:pStyle w:val="Heading3"/>
        <w:tabs>
          <w:tab w:val="clear" w:pos="720"/>
        </w:tabs>
        <w:ind w:left="993" w:hanging="993"/>
        <w:rPr>
          <w:szCs w:val="24"/>
        </w:rPr>
      </w:pPr>
      <w:r w:rsidRPr="00023318">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Tariff Philosophy and Rate Schedule chapters of this Order.</w:t>
      </w:r>
    </w:p>
    <w:p w:rsidR="002A3AA1" w:rsidRPr="00714D83" w:rsidRDefault="002A3AA1" w:rsidP="002A3AA1"/>
    <w:p w:rsidR="00023318" w:rsidRPr="00023318" w:rsidRDefault="00023318" w:rsidP="00023318">
      <w:pPr>
        <w:pStyle w:val="Heading2"/>
        <w:spacing w:line="276" w:lineRule="auto"/>
        <w:rPr>
          <w:rFonts w:ascii="Calibri" w:hAnsi="Calibri"/>
        </w:rPr>
      </w:pPr>
      <w:bookmarkStart w:id="87" w:name="_Toc454277463"/>
      <w:bookmarkStart w:id="88" w:name="_Toc457355443"/>
      <w:r w:rsidRPr="00023318">
        <w:rPr>
          <w:rFonts w:ascii="Calibri" w:hAnsi="Calibri"/>
        </w:rPr>
        <w:t>LOAD FACTOR REBATE</w:t>
      </w:r>
      <w:bookmarkEnd w:id="87"/>
      <w:bookmarkEnd w:id="88"/>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72"/>
        </w:numPr>
        <w:spacing w:before="0"/>
        <w:contextualSpacing/>
        <w:rPr>
          <w:rFonts w:cs="Calibri"/>
          <w:b/>
          <w:bCs/>
        </w:rPr>
      </w:pPr>
      <w:r w:rsidRPr="00023318">
        <w:rPr>
          <w:b/>
          <w:i/>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&amp; Industries of U. P, Shri Rahul Agarwal Director (Operations) Vacmet India Ltd. and The Mahabir Jute Mills Ltd. submitted that the Load factor rebate to be re-introduced for better utilization of load and to encourage industrial consumers.</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72"/>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 xml:space="preserve">Load Factor rebate was approved by the Commission in the Tariff Order for FY 2001-02 with a view to encourage better load utilisation to HV-2 consumers above 50% utilisation, lower system losses and better system operation. At that point of time, theft in industries was rampant. </w:t>
      </w:r>
    </w:p>
    <w:p w:rsidR="00023318" w:rsidRPr="00023318" w:rsidRDefault="00023318" w:rsidP="00023318">
      <w:pPr>
        <w:pStyle w:val="Heading3"/>
        <w:tabs>
          <w:tab w:val="clear" w:pos="720"/>
        </w:tabs>
        <w:ind w:left="993" w:hanging="993"/>
        <w:rPr>
          <w:szCs w:val="24"/>
        </w:rPr>
      </w:pPr>
      <w:r w:rsidRPr="00023318">
        <w:rPr>
          <w:bCs w:val="0"/>
          <w:szCs w:val="24"/>
        </w:rPr>
        <w:t>In the current context, the situation has changed. Load factor rebate had been introduced earlier in large and heavy consumers to curb the theft of electricity. But, now licensee has installed high precision meters to monitor the trend and other parameters and as such it appears that there is no need to provide incentive for consumption. Hence, the licensee is of the view that there is no necessity to provide load factor rebate.</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72"/>
        </w:numPr>
        <w:spacing w:before="0"/>
        <w:contextualSpacing/>
        <w:rPr>
          <w:b/>
          <w:i/>
        </w:rPr>
      </w:pPr>
      <w:r w:rsidRPr="00023318">
        <w:rPr>
          <w:b/>
          <w:i/>
        </w:rPr>
        <w:t>The Commission’s view:</w:t>
      </w:r>
    </w:p>
    <w:p w:rsidR="00023318" w:rsidRPr="00023318" w:rsidRDefault="00023318" w:rsidP="00023318">
      <w:pPr>
        <w:pStyle w:val="Heading3"/>
        <w:tabs>
          <w:tab w:val="clear" w:pos="720"/>
        </w:tabs>
        <w:ind w:left="993" w:hanging="993"/>
        <w:rPr>
          <w:szCs w:val="24"/>
        </w:rPr>
      </w:pPr>
      <w:r w:rsidRPr="00023318">
        <w:rPr>
          <w:rFonts w:cstheme="minorHAnsi"/>
          <w:bCs w:val="0"/>
          <w:szCs w:val="24"/>
        </w:rPr>
        <w:t>The Commission after detailed deliberation on this issue has abolished the Load Factor Rebate in the Tariff Order for FY 2014-15 and finds no merit in stockholder suggestion.</w:t>
      </w:r>
    </w:p>
    <w:p w:rsidR="002A3AA1" w:rsidRDefault="002A3AA1" w:rsidP="002A3AA1">
      <w:pPr>
        <w:rPr>
          <w:rFonts w:cs="Calibri"/>
          <w:b/>
          <w:bCs/>
        </w:rPr>
      </w:pPr>
    </w:p>
    <w:p w:rsidR="001022DE" w:rsidRPr="00714D83" w:rsidRDefault="001022DE" w:rsidP="002A3AA1">
      <w:pPr>
        <w:rPr>
          <w:rFonts w:cs="Calibri"/>
          <w:b/>
          <w:bCs/>
        </w:rPr>
      </w:pPr>
    </w:p>
    <w:p w:rsidR="00023318" w:rsidRPr="00023318" w:rsidRDefault="00023318" w:rsidP="00023318">
      <w:pPr>
        <w:pStyle w:val="Heading2"/>
        <w:spacing w:line="276" w:lineRule="auto"/>
        <w:rPr>
          <w:rFonts w:ascii="Calibri" w:hAnsi="Calibri"/>
        </w:rPr>
      </w:pPr>
      <w:bookmarkStart w:id="89" w:name="_Toc454277464"/>
      <w:bookmarkStart w:id="90" w:name="_Toc457355444"/>
      <w:r w:rsidRPr="00023318">
        <w:rPr>
          <w:rFonts w:ascii="Calibri" w:hAnsi="Calibri"/>
        </w:rPr>
        <w:t>OVER LOAD PENALTY</w:t>
      </w:r>
      <w:bookmarkEnd w:id="89"/>
      <w:bookmarkEnd w:id="90"/>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73"/>
        </w:numPr>
        <w:spacing w:before="0"/>
        <w:contextualSpacing/>
        <w:rPr>
          <w:b/>
          <w:i/>
        </w:rPr>
      </w:pPr>
      <w:r w:rsidRPr="00023318">
        <w:rPr>
          <w:b/>
          <w:i/>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 xml:space="preserve">Shri Vishnu Bhagwan Agarwal Chairman, Agra Chapter, ASSOCHAM, U.P, Ashok kumar Goyal President, National Chamber of Industries &amp; Commerce and Shri K. L. Aggarwal chairman Associate Chambers of Commerce &amp; Industries of U. P submitted that double penalty i.e. charging fixed charge on enhanced load plus overload penalty is unreasonable and only single penalty should be imposed. </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73"/>
        </w:numPr>
        <w:spacing w:before="0"/>
        <w:contextualSpacing/>
        <w:rPr>
          <w:rFonts w:cs="Calibri"/>
          <w:b/>
          <w:bCs/>
          <w:i/>
          <w:iCs/>
        </w:rPr>
      </w:pPr>
      <w:r w:rsidRPr="00023318">
        <w:rPr>
          <w:rFonts w:cs="Calibri"/>
          <w:b/>
          <w:bCs/>
          <w:i/>
          <w:iCs/>
        </w:rPr>
        <w:t>Petitioner’s Response</w:t>
      </w:r>
    </w:p>
    <w:p w:rsidR="00023318" w:rsidRDefault="00023318" w:rsidP="00023318">
      <w:pPr>
        <w:pStyle w:val="Heading3"/>
        <w:tabs>
          <w:tab w:val="clear" w:pos="720"/>
        </w:tabs>
        <w:ind w:left="993" w:hanging="993"/>
        <w:rPr>
          <w:szCs w:val="24"/>
        </w:rPr>
      </w:pPr>
      <w:r w:rsidRPr="00023318">
        <w:rPr>
          <w:bCs w:val="0"/>
          <w:szCs w:val="24"/>
        </w:rPr>
        <w:t>Petitioner submitted that the charges for exceeding contracted demand are levied as per the rate approved by the Commission in last Tariff Order or subsequent amendment.</w:t>
      </w:r>
    </w:p>
    <w:p w:rsidR="00023318" w:rsidRPr="00023318" w:rsidRDefault="00023318" w:rsidP="00023318">
      <w:pPr>
        <w:pStyle w:val="Heading3"/>
        <w:numPr>
          <w:ilvl w:val="0"/>
          <w:numId w:val="0"/>
        </w:numPr>
        <w:tabs>
          <w:tab w:val="clear" w:pos="720"/>
        </w:tabs>
        <w:ind w:left="993"/>
        <w:rPr>
          <w:szCs w:val="24"/>
        </w:rPr>
      </w:pPr>
    </w:p>
    <w:p w:rsidR="002A3AA1" w:rsidRPr="00714D83" w:rsidRDefault="00023318" w:rsidP="00EC6AAC">
      <w:pPr>
        <w:pStyle w:val="ListParagraph"/>
        <w:numPr>
          <w:ilvl w:val="0"/>
          <w:numId w:val="73"/>
        </w:numPr>
        <w:spacing w:before="0"/>
        <w:contextualSpacing/>
        <w:rPr>
          <w:b/>
          <w:i/>
        </w:rPr>
      </w:pPr>
      <w:r w:rsidRPr="00023318">
        <w:rPr>
          <w:b/>
          <w:i/>
        </w:rPr>
        <w:t>The Commission’s view:</w:t>
      </w:r>
    </w:p>
    <w:p w:rsidR="00023318" w:rsidRPr="00023318" w:rsidRDefault="00023318" w:rsidP="00023318">
      <w:pPr>
        <w:pStyle w:val="Heading3"/>
        <w:tabs>
          <w:tab w:val="clear" w:pos="720"/>
        </w:tabs>
        <w:ind w:left="993" w:hanging="993"/>
        <w:rPr>
          <w:szCs w:val="24"/>
        </w:rPr>
      </w:pPr>
      <w:r w:rsidRPr="00023318">
        <w:rPr>
          <w:szCs w:val="24"/>
        </w:rPr>
        <w:t xml:space="preserve">The Commission would like to clarify that each and every Licensee has to plan and make arrangements for supplying power which the Utility estimates based on Contract Demand. In case of increase in Contract Demand, the Utility has to arrange costly power or carry out the load shedding. Hence, the penalty mechanism has been designed for restricting consumers from exceeding the contract demand and avoid unplanned purchase of costly power. </w:t>
      </w:r>
    </w:p>
    <w:p w:rsidR="002A3AA1" w:rsidRPr="00714D83" w:rsidRDefault="002A3AA1" w:rsidP="002A3AA1">
      <w:pPr>
        <w:tabs>
          <w:tab w:val="left" w:pos="720"/>
        </w:tabs>
        <w:rPr>
          <w:rFonts w:cs="Calibri"/>
        </w:rPr>
      </w:pPr>
    </w:p>
    <w:p w:rsidR="00023318" w:rsidRPr="00023318" w:rsidRDefault="00023318" w:rsidP="00023318">
      <w:pPr>
        <w:pStyle w:val="Heading2"/>
        <w:spacing w:line="276" w:lineRule="auto"/>
        <w:rPr>
          <w:rFonts w:ascii="Calibri" w:hAnsi="Calibri"/>
        </w:rPr>
      </w:pPr>
      <w:bookmarkStart w:id="91" w:name="_Toc453746303"/>
      <w:bookmarkStart w:id="92" w:name="_Toc453746304"/>
      <w:bookmarkStart w:id="93" w:name="_Toc453746305"/>
      <w:bookmarkStart w:id="94" w:name="_Toc453746306"/>
      <w:bookmarkStart w:id="95" w:name="_Toc453746307"/>
      <w:bookmarkStart w:id="96" w:name="_Toc453746308"/>
      <w:bookmarkStart w:id="97" w:name="_Toc453746309"/>
      <w:bookmarkStart w:id="98" w:name="_Toc453746310"/>
      <w:bookmarkStart w:id="99" w:name="_Toc453746311"/>
      <w:bookmarkStart w:id="100" w:name="_Toc453746312"/>
      <w:bookmarkStart w:id="101" w:name="_Toc453746313"/>
      <w:bookmarkStart w:id="102" w:name="_Toc453746314"/>
      <w:bookmarkStart w:id="103" w:name="_Toc453746315"/>
      <w:bookmarkStart w:id="104" w:name="_Toc454277465"/>
      <w:bookmarkStart w:id="105" w:name="_Toc457355445"/>
      <w:bookmarkEnd w:id="91"/>
      <w:bookmarkEnd w:id="92"/>
      <w:bookmarkEnd w:id="93"/>
      <w:bookmarkEnd w:id="94"/>
      <w:bookmarkEnd w:id="95"/>
      <w:bookmarkEnd w:id="96"/>
      <w:bookmarkEnd w:id="97"/>
      <w:bookmarkEnd w:id="98"/>
      <w:bookmarkEnd w:id="99"/>
      <w:bookmarkEnd w:id="100"/>
      <w:bookmarkEnd w:id="101"/>
      <w:bookmarkEnd w:id="102"/>
      <w:bookmarkEnd w:id="103"/>
      <w:r w:rsidRPr="00023318">
        <w:rPr>
          <w:rFonts w:ascii="Calibri" w:hAnsi="Calibri"/>
        </w:rPr>
        <w:t>KVAH BILLING</w:t>
      </w:r>
      <w:bookmarkEnd w:id="104"/>
      <w:bookmarkEnd w:id="105"/>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74"/>
        </w:numPr>
        <w:spacing w:before="0"/>
        <w:contextualSpacing/>
        <w:rPr>
          <w:b/>
          <w:i/>
        </w:rPr>
      </w:pPr>
      <w:r w:rsidRPr="00023318">
        <w:rPr>
          <w:b/>
          <w:i/>
        </w:rPr>
        <w:t>Comments/Suggestions of the Public</w:t>
      </w:r>
    </w:p>
    <w:p w:rsidR="00023318" w:rsidRPr="00023318" w:rsidRDefault="00023318" w:rsidP="00023318">
      <w:pPr>
        <w:pStyle w:val="Heading3"/>
        <w:tabs>
          <w:tab w:val="clear" w:pos="720"/>
        </w:tabs>
        <w:ind w:left="993" w:hanging="993"/>
        <w:rPr>
          <w:szCs w:val="24"/>
        </w:rPr>
      </w:pPr>
      <w:r w:rsidRPr="00023318">
        <w:rPr>
          <w:szCs w:val="24"/>
        </w:rPr>
        <w:t>Shri K. L. Aggarwal chairman Associate Chambers of Commerce &amp; Industries of U. P suggested that till the required KVAH meters (which automatically takes PF between 0.95 to 1.00 as unity for KVAh reading) are not installed, the consumers be given the benefit by treating, kWh units for the purpose of the application of tariff in case the PF of th</w:t>
      </w:r>
      <w:r w:rsidRPr="00023318">
        <w:rPr>
          <w:rFonts w:cs="Calibri"/>
          <w:szCs w:val="24"/>
        </w:rPr>
        <w:t>e</w:t>
      </w:r>
      <w:r w:rsidRPr="00023318">
        <w:rPr>
          <w:szCs w:val="24"/>
        </w:rPr>
        <w:t xml:space="preserve"> relative consumer is in the range of between 0.95 -1.00, as unity.</w:t>
      </w:r>
    </w:p>
    <w:p w:rsidR="00023318" w:rsidRPr="00023318" w:rsidRDefault="00023318" w:rsidP="00023318">
      <w:pPr>
        <w:pStyle w:val="Heading3"/>
        <w:tabs>
          <w:tab w:val="clear" w:pos="720"/>
        </w:tabs>
        <w:ind w:left="993" w:hanging="993"/>
        <w:rPr>
          <w:szCs w:val="24"/>
        </w:rPr>
      </w:pPr>
      <w:r w:rsidRPr="00023318">
        <w:rPr>
          <w:szCs w:val="24"/>
        </w:rPr>
        <w:t xml:space="preserve">Shri D.S. Verma Executive Director, Indian Industries Association submitted that due to electrical load conditions, the power factor of the consumer is leading. In such </w:t>
      </w:r>
      <w:r w:rsidRPr="00023318">
        <w:rPr>
          <w:szCs w:val="24"/>
        </w:rPr>
        <w:lastRenderedPageBreak/>
        <w:t>situation the leading power factor gets the same treatment as that for lagging power factor while computing electricity bills and the consumer is penalized with higher electricity bills. If power factor in the consumer’s premises is leading then the power factor should be treated as unity.</w:t>
      </w:r>
    </w:p>
    <w:p w:rsidR="002A3AA1" w:rsidRPr="00714D83" w:rsidRDefault="002A3AA1" w:rsidP="002A3AA1">
      <w:pPr>
        <w:pStyle w:val="ListParagraph"/>
        <w:rPr>
          <w:rFonts w:cs="Calibri"/>
        </w:rPr>
      </w:pPr>
    </w:p>
    <w:p w:rsidR="002A3AA1" w:rsidRPr="00714D83" w:rsidRDefault="00023318" w:rsidP="00EC6AAC">
      <w:pPr>
        <w:numPr>
          <w:ilvl w:val="0"/>
          <w:numId w:val="74"/>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The Licensee submitted that the kVAh based billing is being done as per the Tariff Orders of the Commission.</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74"/>
        </w:numPr>
        <w:spacing w:before="0"/>
        <w:contextualSpacing/>
        <w:rPr>
          <w:b/>
          <w:i/>
        </w:rPr>
      </w:pPr>
      <w:r w:rsidRPr="00023318">
        <w:rPr>
          <w:b/>
          <w:i/>
        </w:rPr>
        <w:t>The Commission’s view:</w:t>
      </w:r>
    </w:p>
    <w:p w:rsidR="00023318" w:rsidRDefault="00023318" w:rsidP="00023318">
      <w:pPr>
        <w:pStyle w:val="Heading3"/>
        <w:tabs>
          <w:tab w:val="clear" w:pos="720"/>
        </w:tabs>
        <w:ind w:left="993" w:hanging="993"/>
        <w:rPr>
          <w:szCs w:val="24"/>
        </w:rPr>
      </w:pPr>
      <w:r w:rsidRPr="00023318">
        <w:rPr>
          <w:szCs w:val="24"/>
        </w:rPr>
        <w:t xml:space="preserve">The Commission has taken note of the objections / suggestions made by the stakeholders with regard to kVAh billing of the consumers. The Commission feels that kVAh billing is a better way of billing than kWh which helps in enhancing system performance by encouraging the consumers to correct their power factor. The Commission has also addressed this issue in the Tariff Philosophy chapter. </w:t>
      </w:r>
    </w:p>
    <w:p w:rsidR="00023318" w:rsidRPr="00023318" w:rsidRDefault="00023318" w:rsidP="00023318">
      <w:pPr>
        <w:pStyle w:val="Heading3"/>
        <w:numPr>
          <w:ilvl w:val="0"/>
          <w:numId w:val="0"/>
        </w:numPr>
        <w:tabs>
          <w:tab w:val="clear" w:pos="720"/>
        </w:tabs>
        <w:ind w:left="993"/>
        <w:rPr>
          <w:szCs w:val="24"/>
        </w:rPr>
      </w:pPr>
    </w:p>
    <w:p w:rsidR="00023318" w:rsidRPr="00023318" w:rsidRDefault="00023318" w:rsidP="00023318">
      <w:pPr>
        <w:pStyle w:val="Heading2"/>
        <w:spacing w:line="276" w:lineRule="auto"/>
        <w:rPr>
          <w:rFonts w:ascii="Calibri" w:hAnsi="Calibri"/>
        </w:rPr>
      </w:pPr>
      <w:bookmarkStart w:id="106" w:name="_Toc454277466"/>
      <w:bookmarkStart w:id="107" w:name="_Toc457355446"/>
      <w:r w:rsidRPr="00023318">
        <w:rPr>
          <w:rFonts w:ascii="Calibri" w:hAnsi="Calibri"/>
        </w:rPr>
        <w:t>TARIFF HIKE</w:t>
      </w:r>
      <w:bookmarkEnd w:id="106"/>
      <w:bookmarkEnd w:id="107"/>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75"/>
        </w:numPr>
        <w:spacing w:before="0"/>
        <w:contextualSpacing/>
        <w:rPr>
          <w:b/>
          <w:i/>
        </w:rPr>
      </w:pPr>
      <w:r w:rsidRPr="00023318">
        <w:rPr>
          <w:b/>
          <w:i/>
        </w:rPr>
        <w:t>Comments/Suggestions of the Public</w:t>
      </w:r>
    </w:p>
    <w:p w:rsidR="00023318" w:rsidRPr="00023318" w:rsidRDefault="00023318" w:rsidP="00023318">
      <w:pPr>
        <w:pStyle w:val="Heading3"/>
        <w:tabs>
          <w:tab w:val="clear" w:pos="720"/>
        </w:tabs>
        <w:ind w:left="993" w:hanging="993"/>
        <w:rPr>
          <w:bCs w:val="0"/>
          <w:szCs w:val="24"/>
        </w:rPr>
      </w:pPr>
      <w:r w:rsidRPr="00023318">
        <w:rPr>
          <w:szCs w:val="24"/>
        </w:rPr>
        <w:t>Shri K. L. Aggarwal Chairman, Associate Chambers of Commerce &amp; Industries of U. P submitted that the sharp upward revision on fixed charges for LMV-2 (a), LMV-2 (c), LMV-4(b), LMV-6 and LMV-9 (b) will ruin the economic growth of MSME sector in both Urban and Rural areas.</w:t>
      </w:r>
    </w:p>
    <w:p w:rsidR="00023318" w:rsidRPr="00023318" w:rsidRDefault="00023318" w:rsidP="00023318">
      <w:pPr>
        <w:pStyle w:val="Heading3"/>
        <w:tabs>
          <w:tab w:val="clear" w:pos="720"/>
        </w:tabs>
        <w:ind w:left="993" w:hanging="993"/>
        <w:rPr>
          <w:bCs w:val="0"/>
          <w:szCs w:val="24"/>
        </w:rPr>
      </w:pPr>
      <w:r w:rsidRPr="00023318">
        <w:rPr>
          <w:szCs w:val="24"/>
        </w:rPr>
        <w:t>Shri Vishnu Bhagwan Agarwal Chairman, Agra Chapter, ASSOCHAM, U.P and Shri Ashok Kumar Goyal, President of National Chamber of Industries &amp; Commerce submitted that no further increase in tariff should be allowed for LMV-6 and HV-1 consumers in line with Delhi and the other neighbouring States so that the products manufactured could be made competitive.</w:t>
      </w:r>
    </w:p>
    <w:p w:rsidR="00023318" w:rsidRPr="00023318" w:rsidRDefault="00023318" w:rsidP="00023318">
      <w:pPr>
        <w:pStyle w:val="Heading3"/>
        <w:tabs>
          <w:tab w:val="clear" w:pos="720"/>
        </w:tabs>
        <w:ind w:left="993" w:hanging="993"/>
        <w:rPr>
          <w:bCs w:val="0"/>
          <w:szCs w:val="24"/>
        </w:rPr>
      </w:pPr>
      <w:r w:rsidRPr="00023318">
        <w:rPr>
          <w:szCs w:val="24"/>
        </w:rPr>
        <w:t xml:space="preserve">Shri Anand Singh Secretary, Laghu Udyog Bharti submitted that small &amp; medium enterprises are main sources of employment in the States like U.P. Hence, instead of increasing the tariff of LMV-6 it should be reduced and in rural areas rebate for said category be increased up to 50%. </w:t>
      </w:r>
    </w:p>
    <w:p w:rsidR="00023318" w:rsidRPr="00023318" w:rsidRDefault="00023318" w:rsidP="00023318">
      <w:pPr>
        <w:pStyle w:val="Heading3"/>
        <w:tabs>
          <w:tab w:val="clear" w:pos="720"/>
        </w:tabs>
        <w:ind w:left="993" w:hanging="993"/>
        <w:rPr>
          <w:szCs w:val="24"/>
        </w:rPr>
      </w:pPr>
      <w:r w:rsidRPr="00023318">
        <w:rPr>
          <w:szCs w:val="24"/>
        </w:rPr>
        <w:lastRenderedPageBreak/>
        <w:t xml:space="preserve">Shri Avadhesh Kumar, Chairman, Uttar Pradesh Rajya Vidyut Upbhoktha Parishad submitted that tariff for rural schedule should not be increased on the verge of increased hours of supply. It is further submitted that Discoms have to charge lower fixed charges from the consumers where power supply is less than 16 hours. </w:t>
      </w:r>
    </w:p>
    <w:p w:rsidR="00023318" w:rsidRPr="00023318" w:rsidRDefault="00023318" w:rsidP="00023318">
      <w:pPr>
        <w:pStyle w:val="Heading3"/>
        <w:tabs>
          <w:tab w:val="clear" w:pos="720"/>
        </w:tabs>
        <w:ind w:left="993" w:hanging="993"/>
        <w:rPr>
          <w:szCs w:val="24"/>
        </w:rPr>
      </w:pPr>
      <w:r w:rsidRPr="00023318">
        <w:rPr>
          <w:szCs w:val="24"/>
        </w:rPr>
        <w:t>Shri Ganesh Tiwari President, U.P. Chamber of Steel Industries Association submitted that losses have increased abnormally since 1998. Thus, tremendous increase in losses gives impact in increase rates. Controlling the losses is the duty of UPPCL but their inefficiency is being burdened on the industry by increasing tariff rates. Stakeholder further submitted that due to highest rate of tariff, the industries are unable to run. Stakeholder further requested Commission to reduce the tariff.</w:t>
      </w:r>
    </w:p>
    <w:p w:rsidR="00023318" w:rsidRPr="00023318" w:rsidRDefault="00023318" w:rsidP="00023318">
      <w:pPr>
        <w:pStyle w:val="Heading3"/>
        <w:tabs>
          <w:tab w:val="clear" w:pos="720"/>
        </w:tabs>
        <w:ind w:left="993" w:hanging="993"/>
        <w:rPr>
          <w:szCs w:val="24"/>
        </w:rPr>
      </w:pPr>
      <w:r w:rsidRPr="00023318">
        <w:rPr>
          <w:szCs w:val="24"/>
        </w:rPr>
        <w:t>Shri Gyan Chandra Varshney, Aligarh Udyog Vyapar Pratinidhi Mandal submitted that increasing the tariff indicates that honest consumer is forcefully burdened with loss due to theft, hence in spite of increasing Tariff, AT &amp;C losses must be reduced and cheaper power to be made available to the consumers.</w:t>
      </w:r>
    </w:p>
    <w:p w:rsidR="00023318" w:rsidRPr="00023318" w:rsidRDefault="00023318" w:rsidP="00023318">
      <w:pPr>
        <w:pStyle w:val="Heading3"/>
        <w:tabs>
          <w:tab w:val="clear" w:pos="720"/>
        </w:tabs>
        <w:ind w:left="993" w:hanging="993"/>
        <w:rPr>
          <w:szCs w:val="24"/>
        </w:rPr>
      </w:pPr>
      <w:r w:rsidRPr="00023318">
        <w:rPr>
          <w:szCs w:val="24"/>
        </w:rPr>
        <w:t xml:space="preserve">ANSAL API, Kasturba Ghandhi Marg New Delhi submitted that there is steep increase in tariff proposal from the tariff determined for HV-1 category in Tariff Order dated 18.06.2015 which is unsuitable and arbitrary. </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numPr>
          <w:ilvl w:val="0"/>
          <w:numId w:val="75"/>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rPr>
          <w:szCs w:val="24"/>
        </w:rPr>
      </w:pPr>
      <w:r w:rsidRPr="00023318">
        <w:rPr>
          <w:szCs w:val="24"/>
        </w:rPr>
        <w:t>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these issues have to be taken into account. The Licensees have submitted that the Retail Tariff for each category within the State has been kept uniform as per guidelines provided in the Sec 8.4 (2) of the National Tariff Policy issued by Ministry of Power, Government of India.</w:t>
      </w:r>
    </w:p>
    <w:p w:rsidR="00023318" w:rsidRPr="00023318" w:rsidRDefault="00023318" w:rsidP="00023318">
      <w:pPr>
        <w:pStyle w:val="Heading3"/>
        <w:tabs>
          <w:tab w:val="clear" w:pos="720"/>
        </w:tabs>
        <w:ind w:left="993" w:hanging="993"/>
        <w:rPr>
          <w:szCs w:val="24"/>
        </w:rPr>
      </w:pPr>
      <w:r w:rsidRPr="00023318">
        <w:rPr>
          <w:szCs w:val="24"/>
        </w:rPr>
        <w:t xml:space="preserve">The Licensee submitted that the power purchase cost projections have been made in the Tariff Petition as per the latest power purchase bills. Additionally, the Commission had sought the month wise details of the power purchase bills for the last three years. Such details already submitted to the Commission. It is evident that the licensee is not getting cheap power from the generators. </w:t>
      </w:r>
    </w:p>
    <w:p w:rsidR="00023318" w:rsidRPr="00023318" w:rsidRDefault="00023318" w:rsidP="00023318">
      <w:pPr>
        <w:pStyle w:val="Heading3"/>
        <w:tabs>
          <w:tab w:val="clear" w:pos="720"/>
        </w:tabs>
        <w:ind w:left="993" w:hanging="993"/>
        <w:rPr>
          <w:szCs w:val="24"/>
        </w:rPr>
      </w:pPr>
      <w:r w:rsidRPr="00023318">
        <w:rPr>
          <w:szCs w:val="24"/>
        </w:rPr>
        <w:lastRenderedPageBreak/>
        <w:t>The cross subsidy levels for HT consumers are within the threshold limits prescribed under the Tariff Policy. The Tariff has been proposed in line with the Tariff Regulations framed by the Commission, the National Tariff Policy, 2006 and the Electricity Act, 2003.</w:t>
      </w:r>
    </w:p>
    <w:p w:rsidR="00023318" w:rsidRPr="00023318" w:rsidRDefault="00023318" w:rsidP="00023318">
      <w:pPr>
        <w:pStyle w:val="Heading3"/>
        <w:tabs>
          <w:tab w:val="clear" w:pos="720"/>
        </w:tabs>
        <w:ind w:left="993" w:hanging="993"/>
        <w:rPr>
          <w:szCs w:val="24"/>
        </w:rPr>
      </w:pPr>
      <w:r w:rsidRPr="00023318">
        <w:rPr>
          <w:szCs w:val="24"/>
        </w:rPr>
        <w:t>The Licensee further submitted that while framing the proposal for rate revision in FY 2016-17, it has considered the broad aspects laid down in the Tariff Policy, Electricity Act 2003, Tariff Regulations, actual consumer profile and realities existing at the ground and has also considered the prevailing tariff structures across the different States. Further, the underlying objective is such that consumers with higher consumption should pay near the cost of service. Based on such aspects, the licensees feel that it has taken a balanced view of various pertinent issues.</w:t>
      </w:r>
    </w:p>
    <w:p w:rsidR="00023318" w:rsidRPr="00023318" w:rsidRDefault="00023318" w:rsidP="00023318">
      <w:pPr>
        <w:pStyle w:val="Heading3"/>
        <w:tabs>
          <w:tab w:val="clear" w:pos="720"/>
        </w:tabs>
        <w:ind w:left="993" w:hanging="993"/>
        <w:rPr>
          <w:szCs w:val="24"/>
        </w:rPr>
      </w:pPr>
      <w:r w:rsidRPr="00023318">
        <w:rPr>
          <w:szCs w:val="24"/>
        </w:rPr>
        <w:t>The Licensee has submitted the tariff revision proposals considering its power purchase cost from various sources, normative operating expenditure and the overall cost of service. While framing the tariff, the Petitioner was guided by the provisions of the UPERC (Terms and Conditions of Distribution Tariff) Regulations, 2006, Tariff Policy 2006 and the Electricity Act, 2003.</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75"/>
        </w:numPr>
        <w:spacing w:before="0"/>
        <w:contextualSpacing/>
        <w:rPr>
          <w:b/>
          <w:i/>
        </w:rPr>
      </w:pPr>
      <w:r w:rsidRPr="00023318">
        <w:rPr>
          <w:b/>
          <w:i/>
        </w:rPr>
        <w:t>The Commission’s view:</w:t>
      </w:r>
    </w:p>
    <w:p w:rsidR="00023318" w:rsidRPr="00023318" w:rsidRDefault="00023318" w:rsidP="00023318">
      <w:pPr>
        <w:pStyle w:val="Heading3"/>
        <w:tabs>
          <w:tab w:val="clear" w:pos="720"/>
        </w:tabs>
        <w:ind w:left="993" w:hanging="993"/>
        <w:rPr>
          <w:szCs w:val="24"/>
        </w:rPr>
      </w:pPr>
      <w:r w:rsidRPr="00023318">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approval of ARR and Tariff design have been covered subsequently in ARR for FY 2016-17, Tariff Philosophy and Rate Schedule chapters of this Order.</w:t>
      </w:r>
    </w:p>
    <w:p w:rsidR="002A3AA1" w:rsidRPr="00714D83" w:rsidRDefault="002A3AA1" w:rsidP="002A3AA1">
      <w:pPr>
        <w:pStyle w:val="ListParagraph"/>
        <w:rPr>
          <w:rFonts w:cs="Calibri"/>
          <w:color w:val="000000"/>
        </w:rPr>
      </w:pPr>
    </w:p>
    <w:p w:rsidR="00023318" w:rsidRPr="00023318" w:rsidRDefault="00023318" w:rsidP="00023318">
      <w:pPr>
        <w:pStyle w:val="Heading2"/>
        <w:spacing w:line="276" w:lineRule="auto"/>
        <w:rPr>
          <w:rFonts w:ascii="Calibri" w:hAnsi="Calibri"/>
        </w:rPr>
      </w:pPr>
      <w:bookmarkStart w:id="108" w:name="_Toc454277467"/>
      <w:bookmarkStart w:id="109" w:name="_Toc457355447"/>
      <w:r w:rsidRPr="00023318">
        <w:rPr>
          <w:rFonts w:ascii="Calibri" w:hAnsi="Calibri"/>
        </w:rPr>
        <w:t>REDUCED HOURS OF SUPPLY</w:t>
      </w:r>
      <w:bookmarkEnd w:id="108"/>
      <w:bookmarkEnd w:id="109"/>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76"/>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Gyan Chandra Varshney, Aligarh Udyog Vyapar Pratinidhi Mandal submitted that there is un-declared power cut of approx 6 to 8 hours in Mahanagar areas, against 2 hours as per Order. Because of this business is affected and businessmen are forced to move. It is requested that power supply to the commercial category should be provided from 10 Am to 8 PM.</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76"/>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the hours of supply is normally as per schedule, however, sometimes it may be less than that of schedule hours due to emergency rostering which is beyond the control of the Licensees.</w:t>
      </w:r>
    </w:p>
    <w:p w:rsidR="00023318" w:rsidRPr="00023318" w:rsidRDefault="00023318" w:rsidP="00023318">
      <w:pPr>
        <w:pStyle w:val="Heading3"/>
        <w:tabs>
          <w:tab w:val="clear" w:pos="720"/>
          <w:tab w:val="left" w:pos="4860"/>
        </w:tabs>
        <w:ind w:left="993" w:hanging="993"/>
        <w:rPr>
          <w:bCs w:val="0"/>
          <w:szCs w:val="24"/>
        </w:rPr>
      </w:pPr>
      <w:r w:rsidRPr="00023318">
        <w:rPr>
          <w:szCs w:val="24"/>
        </w:rPr>
        <w:t>Regarding, the demand supply gap, the Licensee submitted that it is endeavouring to reduce the distribution losses. Capacity augmentation is being planned by the State Government. The growth in the capacity addition has been outnumbered by the growth in the demand.</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76"/>
        </w:numPr>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has noted the objections / suggestions of the stakeholders in this regards. The Licensee should properly plan and take corrective measures for reducing the demand supply gap. </w:t>
      </w:r>
    </w:p>
    <w:p w:rsidR="002A3AA1" w:rsidRPr="00714D83" w:rsidRDefault="002A3AA1" w:rsidP="002A3AA1">
      <w:pPr>
        <w:pStyle w:val="Heading3"/>
        <w:numPr>
          <w:ilvl w:val="0"/>
          <w:numId w:val="0"/>
        </w:numPr>
        <w:tabs>
          <w:tab w:val="clear" w:pos="720"/>
          <w:tab w:val="left" w:pos="4860"/>
        </w:tabs>
        <w:ind w:left="993"/>
        <w:rPr>
          <w:szCs w:val="24"/>
        </w:rPr>
      </w:pPr>
    </w:p>
    <w:p w:rsidR="00023318" w:rsidRPr="00023318" w:rsidRDefault="00023318" w:rsidP="00023318">
      <w:pPr>
        <w:pStyle w:val="Heading2"/>
        <w:spacing w:line="276" w:lineRule="auto"/>
        <w:rPr>
          <w:rFonts w:ascii="Calibri" w:hAnsi="Calibri"/>
        </w:rPr>
      </w:pPr>
      <w:bookmarkStart w:id="110" w:name="_Toc453522765"/>
      <w:bookmarkStart w:id="111" w:name="_Toc454277468"/>
      <w:bookmarkStart w:id="112" w:name="_Toc457355448"/>
      <w:bookmarkEnd w:id="110"/>
      <w:r w:rsidRPr="00023318">
        <w:rPr>
          <w:rFonts w:ascii="Calibri" w:hAnsi="Calibri"/>
        </w:rPr>
        <w:t>T&amp;D LOSSES AND AT&amp;C LOSSES</w:t>
      </w:r>
      <w:bookmarkEnd w:id="111"/>
      <w:bookmarkEnd w:id="112"/>
    </w:p>
    <w:p w:rsidR="002A3AA1" w:rsidRPr="00714D83" w:rsidRDefault="002A3AA1" w:rsidP="002A3AA1">
      <w:pPr>
        <w:pStyle w:val="Heading2"/>
        <w:numPr>
          <w:ilvl w:val="0"/>
          <w:numId w:val="0"/>
        </w:numPr>
        <w:spacing w:line="276" w:lineRule="auto"/>
        <w:rPr>
          <w:rFonts w:ascii="Calibri" w:hAnsi="Calibri"/>
        </w:rPr>
      </w:pPr>
    </w:p>
    <w:p w:rsidR="002A3AA1" w:rsidRPr="00714D83" w:rsidRDefault="00023318" w:rsidP="00EC6AAC">
      <w:pPr>
        <w:numPr>
          <w:ilvl w:val="0"/>
          <w:numId w:val="77"/>
        </w:numPr>
        <w:spacing w:before="0"/>
        <w:contextualSpacing/>
        <w:rPr>
          <w:b/>
          <w:b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Shri K. L. Aggarwal chairman Associate Chambers of Commerce &amp; Industries of U. P submitted that line losses data submitted by Discoms must be audited separately by outside independent agency duly approved by the Commission. Further, the stakeholder submitted that if Discoms are not able to achieve losses as per loss trajectory, the additional losses should be borne by the Discoms. </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 Shri D.S.Verma Executive Director, Indian Industries Association submitted that incentives should be extended to the consumers and Discoms Employees where T&amp;D loss are less, lower the losses higher should be the incentiv</w:t>
      </w:r>
      <w:r w:rsidRPr="00023318">
        <w:rPr>
          <w:bCs w:val="0"/>
          <w:szCs w:val="24"/>
        </w:rPr>
        <w:t>e</w:t>
      </w:r>
      <w:r w:rsidRPr="00023318">
        <w:rPr>
          <w:szCs w:val="24"/>
        </w:rPr>
        <w:t>. It is further stated that till Discoms bring down the losses to less than 15%, strict actions may be taken against them and the Commission may not allow any hike in the tariff.</w:t>
      </w:r>
    </w:p>
    <w:p w:rsidR="00023318" w:rsidRPr="00023318" w:rsidRDefault="00023318" w:rsidP="00023318">
      <w:pPr>
        <w:pStyle w:val="Heading3"/>
        <w:tabs>
          <w:tab w:val="clear" w:pos="720"/>
          <w:tab w:val="left" w:pos="4860"/>
        </w:tabs>
        <w:ind w:left="993" w:hanging="993"/>
        <w:rPr>
          <w:szCs w:val="24"/>
        </w:rPr>
      </w:pPr>
      <w:r w:rsidRPr="00023318">
        <w:rPr>
          <w:szCs w:val="24"/>
        </w:rPr>
        <w:t>Shri Ashok kumar Aggarwal President, National Chamber of Industries &amp; Commerce, U.P. submitted that there is zero line loss on industrial feeders and connections and the revenue realization is 110%. Stakeholder further submitted that this Honest and soft target is being unduly penalized in Tariff fixation because of line losses created by unmetered rural and politically supported consumers.</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Shri Avadhesh Kumar, Chairman, Uttar Pradesh Rajya Vidyut Upbhoktha Parishad submitted that High Power Committee constituted by Hon’ble Supreme Court has recommended time bound reduction in T&amp;D losses to 12% by FY 2003-04 which was also accepted by the Energy Task force, constituted by GoUP. Stakeholder further submitted that as per affidavit the Licensee must have saved approx Rs. 27000 Crore by now. Stakeholder requested the Commission to provide benefit of this to consumers.</w:t>
      </w:r>
    </w:p>
    <w:p w:rsidR="00023318" w:rsidRPr="00023318" w:rsidRDefault="00023318" w:rsidP="00023318">
      <w:pPr>
        <w:pStyle w:val="Heading3"/>
        <w:tabs>
          <w:tab w:val="clear" w:pos="720"/>
          <w:tab w:val="left" w:pos="4860"/>
        </w:tabs>
        <w:ind w:left="993" w:hanging="993"/>
        <w:rPr>
          <w:szCs w:val="24"/>
        </w:rPr>
      </w:pPr>
      <w:r w:rsidRPr="00023318">
        <w:rPr>
          <w:szCs w:val="24"/>
        </w:rPr>
        <w:t>Shri B.K. Gujrati Submitted that power companies should upload line losses of feeders on the website and also supply plan for the month of each feeder per day in hours as it will increase transparency in the system.</w:t>
      </w:r>
    </w:p>
    <w:p w:rsidR="00023318" w:rsidRPr="00023318" w:rsidRDefault="00023318" w:rsidP="00023318">
      <w:pPr>
        <w:pStyle w:val="Heading3"/>
        <w:tabs>
          <w:tab w:val="clear" w:pos="720"/>
          <w:tab w:val="left" w:pos="4860"/>
        </w:tabs>
        <w:ind w:left="993" w:hanging="993"/>
        <w:rPr>
          <w:szCs w:val="24"/>
        </w:rPr>
      </w:pPr>
      <w:r w:rsidRPr="00023318">
        <w:rPr>
          <w:szCs w:val="24"/>
        </w:rPr>
        <w:t>Shri Niraj Khandelwal, B.L. Agro Oils Limited submitted that the cost of construction of substation increases with voltage of supply, and at the same time Discoms do not invest any amount to construct such substations. Further, at higher voltage services T&amp;D losses becomes zero as consumer gets supply directly from 220 kV substations. Hence, the consumers who are having services of higher voltage are generally zero arrear consumers. This results in lesser AT&amp;C losses to the Discoms. Stakeholder further requested the Commission to maintain the ratio of rates for HV-2 category for different type of voltage supply as it was in 2008-09.</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submitted that there is no progress in reduction of line loss from FY 2011-12 to FY 2015-16. The State Discoms are reluctant in reducing the distribution loss, therefore, stringent action must be taken against the State Discoms. Stakeholder further submitted that even if the Discoms failed to achieve the target, the Commission should disallow line loss.</w:t>
      </w:r>
    </w:p>
    <w:p w:rsidR="00023318" w:rsidRPr="00023318" w:rsidRDefault="00023318" w:rsidP="00023318">
      <w:pPr>
        <w:pStyle w:val="Heading3"/>
        <w:tabs>
          <w:tab w:val="clear" w:pos="720"/>
          <w:tab w:val="left" w:pos="4860"/>
        </w:tabs>
        <w:ind w:left="993" w:hanging="993"/>
        <w:rPr>
          <w:szCs w:val="24"/>
        </w:rPr>
      </w:pPr>
      <w:r w:rsidRPr="00023318">
        <w:rPr>
          <w:szCs w:val="24"/>
        </w:rPr>
        <w:t>Miss Romi, Global Care Organization submitted that the Commission should do prudence check of power theft issue in the State and should penalize the Licensees for such losses.</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Vimal Kumar Kemani, TRAP submitted that due to corruption, power theft is going on large scale in the State and strong steps should be taken to reduce the inefficiency and corruption.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Avadhesh Kumar, Chairman, Uttar Pradesh Rajya Vidyut Upbhoktha Parishad submitted that there is loss of approx. Rs 7000 to Rs 8000 Crore due to power theft every year. It can be seen there is 26.84% line losses in the 11 kV feeder of Chirauri, Ghaziabad and 38.12 % line losses registered for Rohana mill feeder, Saharanpur. The drive to control power theft seems ineffective. Stakeholder further requested </w:t>
      </w:r>
      <w:r w:rsidRPr="00023318">
        <w:rPr>
          <w:szCs w:val="24"/>
        </w:rPr>
        <w:lastRenderedPageBreak/>
        <w:t>the Commission that the loss due to power theft should not be passed on to the consumers.</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Sandeep Ranjan Gupta submitted that the overhead lines should be underground to reduce the power theft. </w:t>
      </w:r>
    </w:p>
    <w:p w:rsidR="002A3AA1" w:rsidRPr="00714D83" w:rsidRDefault="002A3AA1" w:rsidP="002A3AA1">
      <w:pPr>
        <w:ind w:left="360"/>
        <w:contextualSpacing/>
        <w:rPr>
          <w:rFonts w:cs="Calibri"/>
          <w:b/>
          <w:bCs/>
          <w:i/>
          <w:iCs/>
        </w:rPr>
      </w:pPr>
    </w:p>
    <w:p w:rsidR="002A3AA1" w:rsidRPr="00714D83" w:rsidRDefault="00023318" w:rsidP="00EC6AAC">
      <w:pPr>
        <w:numPr>
          <w:ilvl w:val="0"/>
          <w:numId w:val="77"/>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submitted that it has planned and proposed a gradual reduction in distribution losses up to FY 2021-22 in line with the directives of the Ministry of Power, Govt. of India. </w:t>
      </w:r>
    </w:p>
    <w:p w:rsidR="00023318" w:rsidRPr="00023318" w:rsidRDefault="00023318" w:rsidP="00023318">
      <w:pPr>
        <w:pStyle w:val="Heading3"/>
        <w:tabs>
          <w:tab w:val="clear" w:pos="720"/>
          <w:tab w:val="left" w:pos="4860"/>
        </w:tabs>
        <w:ind w:left="993" w:hanging="993"/>
        <w:rPr>
          <w:szCs w:val="24"/>
        </w:rPr>
      </w:pPr>
      <w:r w:rsidRPr="00023318">
        <w:rPr>
          <w:szCs w:val="24"/>
        </w:rPr>
        <w:t>All efforts are being made to reduce the losses as the same is beneficial to the utility as well. Tariff revision exercise is done on the basis of normative loss level. It may be noted that when losses are assumed on lower side then tariff will automatically be lesser. Hence, loss level projection is not against the interest of the consumers.</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the Commission has already issued directions to the Licensees to initiate base line loss estimation studies for assessment of technical and commercial losses. The Licensee would be appointing consulting firms for undertaking the said studies.</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various steps are being taken to curb theft which is widely prevalent across the State. Some of the steps are listed below:</w:t>
      </w:r>
    </w:p>
    <w:p w:rsidR="002A3AA1" w:rsidRPr="00714D83" w:rsidRDefault="00023318" w:rsidP="00BA3941">
      <w:pPr>
        <w:pStyle w:val="ListParagraph"/>
        <w:numPr>
          <w:ilvl w:val="0"/>
          <w:numId w:val="32"/>
        </w:numPr>
        <w:spacing w:before="0" w:after="200"/>
        <w:ind w:left="1353"/>
        <w:contextualSpacing/>
      </w:pPr>
      <w:r w:rsidRPr="00023318">
        <w:t>For proper accounting of energy &amp; reducing chances of theft, double metering system is being implemented which is yielding encouraging results.</w:t>
      </w:r>
    </w:p>
    <w:p w:rsidR="002A3AA1" w:rsidRPr="00714D83" w:rsidRDefault="00023318" w:rsidP="00BA3941">
      <w:pPr>
        <w:pStyle w:val="ListParagraph"/>
        <w:numPr>
          <w:ilvl w:val="0"/>
          <w:numId w:val="32"/>
        </w:numPr>
        <w:spacing w:before="0" w:after="200"/>
        <w:ind w:left="1353"/>
        <w:contextualSpacing/>
      </w:pPr>
      <w:r w:rsidRPr="00023318">
        <w:t>For speedy redressal of consumer grievances, call centre has been established and Control rooms have been set up.</w:t>
      </w:r>
    </w:p>
    <w:p w:rsidR="002A3AA1" w:rsidRPr="00714D83" w:rsidRDefault="00023318" w:rsidP="00BA3941">
      <w:pPr>
        <w:pStyle w:val="ListParagraph"/>
        <w:numPr>
          <w:ilvl w:val="0"/>
          <w:numId w:val="32"/>
        </w:numPr>
        <w:spacing w:before="0" w:after="200"/>
        <w:ind w:left="1353"/>
        <w:contextualSpacing/>
      </w:pPr>
      <w:r w:rsidRPr="00023318">
        <w:t>In all theft prone areas overhead conductor are being replaced with ABC (Aerial Bunched Conductor). This has helped in the reduction of line losses and break-downs and has resulted in better quality of supply &amp; consumer satisfaction.</w:t>
      </w:r>
    </w:p>
    <w:p w:rsidR="002A3AA1" w:rsidRPr="00714D83" w:rsidRDefault="00023318" w:rsidP="00BA3941">
      <w:pPr>
        <w:pStyle w:val="ListParagraph"/>
        <w:numPr>
          <w:ilvl w:val="0"/>
          <w:numId w:val="32"/>
        </w:numPr>
        <w:spacing w:before="0" w:after="200"/>
        <w:ind w:left="1353"/>
        <w:contextualSpacing/>
      </w:pPr>
      <w:r w:rsidRPr="00023318">
        <w:t>Provision of periodic checking of all static and trivector meters installed in high value consumers premises.</w:t>
      </w:r>
    </w:p>
    <w:p w:rsidR="002A3AA1" w:rsidRPr="00714D83" w:rsidRDefault="00023318" w:rsidP="00BA3941">
      <w:pPr>
        <w:pStyle w:val="ListParagraph"/>
        <w:numPr>
          <w:ilvl w:val="0"/>
          <w:numId w:val="32"/>
        </w:numPr>
        <w:spacing w:before="0" w:after="200"/>
        <w:ind w:left="1353"/>
        <w:contextualSpacing/>
      </w:pPr>
      <w:r w:rsidRPr="00023318">
        <w:t>Special drive to check the cases of theft/unauthorized use of electricity/checking of excess load being carried out in different distribution divisions by officers of the licensees.</w:t>
      </w:r>
    </w:p>
    <w:p w:rsidR="00023318" w:rsidRPr="00023318" w:rsidRDefault="00023318" w:rsidP="00023318">
      <w:pPr>
        <w:pStyle w:val="Heading3"/>
        <w:tabs>
          <w:tab w:val="clear" w:pos="720"/>
          <w:tab w:val="left" w:pos="4860"/>
        </w:tabs>
        <w:ind w:left="993" w:hanging="993"/>
        <w:rPr>
          <w:rFonts w:cs="Calibri"/>
          <w:b/>
          <w:i/>
          <w:iCs/>
          <w:szCs w:val="24"/>
        </w:rPr>
      </w:pPr>
      <w:r w:rsidRPr="00023318">
        <w:rPr>
          <w:rFonts w:cs="Times New Roman"/>
          <w:szCs w:val="24"/>
        </w:rPr>
        <w:lastRenderedPageBreak/>
        <w:t>Special team of departmental engineers and Vigilance teams comprising of licensee’s officers and Police personnel’s have been formed in each circle. With these teams surprise raids are conducted to direct theft of energy/Katiya connections.</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Heading3"/>
        <w:numPr>
          <w:ilvl w:val="0"/>
          <w:numId w:val="77"/>
        </w:numPr>
        <w:tabs>
          <w:tab w:val="clear" w:pos="720"/>
          <w:tab w:val="left" w:pos="4860"/>
        </w:tabs>
        <w:rPr>
          <w:szCs w:val="24"/>
        </w:rPr>
      </w:pPr>
      <w:r w:rsidRPr="00023318">
        <w:rPr>
          <w:b/>
          <w:i/>
          <w:szCs w:val="24"/>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recognizes the fact that the Licensees have been taking measures to reduce T&amp;D losses by implementing schemes such as laying Aerial Bunch Conductors (ABC), APDRP, R-APDRP, etc., but these efforts are yet to yield satisfactory results. On the aspect of T&amp;D losses, the Licensees should undertake necessary strengthening and R&amp;M of the distribution networks to reduce losses which would result in higher availability of power for sale to consumers. </w:t>
      </w:r>
    </w:p>
    <w:p w:rsidR="00023318" w:rsidRDefault="00023318" w:rsidP="00023318">
      <w:pPr>
        <w:pStyle w:val="Heading3"/>
        <w:tabs>
          <w:tab w:val="clear" w:pos="720"/>
          <w:tab w:val="left" w:pos="4860"/>
        </w:tabs>
        <w:ind w:left="993" w:hanging="993"/>
        <w:rPr>
          <w:rFonts w:cs="Calibri"/>
          <w:szCs w:val="24"/>
        </w:rPr>
      </w:pPr>
      <w:r w:rsidRPr="00023318">
        <w:rPr>
          <w:szCs w:val="24"/>
        </w:rPr>
        <w:t>In this regard, the Commission had directed the Licensee to conduct the base line loss estimation studies for assessment of technical and commercial losses. As discussed in subsequent chapters of this Order the Licensees submitted that M/s PFC Consulting Ltd. was appointed to conduct the required study and it has submitted a draft approach paper which is in discussion stage. The Licensee submitted that once the approach paper is finalized, it would submit the same to the Commission. The Commission stresses that the Distribution Licensees may act speedily upon the directives and report the status on a regular monthly basis to the Commission as losses play a very crucial role in the entire process</w:t>
      </w:r>
      <w:r w:rsidRPr="00023318">
        <w:rPr>
          <w:rFonts w:cs="Calibri"/>
          <w:szCs w:val="24"/>
          <w:lang w:val="en-IN"/>
        </w:rPr>
        <w:t>.</w:t>
      </w:r>
      <w:r w:rsidRPr="00023318">
        <w:rPr>
          <w:szCs w:val="24"/>
        </w:rPr>
        <w:t xml:space="preserve"> </w:t>
      </w:r>
      <w:r w:rsidRPr="00023318">
        <w:rPr>
          <w:rFonts w:cs="Calibri"/>
          <w:szCs w:val="24"/>
        </w:rPr>
        <w:t>Further, the Commission for the purpose of truing up of ARR for FY 2013-14 and while approving the ARR for FY 2016-17 has judiciously approved the distribution loss as discussed subsequently in the Order.</w:t>
      </w:r>
    </w:p>
    <w:p w:rsidR="001022DE" w:rsidRPr="00714D83" w:rsidRDefault="001022DE" w:rsidP="002A3AA1">
      <w:pPr>
        <w:pStyle w:val="Heading3"/>
        <w:numPr>
          <w:ilvl w:val="0"/>
          <w:numId w:val="0"/>
        </w:numPr>
        <w:tabs>
          <w:tab w:val="clear" w:pos="720"/>
          <w:tab w:val="left" w:pos="4860"/>
        </w:tabs>
        <w:ind w:left="993"/>
        <w:rPr>
          <w:rFonts w:cs="Calibri"/>
          <w:color w:val="000000"/>
          <w:szCs w:val="24"/>
        </w:rPr>
      </w:pPr>
    </w:p>
    <w:p w:rsidR="00023318" w:rsidRDefault="00023318" w:rsidP="00023318">
      <w:pPr>
        <w:pStyle w:val="Heading2"/>
        <w:spacing w:line="276" w:lineRule="auto"/>
        <w:rPr>
          <w:rFonts w:ascii="Calibri" w:hAnsi="Calibri"/>
        </w:rPr>
      </w:pPr>
      <w:bookmarkStart w:id="113" w:name="_Toc454277469"/>
      <w:bookmarkStart w:id="114" w:name="_Toc457355449"/>
      <w:r w:rsidRPr="00023318">
        <w:rPr>
          <w:rFonts w:ascii="Calibri" w:hAnsi="Calibri"/>
        </w:rPr>
        <w:t>PRE-PAID METERING</w:t>
      </w:r>
      <w:bookmarkEnd w:id="113"/>
      <w:bookmarkEnd w:id="114"/>
    </w:p>
    <w:p w:rsidR="00D146E1" w:rsidRPr="00023318" w:rsidRDefault="00D146E1" w:rsidP="00D146E1">
      <w:pPr>
        <w:pStyle w:val="Heading2"/>
        <w:numPr>
          <w:ilvl w:val="0"/>
          <w:numId w:val="0"/>
        </w:numPr>
        <w:spacing w:before="0" w:line="276" w:lineRule="auto"/>
        <w:ind w:left="780"/>
        <w:rPr>
          <w:rFonts w:ascii="Calibri" w:hAnsi="Calibri"/>
        </w:rPr>
      </w:pPr>
    </w:p>
    <w:p w:rsidR="002A3AA1" w:rsidRPr="00714D83" w:rsidRDefault="00023318" w:rsidP="00EC6AAC">
      <w:pPr>
        <w:pStyle w:val="Heading3"/>
        <w:numPr>
          <w:ilvl w:val="0"/>
          <w:numId w:val="78"/>
        </w:numPr>
        <w:tabs>
          <w:tab w:val="clear" w:pos="720"/>
          <w:tab w:val="left" w:pos="4860"/>
        </w:tabs>
        <w:spacing w:before="0"/>
        <w:rPr>
          <w:rFonts w:cs="Calibri"/>
          <w:b/>
          <w:bCs w:val="0"/>
          <w:szCs w:val="24"/>
        </w:rPr>
      </w:pPr>
      <w:r w:rsidRPr="00023318">
        <w:rPr>
          <w:b/>
          <w:i/>
          <w:szCs w:val="24"/>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that as per provision in Electricity Act 2003, consumers opting for prepaid meters are not required to pay security deposit. The progress of installation of pre-paid meter is far below the desired level. The proposed discount of 1.25% may be increased to 2% considering the OTS launched every year with waiver of 50% to 100% surcharge.</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Shri Gyan Chandra Varshney, Aligarh Udyog Vyapar Pratinidhi Mandal submitted that the Licensees are asking for heavy amount for changing meter to smart meters. Stakeholder further requested the Commission to reduce the cost of prepaid meter so that the consumers will attracted to opt for smart meter.</w:t>
      </w:r>
    </w:p>
    <w:p w:rsidR="00023318" w:rsidRPr="00023318" w:rsidRDefault="00023318" w:rsidP="00023318">
      <w:pPr>
        <w:pStyle w:val="Heading3"/>
        <w:tabs>
          <w:tab w:val="clear" w:pos="720"/>
          <w:tab w:val="left" w:pos="4860"/>
        </w:tabs>
        <w:ind w:left="993" w:hanging="993"/>
        <w:rPr>
          <w:szCs w:val="24"/>
        </w:rPr>
      </w:pPr>
      <w:r w:rsidRPr="00023318">
        <w:rPr>
          <w:szCs w:val="24"/>
        </w:rPr>
        <w:t>Shri Vivek Bansal, Ex MLA Indian National Congress and Members of Jila Congress Committee submitted that the cost of prepaid meter is around Rs. 6500 to Rs. 7100 whereas cost of normal meter is only Rs. 930; there should be provision of instalment of payment for prepaid connection. Prepaid connection should not be forcefully imposed to consumers as it should be the choice. Further, prepaid metering may be started with commercial category consumers.</w:t>
      </w:r>
    </w:p>
    <w:p w:rsidR="00023318" w:rsidRPr="00023318" w:rsidRDefault="00023318" w:rsidP="00023318">
      <w:pPr>
        <w:pStyle w:val="Heading3"/>
        <w:tabs>
          <w:tab w:val="clear" w:pos="720"/>
          <w:tab w:val="left" w:pos="4860"/>
        </w:tabs>
        <w:ind w:left="993" w:hanging="993"/>
        <w:rPr>
          <w:szCs w:val="24"/>
        </w:rPr>
      </w:pPr>
      <w:r w:rsidRPr="00023318">
        <w:rPr>
          <w:szCs w:val="24"/>
        </w:rPr>
        <w:t>Associate Chambers of Commerce &amp; Industries of U. P requested to the Commission to take steps on urgent basis to make the availability of pre-paid meters above 45 kW on priority basis.</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78"/>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does not agree to the proposal of enhancing the discount. However, no security deposit is applicable in case a connection is taken with prepaid meter.</w:t>
      </w:r>
    </w:p>
    <w:p w:rsidR="00023318" w:rsidRPr="00023318" w:rsidRDefault="00023318" w:rsidP="00023318">
      <w:pPr>
        <w:pStyle w:val="Heading3"/>
        <w:tabs>
          <w:tab w:val="clear" w:pos="720"/>
          <w:tab w:val="left" w:pos="4860"/>
        </w:tabs>
        <w:ind w:left="993" w:hanging="993"/>
        <w:rPr>
          <w:szCs w:val="24"/>
        </w:rPr>
      </w:pPr>
      <w:r w:rsidRPr="00023318">
        <w:rPr>
          <w:szCs w:val="24"/>
        </w:rPr>
        <w:t>Prepaid meters are being procured and will be installed at consumers’ premises. A Petition for tariff structure is being filed before the Commission. The details’ regarding the procurement and installation of prepaid meters is being regularly informed to the Commission.</w:t>
      </w:r>
    </w:p>
    <w:p w:rsidR="00023318" w:rsidRPr="00023318" w:rsidRDefault="00023318" w:rsidP="00023318">
      <w:pPr>
        <w:pStyle w:val="Heading3"/>
        <w:tabs>
          <w:tab w:val="clear" w:pos="720"/>
          <w:tab w:val="left" w:pos="4860"/>
        </w:tabs>
        <w:ind w:left="993" w:hanging="993"/>
        <w:rPr>
          <w:bCs w:val="0"/>
          <w:szCs w:val="24"/>
        </w:rPr>
      </w:pPr>
      <w:r w:rsidRPr="00023318">
        <w:rPr>
          <w:bCs w:val="0"/>
          <w:szCs w:val="24"/>
        </w:rPr>
        <w:t>Prepaid meters are being installed as an option. They are not forced upon the consumers. However, in case of Juggi Jhopri, and Patri shops, provision has been made for making the payment towards cost of pre paid meters in instalments.</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78"/>
        </w:numPr>
        <w:tabs>
          <w:tab w:val="left" w:pos="1980"/>
        </w:tabs>
        <w:spacing w:before="0"/>
        <w:contextualSpacing/>
        <w:rPr>
          <w:b/>
          <w:i/>
        </w:rPr>
      </w:pPr>
      <w:r w:rsidRPr="00023318">
        <w:rPr>
          <w:b/>
          <w:i/>
        </w:rPr>
        <w:t>The Commission’s view:</w:t>
      </w:r>
    </w:p>
    <w:p w:rsidR="002A3AA1" w:rsidRPr="00D146E1" w:rsidRDefault="00023318" w:rsidP="00D146E1">
      <w:pPr>
        <w:pStyle w:val="Heading3"/>
        <w:tabs>
          <w:tab w:val="clear" w:pos="720"/>
          <w:tab w:val="left" w:pos="4860"/>
        </w:tabs>
        <w:ind w:left="993" w:hanging="993"/>
        <w:rPr>
          <w:szCs w:val="24"/>
        </w:rPr>
      </w:pPr>
      <w:r w:rsidRPr="00023318">
        <w:rPr>
          <w:szCs w:val="24"/>
        </w:rPr>
        <w:t>The Commission in its earlier Orders has repeatedly directed the Distribution Licensees regarding expedition of process of introduction of Pre-paid meters. Further, details regarding provisions under prepaid metering is being detailed in the Tariff Philosophy and Rate Schedule chapters of this Order.</w:t>
      </w:r>
    </w:p>
    <w:p w:rsidR="00596C3F" w:rsidRPr="00714D83" w:rsidRDefault="00596C3F" w:rsidP="002A3AA1">
      <w:pPr>
        <w:pStyle w:val="Heading3"/>
        <w:numPr>
          <w:ilvl w:val="0"/>
          <w:numId w:val="0"/>
        </w:numPr>
        <w:tabs>
          <w:tab w:val="clear" w:pos="720"/>
          <w:tab w:val="left" w:pos="4860"/>
        </w:tabs>
        <w:rPr>
          <w:szCs w:val="24"/>
        </w:rPr>
      </w:pPr>
    </w:p>
    <w:p w:rsidR="00023318" w:rsidRPr="00023318" w:rsidRDefault="00023318" w:rsidP="00023318">
      <w:pPr>
        <w:pStyle w:val="Heading2"/>
        <w:spacing w:line="276" w:lineRule="auto"/>
        <w:rPr>
          <w:rFonts w:ascii="Calibri" w:hAnsi="Calibri"/>
        </w:rPr>
      </w:pPr>
      <w:bookmarkStart w:id="115" w:name="_Toc454277470"/>
      <w:bookmarkStart w:id="116" w:name="_Toc457355450"/>
      <w:r w:rsidRPr="00023318">
        <w:rPr>
          <w:rFonts w:ascii="Calibri" w:hAnsi="Calibri"/>
        </w:rPr>
        <w:t>TARIFF LMV-1 &amp; LMV-5 CATEGORY</w:t>
      </w:r>
      <w:bookmarkEnd w:id="115"/>
      <w:bookmarkEnd w:id="116"/>
    </w:p>
    <w:p w:rsidR="002A3AA1" w:rsidRPr="00714D83" w:rsidRDefault="002A3AA1" w:rsidP="002A3AA1">
      <w:pPr>
        <w:ind w:left="360"/>
        <w:contextualSpacing/>
        <w:rPr>
          <w:rFonts w:cs="Calibri"/>
          <w:b/>
          <w:bCs/>
          <w:i/>
          <w:iCs/>
        </w:rPr>
      </w:pPr>
    </w:p>
    <w:p w:rsidR="002A3AA1" w:rsidRPr="00714D83" w:rsidRDefault="00023318" w:rsidP="00EC6AAC">
      <w:pPr>
        <w:numPr>
          <w:ilvl w:val="0"/>
          <w:numId w:val="79"/>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 Shri Avadhesh Kumar, Chairman, Uttar Pradesh Rajya Vidyut Upbhoktha Parishad submitted that no fixed charges shall be levied on BPL and other domestic consumers until and unless 24X7 electricity supply is provided. It is further submitted that Tariff for BPL consumers be reduced at least by 10%. Tariff for rural unmetered consumers should be reduced to Rs. 150 per connection per month. Further, the stakeholder submitted that tariff for drought effected Bundelkhand area must be reduced to zero at least for FY 2016-17 and up to 25% to 50% reduction of electricity tariff should be allowed in other drought affected areas.</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submitted that the Commission may approve full cost tariff for Rural Domestic and Agriculture consumers. It is further submitted that subsidy provided by GoUP may directly pass on to consumers as Section 65 of the EA, 2003.</w:t>
      </w:r>
    </w:p>
    <w:p w:rsidR="002A3AA1" w:rsidRPr="00714D83" w:rsidRDefault="002A3AA1" w:rsidP="00D146E1">
      <w:pPr>
        <w:tabs>
          <w:tab w:val="left" w:pos="1980"/>
        </w:tabs>
        <w:rPr>
          <w:rFonts w:cs="Calibri"/>
          <w:color w:val="000000"/>
        </w:rPr>
      </w:pPr>
    </w:p>
    <w:p w:rsidR="002A3AA1" w:rsidRPr="00714D83" w:rsidRDefault="00023318" w:rsidP="00EC6AAC">
      <w:pPr>
        <w:numPr>
          <w:ilvl w:val="0"/>
          <w:numId w:val="79"/>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no tariff hike has been proposed for rural domestic and agriculture consumers. The Licensee in the current petition has endeavoured to rationalise the tariff for various consumer categories.</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the hours of supply is normally as per schedule, however, sometimes it may be less than that of schedule hours due to emergency rostering mandated by the grid which is beyond the control of the Licensee.</w:t>
      </w:r>
    </w:p>
    <w:p w:rsidR="00023318" w:rsidRPr="00023318" w:rsidRDefault="00023318" w:rsidP="00023318">
      <w:pPr>
        <w:pStyle w:val="Heading3"/>
        <w:tabs>
          <w:tab w:val="clear" w:pos="720"/>
          <w:tab w:val="left" w:pos="4860"/>
        </w:tabs>
        <w:ind w:left="993" w:hanging="993"/>
        <w:rPr>
          <w:szCs w:val="24"/>
        </w:rPr>
      </w:pPr>
      <w:r w:rsidRPr="00023318">
        <w:rPr>
          <w:szCs w:val="24"/>
        </w:rPr>
        <w:t>Further, no tariff revision has been proposed for lifeline consumers. The proposal of the stakeholder to provide discount of 10% to lifeline consumers is not feasible as there is no subsidy support from the Government on this account and would lead to further widening of the revenue gap.</w:t>
      </w:r>
    </w:p>
    <w:p w:rsidR="00023318" w:rsidRPr="00023318" w:rsidRDefault="00023318" w:rsidP="00023318">
      <w:pPr>
        <w:pStyle w:val="Heading3"/>
        <w:tabs>
          <w:tab w:val="clear" w:pos="720"/>
          <w:tab w:val="left" w:pos="4860"/>
        </w:tabs>
        <w:ind w:left="993" w:hanging="993"/>
        <w:rPr>
          <w:szCs w:val="24"/>
        </w:rPr>
      </w:pPr>
      <w:r w:rsidRPr="00023318">
        <w:rPr>
          <w:szCs w:val="24"/>
        </w:rPr>
        <w:t>Similarly, no tariff revision has been proposed for rural domestic. The proposal of the stakeholders to provide discount to rural domestic consumers is not feasible as there is no matching subsidy support from the Government on this account and would lead to further widening of the revenue gap.</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submitted that the Annual Revenue Requirement is being determined in accordance with the Tariff Regulations framed by the Commission. The tariff is being proposed to recover the gap between the Annual Revenue Requirement and </w:t>
      </w:r>
      <w:r w:rsidRPr="00023318">
        <w:rPr>
          <w:szCs w:val="24"/>
        </w:rPr>
        <w:lastRenderedPageBreak/>
        <w:t>the revenue at current tariff and taking into account the cost of service, subsidy levels, power procurement costs, etc.</w:t>
      </w:r>
    </w:p>
    <w:p w:rsidR="002A3AA1" w:rsidRPr="00714D83" w:rsidRDefault="002A3AA1" w:rsidP="002A3AA1">
      <w:pPr>
        <w:pStyle w:val="Heading3"/>
        <w:numPr>
          <w:ilvl w:val="0"/>
          <w:numId w:val="0"/>
        </w:numPr>
        <w:tabs>
          <w:tab w:val="clear" w:pos="720"/>
          <w:tab w:val="left" w:pos="4860"/>
        </w:tabs>
        <w:rPr>
          <w:szCs w:val="24"/>
        </w:rPr>
      </w:pPr>
    </w:p>
    <w:p w:rsidR="002A3AA1" w:rsidRPr="00714D83" w:rsidRDefault="00023318" w:rsidP="00EC6AAC">
      <w:pPr>
        <w:pStyle w:val="ListParagraph"/>
        <w:numPr>
          <w:ilvl w:val="0"/>
          <w:numId w:val="79"/>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Tariff for various categories of consumers is being determined by the Commission in accordance with the principles enshrined in the Distribution Tariff Regulations and Tariff Policy. The Commission while approving the Tariff for the State has also made appropriate comparison with the various other States. Further, the detailed approach as considered by the Commission for approving the Tariff for various categories has been discussed subsequently in the tariff Philosophy chapter in this Order.</w:t>
      </w:r>
    </w:p>
    <w:p w:rsidR="002A3AA1" w:rsidRPr="00714D83" w:rsidRDefault="002A3AA1" w:rsidP="002A3AA1">
      <w:pPr>
        <w:pStyle w:val="Heading3"/>
        <w:numPr>
          <w:ilvl w:val="0"/>
          <w:numId w:val="0"/>
        </w:numPr>
        <w:tabs>
          <w:tab w:val="clear" w:pos="720"/>
          <w:tab w:val="left" w:pos="4860"/>
        </w:tabs>
        <w:ind w:left="993"/>
        <w:rPr>
          <w:szCs w:val="24"/>
        </w:rPr>
      </w:pPr>
    </w:p>
    <w:p w:rsidR="00023318" w:rsidRPr="00023318" w:rsidRDefault="00023318" w:rsidP="00023318">
      <w:pPr>
        <w:pStyle w:val="Heading2"/>
        <w:spacing w:line="276" w:lineRule="auto"/>
        <w:rPr>
          <w:rFonts w:ascii="Calibri" w:hAnsi="Calibri"/>
        </w:rPr>
      </w:pPr>
      <w:bookmarkStart w:id="117" w:name="_Toc454277471"/>
      <w:bookmarkStart w:id="118" w:name="_Toc457355451"/>
      <w:r w:rsidRPr="00023318">
        <w:rPr>
          <w:rFonts w:ascii="Calibri" w:hAnsi="Calibri"/>
        </w:rPr>
        <w:t>METERING AND BILLING FOR LMV-10 CATEGORY</w:t>
      </w:r>
      <w:bookmarkEnd w:id="117"/>
      <w:bookmarkEnd w:id="118"/>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80"/>
        </w:numPr>
        <w:tabs>
          <w:tab w:val="left" w:pos="1980"/>
        </w:tabs>
        <w:spacing w:before="0"/>
        <w:contextualSpacing/>
        <w:rPr>
          <w:b/>
          <w:i/>
        </w:rPr>
      </w:pPr>
      <w:r w:rsidRPr="00023318">
        <w:rPr>
          <w:b/>
          <w:i/>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K. L. Aggarwal chairman Associate Chambers of Commerce &amp; Industries of U. P submitted that time frame has to be decided by the Commission for the installation of 100% meters on departmental employees, which shall enable to put complete check on wasteful use of electricity and actual figures of energy consumption. Further, till these connections are not metered, such un-metered connections be billed on the different rates by creating new category for such consumers. </w:t>
      </w:r>
    </w:p>
    <w:p w:rsidR="00023318" w:rsidRPr="00023318" w:rsidRDefault="00023318" w:rsidP="00023318">
      <w:pPr>
        <w:pStyle w:val="Heading3"/>
        <w:tabs>
          <w:tab w:val="clear" w:pos="720"/>
          <w:tab w:val="left" w:pos="4860"/>
        </w:tabs>
        <w:ind w:left="993" w:hanging="993"/>
        <w:rPr>
          <w:bCs w:val="0"/>
          <w:szCs w:val="24"/>
        </w:rPr>
      </w:pPr>
      <w:r w:rsidRPr="00023318">
        <w:rPr>
          <w:szCs w:val="24"/>
        </w:rPr>
        <w:t>Vidyut Karamchari Sanyukt Sagharsh Samiti, Supervising Engineer Noida (Gautam budh nagar and others), Uttar Rajya Vidut Parishad Abhiyanta Sangh and Vidyut Pensioners welfare Association  and other stakeholders submitted  that category LMV-10 should be continue as before and not to be abolished as it is the negligence of section 21 of Indian Constitution. It is further submitted that facilities/benefit provided to employees and pensioners is as per Section 23(7) of Electricity reform Act 1999, Section 133(2) of Electricity Act 2003, Section 3 (4)  of UP Reform transfer Scheme etc.</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Uttar Pradesh Rajya Vidyut Parisad Chaturth Shreni Karamchari sangh submitted that meter should not be installed in the premises of departmental Employees &amp; pensioners and metering &amp; billing should continue as before.  </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 xml:space="preserve">Shri Ashok kumar Goyal President, National Chamber of Industries &amp; Commerce U.P submitted that free / concessional supply to pensioners should be borne by the State Govt. through a budgetary support and not through increase in tariff of industrial consumers.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Vikram Singh, Vidhyut Pensioner Parisad submitted that the tariff of LMV-10 should not be increased and it is against the Orders of Govt. providing benefit to the employees. Stakeholder further submitted that same tariff for existing employees and retired employees are unlawful. </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EC6AAC">
      <w:pPr>
        <w:numPr>
          <w:ilvl w:val="0"/>
          <w:numId w:val="80"/>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In light of Section 23 (7) of Electricity Reforms Act, 1999, the licensee submitted their tariff proposals for metered as well as unmetered category, in the best interest of utility. The commitments of ‘UDAI’ agreement has also been taken into account while proposing the Tariff.</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80"/>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taken note of the above objections / suggestions made by the stakeholders in this regards and has dealt with this issued while designing the Tariff as detailed in Rate Schedule provided subsequently in this Order.</w:t>
      </w:r>
    </w:p>
    <w:p w:rsidR="002A3AA1" w:rsidRPr="00714D83" w:rsidRDefault="002A3AA1" w:rsidP="002A3AA1">
      <w:pPr>
        <w:rPr>
          <w:rFonts w:cs="Calibri"/>
          <w:bCs/>
          <w:color w:val="000000"/>
        </w:rPr>
      </w:pPr>
    </w:p>
    <w:p w:rsidR="00023318" w:rsidRPr="00023318" w:rsidRDefault="00023318" w:rsidP="00023318">
      <w:pPr>
        <w:pStyle w:val="Heading2"/>
        <w:spacing w:line="276" w:lineRule="auto"/>
        <w:rPr>
          <w:rFonts w:ascii="Calibri" w:hAnsi="Calibri"/>
        </w:rPr>
      </w:pPr>
      <w:bookmarkStart w:id="119" w:name="_Toc454277472"/>
      <w:bookmarkStart w:id="120" w:name="_Toc457355452"/>
      <w:r w:rsidRPr="00023318">
        <w:rPr>
          <w:rFonts w:ascii="Calibri" w:hAnsi="Calibri"/>
        </w:rPr>
        <w:t>COMPLAINCE OF DIRECTIVES</w:t>
      </w:r>
      <w:bookmarkEnd w:id="119"/>
      <w:bookmarkEnd w:id="120"/>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81"/>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K.L. Aggarwal, Chairman Associate Chambers of Commerce &amp; Industries of U. P submitted that Licensees have not followed the “Suo Moto Proceedings in matter of Regulatory Surcharge” dated 18-04-2016 and OTS Order. Licensees must follow the clause 139 of the UPERC (Conduct of Business) Regulation 2004 and its amendments from time to time.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D.S. Verma  Executive Director, Indian Industries Association submitted that the Commission for the past 16 years has been passing the Orders on Un-metered supply of power and it appears that the Licensees are not listening to the repeated directives of the Commission. As this situation in power starved and loss incurring Discoms is not corrected since long years, it is requested to the Commission to take a </w:t>
      </w:r>
      <w:r w:rsidRPr="00023318">
        <w:rPr>
          <w:szCs w:val="24"/>
        </w:rPr>
        <w:lastRenderedPageBreak/>
        <w:t>strict action and not to allow supply of unmetered electrical supply to any category of consumers.</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Avadhesh Kumar, Chairman, Uttar Pradesh Rajya Vidyut Upbhoktha Parishad, submitted that Discoms are filing their ARR petition every year without following the direction issued by the Commission and tariff is increasing year by year, which is not justified. The commission should keep watch for compliance of direction by the Discoms in their proceedings. </w:t>
      </w:r>
    </w:p>
    <w:p w:rsidR="00023318" w:rsidRPr="00023318" w:rsidRDefault="00023318" w:rsidP="00023318">
      <w:pPr>
        <w:pStyle w:val="Heading3"/>
        <w:tabs>
          <w:tab w:val="clear" w:pos="720"/>
          <w:tab w:val="left" w:pos="4860"/>
        </w:tabs>
        <w:ind w:left="993" w:hanging="993"/>
        <w:rPr>
          <w:szCs w:val="24"/>
        </w:rPr>
      </w:pPr>
      <w:r w:rsidRPr="00023318">
        <w:rPr>
          <w:szCs w:val="24"/>
        </w:rPr>
        <w:t>Shri Akarsh Garg, Advocate for Indian Industries Association, submitted that the Commission in its earlier Orders had directed the Discoms to take several actions, which would improve the working; however, no tangible action seems to have taken in the matter so far. Repetition of the same answers year after year shows lack of willingness of Discoms to comply with such directions and wilful default on their part and hence, it is requested to the Commission to take the matter in its own hands and outsourced the tasks to a competent external authority.</w:t>
      </w:r>
    </w:p>
    <w:p w:rsidR="00023318" w:rsidRPr="00023318" w:rsidRDefault="00023318" w:rsidP="00023318">
      <w:pPr>
        <w:pStyle w:val="Heading3"/>
        <w:tabs>
          <w:tab w:val="clear" w:pos="720"/>
          <w:tab w:val="left" w:pos="4860"/>
        </w:tabs>
        <w:ind w:left="993" w:hanging="993"/>
        <w:rPr>
          <w:rFonts w:cs="Calibri"/>
          <w:color w:val="000000"/>
          <w:szCs w:val="24"/>
        </w:rPr>
      </w:pPr>
      <w:r w:rsidRPr="00023318">
        <w:rPr>
          <w:bCs w:val="0"/>
          <w:szCs w:val="24"/>
        </w:rPr>
        <w:t>Shri Rama Shanker Awasthi submitted that the Licensees should pay interest on amounts on account of bill adjustments etc. Provisions are already there in the EA 2003 and relevant Tariff Regulations. It is further submitted that the Commission may direct the State Discoms to strictly follow the said provisions.</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1"/>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s>
        <w:ind w:left="993" w:hanging="993"/>
        <w:contextualSpacing/>
        <w:rPr>
          <w:szCs w:val="24"/>
        </w:rPr>
      </w:pPr>
      <w:r w:rsidRPr="00023318">
        <w:rPr>
          <w:szCs w:val="24"/>
        </w:rPr>
        <w:t xml:space="preserve">The Licensee submitted that Order dated June 6, 2014 issued by the Commission regarding regulatory surcharge for FY 2014-15 was a legal interim order and was applicable since the date of issue. Further, it is submitted that publication of any clarification is done in case the Commission specifically directs to do so. As such, the said clarification on the regulatory surcharge was not published. </w:t>
      </w:r>
      <w:r w:rsidRPr="00023318">
        <w:rPr>
          <w:bCs w:val="0"/>
          <w:szCs w:val="24"/>
        </w:rPr>
        <w:t>However the same was published on the web-site of UPPCL for information to all the stake holders</w:t>
      </w:r>
      <w:r w:rsidRPr="00023318">
        <w:rPr>
          <w:szCs w:val="24"/>
        </w:rPr>
        <w:t>.</w:t>
      </w:r>
    </w:p>
    <w:p w:rsidR="00023318" w:rsidRPr="00023318" w:rsidRDefault="00023318" w:rsidP="00023318">
      <w:pPr>
        <w:pStyle w:val="Heading3"/>
        <w:tabs>
          <w:tab w:val="clear" w:pos="720"/>
        </w:tabs>
        <w:ind w:left="993" w:hanging="993"/>
        <w:rPr>
          <w:szCs w:val="24"/>
        </w:rPr>
      </w:pPr>
      <w:r w:rsidRPr="00023318">
        <w:rPr>
          <w:bCs w:val="0"/>
          <w:szCs w:val="24"/>
        </w:rPr>
        <w:t>The Commission has embarked upon the glorious intention of 100% metering in the state of UP.  In view of   same, a target of 100</w:t>
      </w:r>
      <w:r w:rsidRPr="00023318">
        <w:rPr>
          <w:szCs w:val="24"/>
        </w:rPr>
        <w:t>% metering</w:t>
      </w:r>
      <w:r w:rsidRPr="00023318">
        <w:rPr>
          <w:bCs w:val="0"/>
          <w:szCs w:val="24"/>
        </w:rPr>
        <w:t xml:space="preserve"> of urban consumers up to December 2015 was set by the Commission. The representatives of Discoms had assured the Commission of achieving the targ</w:t>
      </w:r>
      <w:r w:rsidRPr="00023318">
        <w:rPr>
          <w:szCs w:val="24"/>
        </w:rPr>
        <w:t>et to the satisfaction of the Commission.</w:t>
      </w:r>
    </w:p>
    <w:p w:rsidR="00023318" w:rsidRPr="00023318" w:rsidRDefault="00023318" w:rsidP="00023318">
      <w:pPr>
        <w:pStyle w:val="Heading3"/>
        <w:tabs>
          <w:tab w:val="clear" w:pos="720"/>
        </w:tabs>
        <w:ind w:left="993" w:hanging="993"/>
        <w:rPr>
          <w:szCs w:val="24"/>
        </w:rPr>
      </w:pPr>
      <w:r w:rsidRPr="00023318">
        <w:rPr>
          <w:szCs w:val="24"/>
        </w:rPr>
        <w:t>Thus, it is demonstrated that the Discom is committed to achieve 100% metering and are strictly following the instructions of the Commission.</w:t>
      </w:r>
    </w:p>
    <w:p w:rsidR="00646E80" w:rsidRPr="00714D83" w:rsidRDefault="00646E80" w:rsidP="002A3AA1">
      <w:pPr>
        <w:pStyle w:val="Heading3"/>
        <w:numPr>
          <w:ilvl w:val="0"/>
          <w:numId w:val="0"/>
        </w:numPr>
        <w:tabs>
          <w:tab w:val="clear" w:pos="720"/>
        </w:tabs>
        <w:ind w:left="993"/>
        <w:rPr>
          <w:szCs w:val="24"/>
        </w:rPr>
      </w:pPr>
    </w:p>
    <w:p w:rsidR="002A3AA1" w:rsidRPr="00714D83" w:rsidRDefault="00023318" w:rsidP="00EC6AAC">
      <w:pPr>
        <w:numPr>
          <w:ilvl w:val="0"/>
          <w:numId w:val="81"/>
        </w:numPr>
        <w:spacing w:before="0"/>
        <w:contextualSpacing/>
        <w:rPr>
          <w:b/>
          <w:i/>
        </w:rPr>
      </w:pPr>
      <w:r w:rsidRPr="00023318">
        <w:rPr>
          <w:rFonts w:cs="Calibri"/>
          <w:b/>
          <w:bCs/>
          <w:i/>
          <w:iCs/>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As regards to compliance of directives issued by the Commission in its previous Orders the Commission has taken note of the objections / suggestions raised by the stakeholders and the replies submitted by the Licensees on the same. The detailed directives as given in earlier Orders and its status of compliance submitted by the Licensees and new directives issued by the Commission have been discussed subsequently in this Order.</w:t>
      </w:r>
    </w:p>
    <w:p w:rsidR="002A3AA1" w:rsidRPr="00714D83" w:rsidRDefault="002A3AA1" w:rsidP="002A3AA1">
      <w:pPr>
        <w:rPr>
          <w:rFonts w:cs="Calibri"/>
          <w:color w:val="000000"/>
        </w:rPr>
      </w:pPr>
    </w:p>
    <w:p w:rsidR="00023318" w:rsidRPr="00023318" w:rsidRDefault="00023318" w:rsidP="00023318">
      <w:pPr>
        <w:pStyle w:val="Heading2"/>
        <w:spacing w:line="276" w:lineRule="auto"/>
        <w:rPr>
          <w:rFonts w:ascii="Calibri" w:hAnsi="Calibri"/>
        </w:rPr>
      </w:pPr>
      <w:bookmarkStart w:id="121" w:name="_Toc454277473"/>
      <w:bookmarkStart w:id="122" w:name="_Toc457355453"/>
      <w:r w:rsidRPr="00023318">
        <w:rPr>
          <w:rFonts w:ascii="Calibri" w:hAnsi="Calibri"/>
        </w:rPr>
        <w:t>MINIMUM CONSUMPTION CHARGES AND FIXED CHARGES</w:t>
      </w:r>
      <w:bookmarkEnd w:id="121"/>
      <w:bookmarkEnd w:id="122"/>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82"/>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Amar Singh, President Consumer protection Society submitted that the actual historical data of category wise revenue received including the fixed charges and minimum charges during the past years is not in ARR. Stakeholder further submitted that fixed charges and minimum charges are unlawful in view of shortage of supply than the demand and must be withdrawn. </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submitted that after charging system loading charge there is no justification to charge fixed charge and minimum charge.</w:t>
      </w:r>
    </w:p>
    <w:p w:rsidR="00023318" w:rsidRPr="00023318" w:rsidRDefault="00023318" w:rsidP="00023318">
      <w:pPr>
        <w:pStyle w:val="Heading3"/>
        <w:tabs>
          <w:tab w:val="clear" w:pos="720"/>
          <w:tab w:val="left" w:pos="4860"/>
        </w:tabs>
        <w:ind w:left="993" w:hanging="993"/>
        <w:rPr>
          <w:szCs w:val="24"/>
        </w:rPr>
      </w:pPr>
      <w:r w:rsidRPr="00023318">
        <w:rPr>
          <w:szCs w:val="24"/>
        </w:rPr>
        <w:t>Shri G.C. Chaturvedi, Indian Industries Association and Lokesh Kumar Aggarwal, UP Udhyog Vyapar Patnidhi Mandal submitted that minimum charges proposed for LMV-2 category should be removed, since due to minimum charges small shopkeepers whose monthly consumption is of the range 20-50 units per month are forced to pay Rs. 25 to Rs. 35 per unit due to electricity duty, regulatory surcharge, fixed charge and minimum charge.</w:t>
      </w:r>
    </w:p>
    <w:p w:rsidR="00023318" w:rsidRPr="00023318" w:rsidRDefault="00023318" w:rsidP="00023318">
      <w:pPr>
        <w:pStyle w:val="Heading3"/>
        <w:tabs>
          <w:tab w:val="clear" w:pos="720"/>
          <w:tab w:val="left" w:pos="4860"/>
        </w:tabs>
        <w:ind w:left="993" w:hanging="993"/>
        <w:rPr>
          <w:szCs w:val="24"/>
        </w:rPr>
      </w:pPr>
      <w:r w:rsidRPr="00023318">
        <w:rPr>
          <w:szCs w:val="24"/>
        </w:rPr>
        <w:t>Shri D.S. Verma Executive Director, Indian Industries Association submitted that method for charging demand charges for HV-2 category may be implemented for LMV-6 category.</w:t>
      </w:r>
    </w:p>
    <w:p w:rsidR="00023318" w:rsidRPr="00023318" w:rsidRDefault="00023318" w:rsidP="00023318">
      <w:pPr>
        <w:pStyle w:val="Heading3"/>
        <w:tabs>
          <w:tab w:val="clear" w:pos="720"/>
          <w:tab w:val="left" w:pos="4860"/>
        </w:tabs>
        <w:ind w:left="993" w:hanging="993"/>
        <w:rPr>
          <w:szCs w:val="24"/>
        </w:rPr>
      </w:pPr>
      <w:r w:rsidRPr="00023318">
        <w:rPr>
          <w:szCs w:val="24"/>
        </w:rPr>
        <w:t>Director, The Mahabir Jute Mills Ltd. Submitted, the commercial users require maximum power in the evening time, but in most of the area power is not given during evening/ night hours. So, it is not justified to charge fixed charges to them.</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Shri K. L. Aggarwal chairman Associate Chambers of Commerce &amp; Industries of U. P submitted that minimum charge may be waived off in case when supply of the consumer is disconnected for non-payment of the energy bill.</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and Miss Romi, Global Care Organization submitted that proposed slabs of fixed charges is not justified as the same are not allowed by the Commission.</w:t>
      </w:r>
    </w:p>
    <w:p w:rsidR="00023318" w:rsidRPr="00023318" w:rsidRDefault="00023318" w:rsidP="00023318">
      <w:pPr>
        <w:pStyle w:val="Heading3"/>
        <w:tabs>
          <w:tab w:val="clear" w:pos="720"/>
          <w:tab w:val="left" w:pos="4860"/>
        </w:tabs>
        <w:ind w:left="993" w:hanging="993"/>
        <w:rPr>
          <w:szCs w:val="24"/>
        </w:rPr>
      </w:pPr>
      <w:r w:rsidRPr="00023318">
        <w:rPr>
          <w:szCs w:val="24"/>
        </w:rPr>
        <w:t>Shri P.N Singh , Nagrik Adhikar Manch, Uttar Pradesh submitted that charging fixed charge along with service charge is not justified. Further, the stakeholder requested the Commission to abolish fixed charges for domestic as well as small Industries.</w:t>
      </w:r>
    </w:p>
    <w:p w:rsidR="00023318" w:rsidRPr="00023318" w:rsidRDefault="00023318" w:rsidP="00023318">
      <w:pPr>
        <w:pStyle w:val="Heading3"/>
        <w:tabs>
          <w:tab w:val="clear" w:pos="720"/>
          <w:tab w:val="left" w:pos="4860"/>
        </w:tabs>
        <w:ind w:left="993" w:hanging="993"/>
        <w:rPr>
          <w:szCs w:val="24"/>
        </w:rPr>
      </w:pPr>
      <w:r w:rsidRPr="00023318">
        <w:rPr>
          <w:szCs w:val="24"/>
        </w:rPr>
        <w:t>Shri Avadhesh Kumar, Chairman, Uttar Pradesh Rajya Vidyut Upbhoktha Parishad submitted that a rural commercial consumer is not supplied electricity during night hours, in some of district electricity supply is for few hours under such circumstances levy of minimum charges is totally unjustified and same should be abolished.</w:t>
      </w:r>
    </w:p>
    <w:p w:rsidR="00023318" w:rsidRPr="00023318" w:rsidRDefault="00023318" w:rsidP="00023318">
      <w:pPr>
        <w:pStyle w:val="Heading3"/>
        <w:tabs>
          <w:tab w:val="clear" w:pos="720"/>
          <w:tab w:val="left" w:pos="4860"/>
        </w:tabs>
        <w:ind w:left="993" w:hanging="993"/>
        <w:rPr>
          <w:szCs w:val="24"/>
        </w:rPr>
      </w:pPr>
      <w:r w:rsidRPr="00023318">
        <w:rPr>
          <w:szCs w:val="24"/>
        </w:rPr>
        <w:t>Shri Chandra Shekhar Sharma Chairman, Aligarh Tala nagri Audyogik Association submitted that in Kerala industries are having lowest tariff but in UP it is highest. Stakeholder further submitted that for seasonal industry charging same minimum charge for whole complete year is not justified. Stakeholder also submitted that to promote industries in the state some steps may be taken like charging only energy charges, allowing industries to disconnect any time, and removal of demand penalty up to 25 kW.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Sandeep Ranjan Gupta submitted that in cases where demand exceeds to Contracted load for continuous 6 month, contracted load automatic should increased, and additional security may be added in electricity bill of consumer. This will increase the revenue of the Licensees. </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and Shri Ashok Kumar Goyal, President of National Chamber of Industries &amp; Commerce submitted that the concept of fixed charges is wrong hence it should be removed.</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and Miss Romi, Global Care Organization submitted that the Commission should abolish the Minimum Consumption Charges levied on urban LMV-2 consumers as it is against the principle on conservation of Energy and principal of Economics.</w:t>
      </w:r>
    </w:p>
    <w:p w:rsidR="00023318" w:rsidRDefault="00023318" w:rsidP="00023318">
      <w:pPr>
        <w:pStyle w:val="Heading3"/>
        <w:tabs>
          <w:tab w:val="clear" w:pos="720"/>
          <w:tab w:val="left" w:pos="4860"/>
        </w:tabs>
        <w:ind w:left="993" w:hanging="993"/>
        <w:rPr>
          <w:szCs w:val="24"/>
        </w:rPr>
      </w:pPr>
      <w:r w:rsidRPr="00023318">
        <w:rPr>
          <w:szCs w:val="24"/>
        </w:rPr>
        <w:t xml:space="preserve">Shri Tilok Singh submitted that fixed charge, surcharge and demand charge should be abolished. </w:t>
      </w:r>
    </w:p>
    <w:p w:rsidR="00023318" w:rsidRPr="00023318" w:rsidRDefault="00023318" w:rsidP="00023318">
      <w:pPr>
        <w:pStyle w:val="Heading3"/>
        <w:numPr>
          <w:ilvl w:val="0"/>
          <w:numId w:val="0"/>
        </w:numPr>
        <w:tabs>
          <w:tab w:val="clear" w:pos="720"/>
          <w:tab w:val="left" w:pos="4860"/>
        </w:tabs>
        <w:ind w:left="993"/>
        <w:rPr>
          <w:szCs w:val="24"/>
        </w:rPr>
      </w:pPr>
    </w:p>
    <w:p w:rsidR="002A3AA1" w:rsidRPr="00714D83" w:rsidRDefault="00023318" w:rsidP="00EC6AAC">
      <w:pPr>
        <w:numPr>
          <w:ilvl w:val="0"/>
          <w:numId w:val="82"/>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submitted that fixed charges / minimum charges are part of tariff and are levied for developing the required infrastructure and to meet the expenses incurred to maintain the supply at all the times. These charges cannot be withdrawn, as they are levied as per provisions of Electricity Act, 2003. The Licensee submitted that the minimum charges have been designed to ensure minimum recovery from the consumers considering that they get electricity for about 3-4 hours only during the day. The Licensees added that at the minimum of 8-10 hours of electricity supply, is being given to rural consumers and all other categories of consumers are getting supply for more than the above mentioned duration and this is despite of vast demand-supply gap. Industries are given top priority and scheduled for getting maximum supply but sometimes system condition and availability of power effects the schedule adversely. </w:t>
      </w:r>
    </w:p>
    <w:p w:rsidR="00023318" w:rsidRPr="00023318" w:rsidRDefault="00023318" w:rsidP="00023318">
      <w:pPr>
        <w:pStyle w:val="Heading3"/>
        <w:tabs>
          <w:tab w:val="clear" w:pos="720"/>
          <w:tab w:val="left" w:pos="4860"/>
        </w:tabs>
        <w:ind w:left="993" w:hanging="993"/>
        <w:rPr>
          <w:szCs w:val="24"/>
        </w:rPr>
      </w:pPr>
      <w:r w:rsidRPr="00023318">
        <w:rPr>
          <w:szCs w:val="24"/>
        </w:rPr>
        <w:t>In respect to minimum charges for commercial categories, the Licensee clarifies that the minimum consumption guarantee is required where a consumer has to pay every month a certain bill amount which is levied to recover the fixed expenses since the Licensee has to incur some expenditure to keep supply always ready for the consumer to the extent of their contracted demand. The Licensee further adds that in the Tariff Order for FY 2002-03, the Commission has defined the said charges as below :-</w:t>
      </w:r>
    </w:p>
    <w:p w:rsidR="002A3AA1" w:rsidRPr="00714D83" w:rsidRDefault="00023318" w:rsidP="002A3AA1">
      <w:pPr>
        <w:pStyle w:val="Heading3"/>
        <w:numPr>
          <w:ilvl w:val="0"/>
          <w:numId w:val="0"/>
        </w:numPr>
        <w:tabs>
          <w:tab w:val="clear" w:pos="720"/>
          <w:tab w:val="left" w:pos="4860"/>
        </w:tabs>
        <w:ind w:left="1440"/>
        <w:rPr>
          <w:i/>
          <w:szCs w:val="24"/>
        </w:rPr>
      </w:pPr>
      <w:r w:rsidRPr="00023318">
        <w:rPr>
          <w:i/>
          <w:szCs w:val="24"/>
        </w:rPr>
        <w:t xml:space="preserve">“Fixed / Demand Charge is meant to defray the capital related and other fixed costs while Energy Charges is meant to meet the running expenses i.e. fuel cost / variable portion of power purchase cost, etc. A Licensee requires machinery, plant equipment, sub-stations, and transmission lines, etc., all of which need a large capital outlay.  For this purpose it has to raise funds by obtaining loans.  The loans have to be repaid with interest. In the total cost, provision is also to be made for depreciation on machinery, equipment and buildings, plants, machines, sub-stations and lines that have to be maintained. All these activities require large staff and their related cost.  These costs are largely fixed in nature and are levied as a part of tariff to recover such costs.” </w:t>
      </w:r>
    </w:p>
    <w:p w:rsidR="002A3AA1" w:rsidRPr="00714D83" w:rsidRDefault="00023318" w:rsidP="002A3AA1">
      <w:pPr>
        <w:pStyle w:val="Heading3"/>
        <w:numPr>
          <w:ilvl w:val="0"/>
          <w:numId w:val="0"/>
        </w:numPr>
        <w:tabs>
          <w:tab w:val="clear" w:pos="720"/>
          <w:tab w:val="left" w:pos="4860"/>
        </w:tabs>
        <w:ind w:left="993"/>
        <w:rPr>
          <w:szCs w:val="24"/>
        </w:rPr>
      </w:pPr>
      <w:r w:rsidRPr="00023318">
        <w:rPr>
          <w:szCs w:val="24"/>
        </w:rPr>
        <w:t xml:space="preserve">It has been further mentioned in the said order that: </w:t>
      </w:r>
    </w:p>
    <w:p w:rsidR="002A3AA1" w:rsidRPr="00714D83" w:rsidRDefault="00023318" w:rsidP="002A3AA1">
      <w:pPr>
        <w:pStyle w:val="Heading3"/>
        <w:numPr>
          <w:ilvl w:val="0"/>
          <w:numId w:val="0"/>
        </w:numPr>
        <w:tabs>
          <w:tab w:val="clear" w:pos="720"/>
          <w:tab w:val="left" w:pos="4860"/>
        </w:tabs>
        <w:ind w:left="1440"/>
        <w:rPr>
          <w:bCs w:val="0"/>
          <w:i/>
          <w:szCs w:val="24"/>
        </w:rPr>
      </w:pPr>
      <w:r w:rsidRPr="00023318">
        <w:rPr>
          <w:i/>
          <w:szCs w:val="24"/>
        </w:rPr>
        <w:t xml:space="preserve">“the minimum charges are recovered as Licensee keeps in readiness of energy for the consumer to the extent of contracted demand. If the consumer does not </w:t>
      </w:r>
      <w:r w:rsidRPr="00023318">
        <w:rPr>
          <w:i/>
          <w:szCs w:val="24"/>
        </w:rPr>
        <w:lastRenderedPageBreak/>
        <w:t>avail of it, energy cannot be stored or preserve. The consumer is therefore, required to pay a fixed sum for energy generation/purchase, even if he does not consume electricity at the contractual level. The levy of minimum charges has been upheld legally, and is being used in several states to enable the utility to recover a part of fixed cost. The difference between levy of fixed charges and minimum charges is that while fixed charges are charged from consumer irrespective of consumption the minimum charges comes into effect only when the bill amount is less than certain prescribed amount. If the minimum charges are not levied than there will be increase in some other charges as the utility has to recover on its prudently incurred cost from consumer.”</w:t>
      </w:r>
    </w:p>
    <w:p w:rsidR="002A3AA1" w:rsidRPr="00714D83" w:rsidRDefault="00023318" w:rsidP="002A3AA1">
      <w:pPr>
        <w:pStyle w:val="Heading3"/>
        <w:numPr>
          <w:ilvl w:val="0"/>
          <w:numId w:val="0"/>
        </w:numPr>
        <w:tabs>
          <w:tab w:val="clear" w:pos="720"/>
          <w:tab w:val="left" w:pos="4860"/>
        </w:tabs>
        <w:ind w:left="993"/>
        <w:rPr>
          <w:szCs w:val="24"/>
        </w:rPr>
      </w:pPr>
      <w:r w:rsidRPr="00023318">
        <w:rPr>
          <w:szCs w:val="24"/>
        </w:rPr>
        <w:t>Therefore these charges are logical and necessary. It is submitted that fixed costs constitute around 40% of the total expenses of the distribution licensees. However, the revenue assessment from fixed charges is less than the 40% of the total expenses of the distribution licensees.</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numPr>
          <w:ilvl w:val="0"/>
          <w:numId w:val="82"/>
        </w:numPr>
        <w:spacing w:before="0"/>
        <w:contextualSpacing/>
        <w:rPr>
          <w:b/>
          <w:i/>
        </w:rPr>
      </w:pPr>
      <w:r w:rsidRPr="00023318">
        <w:rPr>
          <w:rFonts w:cs="Calibri"/>
          <w:b/>
          <w:bCs/>
          <w:i/>
          <w:iCs/>
        </w:rPr>
        <w:t>The Commission’s view:</w:t>
      </w:r>
    </w:p>
    <w:p w:rsidR="00596C3F" w:rsidRPr="009040B6" w:rsidRDefault="00023318" w:rsidP="009040B6">
      <w:pPr>
        <w:pStyle w:val="Heading3"/>
        <w:numPr>
          <w:ilvl w:val="0"/>
          <w:numId w:val="0"/>
        </w:numPr>
        <w:tabs>
          <w:tab w:val="clear" w:pos="720"/>
          <w:tab w:val="left" w:pos="4860"/>
        </w:tabs>
        <w:ind w:left="993"/>
        <w:rPr>
          <w:szCs w:val="24"/>
        </w:rPr>
      </w:pPr>
      <w:r w:rsidRPr="00023318">
        <w:rPr>
          <w:szCs w:val="24"/>
        </w:rPr>
        <w:t>The Commission has taken note of the objections / suggestions made by the Stakeholders in this regard. The Commission has taken note of the objections / suggestions made by the stakeholders in this regard. Further, the Licensees in its submission have provided the justification towards the rationale for imposition of such charges. The Commission has considered the same and the details of all the aspects have been covered subsequently in Chapter Tariff Philosophy and Rate Schedule provided in this Order.</w:t>
      </w:r>
    </w:p>
    <w:p w:rsidR="00596C3F" w:rsidRPr="00714D83" w:rsidRDefault="00596C3F" w:rsidP="002A3AA1">
      <w:pPr>
        <w:pStyle w:val="Heading3"/>
        <w:numPr>
          <w:ilvl w:val="0"/>
          <w:numId w:val="0"/>
        </w:numPr>
        <w:tabs>
          <w:tab w:val="clear" w:pos="720"/>
          <w:tab w:val="left" w:pos="4860"/>
        </w:tabs>
        <w:ind w:left="993"/>
        <w:rPr>
          <w:rFonts w:cs="Calibri"/>
          <w:szCs w:val="24"/>
        </w:rPr>
      </w:pPr>
    </w:p>
    <w:p w:rsidR="00023318" w:rsidRPr="00023318" w:rsidRDefault="00023318" w:rsidP="00023318">
      <w:pPr>
        <w:pStyle w:val="Heading2"/>
        <w:spacing w:line="276" w:lineRule="auto"/>
        <w:rPr>
          <w:rFonts w:ascii="Calibri" w:hAnsi="Calibri"/>
        </w:rPr>
      </w:pPr>
      <w:bookmarkStart w:id="123" w:name="_Toc454277474"/>
      <w:bookmarkStart w:id="124" w:name="_Toc457355454"/>
      <w:r w:rsidRPr="00023318">
        <w:rPr>
          <w:rFonts w:ascii="Calibri" w:hAnsi="Calibri"/>
        </w:rPr>
        <w:t>RECOVERY OF OUTSTANDING DUES</w:t>
      </w:r>
      <w:bookmarkEnd w:id="123"/>
      <w:bookmarkEnd w:id="124"/>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83"/>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that sincere efforts to be made for recovery of outstanding dues and passing on the burden to honest consumer may be avoided.</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submitted that the State Discoms have very poor collection efficiency thereby always having a cash flow problem and it directly affects the consumer services and maintenance part. It is further submitted that the State Discoms must improve their collection efficiency.</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3"/>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arrear in the books of accounts include a huge amount against the consumers whose permanent disconnection are pending for final settlement. Further, in the past, One Time Settlement schemes were launched, wherein old arrears were settled; but in some cases the arrears are still shown in commercial records. Further true-up petitions up to FY 2013-14 have already been filed on the basis of audited accounts, so every concern of the consumers would be taken care of in yearly calculations which will depict the correct picture of the revenue and expenditure. The Tariff and True-up petitions have been filed in accordance with the Tariff Regulations. The burden of arrears and the recovery thereof, if any, would have no impact of the allowable True-up and ARR of any year.</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Further, the ARR / Tariff would be determined by the Commission based on audited accounts of (n-2th) year which reflect true and fair view of the financial transaction. Further this exercise will be carried on yearly basis which will take care of the concern of the stakeholders. </w:t>
      </w:r>
    </w:p>
    <w:p w:rsidR="00023318" w:rsidRPr="00023318" w:rsidRDefault="00023318" w:rsidP="00023318">
      <w:pPr>
        <w:pStyle w:val="Heading3"/>
        <w:tabs>
          <w:tab w:val="clear" w:pos="720"/>
          <w:tab w:val="left" w:pos="4860"/>
        </w:tabs>
        <w:ind w:left="993" w:hanging="993"/>
        <w:rPr>
          <w:szCs w:val="24"/>
        </w:rPr>
      </w:pPr>
      <w:r w:rsidRPr="00023318">
        <w:rPr>
          <w:szCs w:val="24"/>
        </w:rPr>
        <w:t>The tariff of the Licensees is determined on accrual basis. The past dues cannot be treated as income of the Distribution Licensees. Thus, it will have no effect on determination of tariff. The electricity charges are recognised as income once the bills are raised on accrual basis. Hence, they cannot be recognised as income source when arrears are collected. The Commission fixes the tariff on accrual basis and not on the cash basis.</w:t>
      </w:r>
    </w:p>
    <w:p w:rsidR="00023318" w:rsidRPr="00023318" w:rsidRDefault="00023318" w:rsidP="00023318">
      <w:pPr>
        <w:pStyle w:val="Heading3"/>
        <w:tabs>
          <w:tab w:val="clear" w:pos="720"/>
          <w:tab w:val="left" w:pos="4860"/>
        </w:tabs>
        <w:ind w:left="993" w:hanging="993"/>
        <w:rPr>
          <w:szCs w:val="24"/>
        </w:rPr>
      </w:pPr>
      <w:r w:rsidRPr="00023318">
        <w:rPr>
          <w:szCs w:val="24"/>
        </w:rPr>
        <w:t>Treating the realization of arrears as income would amount to double counting of income. Therefore, it cannot be treated as income again on realization. This issue has been fairly established by the Hon’ble APTEL in its judgment in Appeal No. 15 of 2012 and Appeal No. 152 of 2011.</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83"/>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has ensured that Truing-up and Tariff determination has been done in accordance with the philosophies and principles laid in the Distribution Tariff Regulations, 2006 and the past Orders of the Commission. In the True up Sections of this Order the Commission has also conducted revenue side Truing up and the Commission has considered the revenue billed on accrual basis and not the revenue </w:t>
      </w:r>
      <w:r w:rsidRPr="00023318">
        <w:rPr>
          <w:szCs w:val="24"/>
        </w:rPr>
        <w:lastRenderedPageBreak/>
        <w:t>collected on cash basis, which has ensured that the burden of poor collection efficiency and consequent larger arrears is not passed on to the consumers.</w:t>
      </w:r>
    </w:p>
    <w:p w:rsidR="002A3AA1" w:rsidRPr="00714D83" w:rsidRDefault="002A3AA1" w:rsidP="002A3AA1">
      <w:pPr>
        <w:pStyle w:val="Heading3"/>
        <w:numPr>
          <w:ilvl w:val="0"/>
          <w:numId w:val="0"/>
        </w:numPr>
        <w:tabs>
          <w:tab w:val="clear" w:pos="720"/>
          <w:tab w:val="left" w:pos="4860"/>
        </w:tabs>
        <w:ind w:left="993"/>
        <w:rPr>
          <w:bCs w:val="0"/>
          <w:szCs w:val="24"/>
        </w:rPr>
      </w:pPr>
    </w:p>
    <w:p w:rsidR="00023318" w:rsidRPr="00023318" w:rsidRDefault="00023318" w:rsidP="00023318">
      <w:pPr>
        <w:pStyle w:val="Heading2"/>
        <w:spacing w:line="276" w:lineRule="auto"/>
        <w:rPr>
          <w:rFonts w:ascii="Calibri" w:hAnsi="Calibri"/>
        </w:rPr>
      </w:pPr>
      <w:bookmarkStart w:id="125" w:name="_Toc454277475"/>
      <w:bookmarkStart w:id="126" w:name="_Toc457355455"/>
      <w:r w:rsidRPr="00023318">
        <w:rPr>
          <w:rFonts w:ascii="Calibri" w:hAnsi="Calibri"/>
        </w:rPr>
        <w:t>REBATE ON PAYMENT/ OTHER REBATES</w:t>
      </w:r>
      <w:bookmarkEnd w:id="125"/>
      <w:bookmarkEnd w:id="126"/>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84"/>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Shri Avadhesh Kumar, Chairman, Uttar Pradesh Rajya Vidyut Upbhoktha Parishad and North Central Railway submitted that as per FY 2015-16 Tariff Order  the consumers paying bill timely get rebate of 0.25% which should be increased to 2%. Since every year OTS scheme is launched for defaulters in which 50% to 100% surcharge waiver is allowed. Because of this scheme, the consumer who pays their bills on time feels betrayed. They further requested the Commission to increase the rebate for timely payment to 2%.</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and Ashok kumar Goyal President, National Chamber of Industries &amp; Commerce submitted that honest consumer shall get rebate of 5% in their electricity bills if the variance between pole meter and meter installed at consumer premises is within  2%.</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EC6AAC">
      <w:pPr>
        <w:numPr>
          <w:ilvl w:val="0"/>
          <w:numId w:val="84"/>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the rebate on payment on or before due date is given as per the Commission’s Tariff Order for FY 2015-16. Further, Licensee has proposed same rebate in its tariff proposal for FY 2016-17. It is submitted that tariff proposal has been proposed keeping in view the interest of Licensee as well as consumers. Further reduction / rebate is not desirable as it will adversely affect the financial position of the licensee. The genuine costs incurred by the licensee should be allowed to be recovered in a reasonable manner as per the terms of the UPERC Tariff Regulations, 2006 and the Electricity Act, 2003.</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numPr>
          <w:ilvl w:val="0"/>
          <w:numId w:val="84"/>
        </w:numPr>
        <w:spacing w:before="0"/>
        <w:contextualSpacing/>
        <w:rPr>
          <w:b/>
          <w:i/>
        </w:rPr>
      </w:pPr>
      <w:r w:rsidRPr="00023318">
        <w:rPr>
          <w:rFonts w:cs="Calibri"/>
          <w:b/>
          <w:bCs/>
          <w:i/>
          <w:iCs/>
        </w:rPr>
        <w:t>The Commission’s view:</w:t>
      </w:r>
    </w:p>
    <w:p w:rsidR="00023318" w:rsidRPr="00023318" w:rsidRDefault="00023318" w:rsidP="00023318">
      <w:pPr>
        <w:pStyle w:val="Heading3"/>
        <w:tabs>
          <w:tab w:val="clear" w:pos="720"/>
          <w:tab w:val="left" w:pos="4860"/>
        </w:tabs>
        <w:ind w:left="993" w:hanging="993"/>
        <w:rPr>
          <w:bCs w:val="0"/>
          <w:szCs w:val="24"/>
        </w:rPr>
      </w:pPr>
      <w:r w:rsidRPr="00023318">
        <w:rPr>
          <w:szCs w:val="24"/>
        </w:rPr>
        <w:t>The Commission has taken note of the objections / suggestions made by the stakeholders in this regards. The applicable Tariffs for all the consumer categories have been desi</w:t>
      </w:r>
      <w:r w:rsidRPr="00023318">
        <w:rPr>
          <w:bCs w:val="0"/>
          <w:szCs w:val="24"/>
        </w:rPr>
        <w:t xml:space="preserve">gned in accordance with the Electricity Act, 2003 and the Tariff Policy. </w:t>
      </w:r>
      <w:r w:rsidRPr="00023318">
        <w:rPr>
          <w:bCs w:val="0"/>
          <w:szCs w:val="24"/>
        </w:rPr>
        <w:lastRenderedPageBreak/>
        <w:t>The details of all the aspects related to Tariff design have been covered subsequently in Chapter of Tariff Philosophy and Rate Schedule provided in this Order.</w:t>
      </w:r>
    </w:p>
    <w:p w:rsidR="002A3AA1" w:rsidRPr="00714D83" w:rsidRDefault="002A3AA1" w:rsidP="002A3AA1">
      <w:pPr>
        <w:pStyle w:val="ListParagraph"/>
        <w:rPr>
          <w:rFonts w:cs="Calibri"/>
        </w:rPr>
      </w:pPr>
    </w:p>
    <w:p w:rsidR="00023318" w:rsidRPr="00023318" w:rsidRDefault="00023318" w:rsidP="00023318">
      <w:pPr>
        <w:pStyle w:val="Heading2"/>
        <w:spacing w:line="276" w:lineRule="auto"/>
        <w:rPr>
          <w:rFonts w:ascii="Calibri" w:hAnsi="Calibri"/>
          <w:bCs w:val="0"/>
        </w:rPr>
      </w:pPr>
      <w:bookmarkStart w:id="127" w:name="_Toc453746327"/>
      <w:bookmarkStart w:id="128" w:name="_Toc453522774"/>
      <w:bookmarkStart w:id="129" w:name="_Toc453522775"/>
      <w:bookmarkStart w:id="130" w:name="_Toc453746328"/>
      <w:bookmarkStart w:id="131" w:name="_Toc453746329"/>
      <w:bookmarkStart w:id="132" w:name="_Toc453746330"/>
      <w:bookmarkStart w:id="133" w:name="_Toc453746331"/>
      <w:bookmarkStart w:id="134" w:name="_Toc453746332"/>
      <w:bookmarkStart w:id="135" w:name="_Toc453746333"/>
      <w:bookmarkStart w:id="136" w:name="_Toc453746334"/>
      <w:bookmarkStart w:id="137" w:name="_Toc453746335"/>
      <w:bookmarkStart w:id="138" w:name="_Toc453746336"/>
      <w:bookmarkStart w:id="139" w:name="_Toc453746337"/>
      <w:bookmarkStart w:id="140" w:name="_Toc453746338"/>
      <w:bookmarkStart w:id="141" w:name="_Toc454277476"/>
      <w:bookmarkStart w:id="142" w:name="_Toc45735545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023318">
        <w:rPr>
          <w:rFonts w:ascii="Calibri" w:hAnsi="Calibri"/>
          <w:bCs w:val="0"/>
        </w:rPr>
        <w:t>ELECTRICITY DUTY AND SECURITY DEPOSIT</w:t>
      </w:r>
      <w:bookmarkEnd w:id="141"/>
      <w:bookmarkEnd w:id="142"/>
    </w:p>
    <w:p w:rsidR="002A3AA1" w:rsidRPr="00714D83" w:rsidRDefault="002A3AA1" w:rsidP="002A3AA1">
      <w:pPr>
        <w:pStyle w:val="Heading2"/>
        <w:numPr>
          <w:ilvl w:val="0"/>
          <w:numId w:val="0"/>
        </w:numPr>
        <w:spacing w:line="276" w:lineRule="auto"/>
        <w:ind w:left="780"/>
        <w:rPr>
          <w:rFonts w:ascii="Calibri" w:hAnsi="Calibri"/>
          <w:bCs w:val="0"/>
        </w:rPr>
      </w:pPr>
    </w:p>
    <w:p w:rsidR="002A3AA1" w:rsidRPr="00714D83" w:rsidRDefault="00023318" w:rsidP="00EC6AAC">
      <w:pPr>
        <w:numPr>
          <w:ilvl w:val="0"/>
          <w:numId w:val="85"/>
        </w:numPr>
        <w:spacing w:before="0"/>
        <w:contextualSpacing/>
        <w:rPr>
          <w:rFonts w:cs="Calibri"/>
          <w:b/>
          <w:i/>
          <w:iCs/>
        </w:rPr>
      </w:pPr>
      <w:r w:rsidRPr="00023318">
        <w:rPr>
          <w:rFonts w:cs="Calibri"/>
          <w:b/>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bCs w:val="0"/>
          <w:szCs w:val="24"/>
        </w:rPr>
        <w:t>The Mahabir Jute Mills Ltd. and  Shri V.K. Seth, Noida Entrepreneurs Association submitted that bills are made 1st day after the end of the month and due date is 7 days</w:t>
      </w:r>
      <w:r w:rsidRPr="00023318">
        <w:rPr>
          <w:szCs w:val="24"/>
        </w:rPr>
        <w:t>, hence security deposit for 2 months is unreasonable. Due date may be extended up to 21 days.</w:t>
      </w:r>
    </w:p>
    <w:p w:rsidR="00023318" w:rsidRPr="00023318" w:rsidRDefault="00023318" w:rsidP="00023318">
      <w:pPr>
        <w:pStyle w:val="Heading3"/>
        <w:tabs>
          <w:tab w:val="clear" w:pos="720"/>
          <w:tab w:val="left" w:pos="4860"/>
        </w:tabs>
        <w:ind w:left="993" w:hanging="993"/>
        <w:rPr>
          <w:rFonts w:cs="Calibri"/>
          <w:color w:val="000000"/>
          <w:szCs w:val="24"/>
        </w:rPr>
      </w:pPr>
      <w:r w:rsidRPr="00023318">
        <w:rPr>
          <w:rFonts w:cs="Calibri"/>
          <w:szCs w:val="24"/>
        </w:rPr>
        <w:t xml:space="preserve">Shri K. L. Aggarwal chairman </w:t>
      </w:r>
      <w:r w:rsidRPr="00023318">
        <w:rPr>
          <w:rFonts w:cs="Calibri"/>
          <w:color w:val="000000"/>
          <w:szCs w:val="24"/>
        </w:rPr>
        <w:t xml:space="preserve">Associate Chambers of Commerce, &amp; Shri Sanjay Jaiswal Director, Ram Charan Steels Ltd. &amp; Industries of U. P </w:t>
      </w:r>
      <w:r w:rsidRPr="00023318">
        <w:rPr>
          <w:rFonts w:cs="Calibri"/>
          <w:szCs w:val="24"/>
        </w:rPr>
        <w:t>submitted thatfrom September 13, 2012 onwards, Electricity Duty (ED) was charged as 7.5% which comes approx 0.53 paiseper unit against the earlier one i.e. 0.09 paisa per unit. They further requested to continue the earlier rate of electricity duty i.e. 0.09 paise per unit  instead of 7.5% on the amount on energy charges and fixed charges.</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Manoj Aggarwal Chairman Laghu Udyog Bharti Aligarh submitted that the consumers who are currently exempted from paying electricity duty but have paid electricity duty in the past should be liable to get refund of their paid electricity duty or same amount may be adjusted in their future electricity bills. </w:t>
      </w:r>
    </w:p>
    <w:p w:rsidR="00023318" w:rsidRPr="00023318" w:rsidRDefault="00023318" w:rsidP="00023318">
      <w:pPr>
        <w:pStyle w:val="Heading3"/>
        <w:tabs>
          <w:tab w:val="clear" w:pos="720"/>
        </w:tabs>
        <w:ind w:left="993" w:hanging="993"/>
        <w:rPr>
          <w:szCs w:val="24"/>
        </w:rPr>
      </w:pPr>
      <w:r w:rsidRPr="00023318">
        <w:rPr>
          <w:szCs w:val="24"/>
        </w:rPr>
        <w:t>Shri Vishnu Bhagwan Agarwal Chairman, Agra Chapter, ASSOCHAM, U.P and Ashok kumar Goyal President, National Chamber of Industries &amp; Commerce submitted that the Electricity Act was operative in 2003, as per provision the interest on security deposit was made payable at bank rate prevailing on 1st April of the ensuing year. UPPCL started paying interest at bank rate w.e.f 2007. The differential interest amount from 2003 to 2007 has to be refunded to the consumer.</w:t>
      </w:r>
    </w:p>
    <w:p w:rsidR="00023318" w:rsidRPr="00023318" w:rsidRDefault="00023318" w:rsidP="00023318">
      <w:pPr>
        <w:pStyle w:val="Heading3"/>
        <w:tabs>
          <w:tab w:val="clear" w:pos="720"/>
          <w:tab w:val="left" w:pos="4860"/>
        </w:tabs>
        <w:ind w:left="993" w:hanging="993"/>
        <w:rPr>
          <w:rFonts w:cs="Calibri"/>
          <w:color w:val="000000"/>
          <w:szCs w:val="24"/>
        </w:rPr>
      </w:pPr>
      <w:r w:rsidRPr="00023318">
        <w:rPr>
          <w:szCs w:val="24"/>
        </w:rPr>
        <w:t>Shri Ashok Kumar Goyal President, National Chamber of Industries &amp; Commerce U.P. submitted that Licensees has not refunded excess money collected i.e. Regulatory Surcharge from April 2016 and balance amount of security from 2003 to 2007. Stakeholder further requested the Commission that excess amount should be paid with interest @ 15% i.e. the rate of late payment surcharge.</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5"/>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The Licensee submitted that the interest on consumer security deposit is being given to consumers as per the Orders of the Commission. The provisions related to security deposit and the interest payable on the same are amply clear and are dealt with in detail in the Distribution Tariff Regulations. Such provisions are being followed in letter and spirit by the Licensees.</w:t>
      </w:r>
    </w:p>
    <w:p w:rsidR="00023318" w:rsidRPr="00023318" w:rsidRDefault="00023318" w:rsidP="00023318">
      <w:pPr>
        <w:pStyle w:val="Heading3"/>
        <w:tabs>
          <w:tab w:val="clear" w:pos="720"/>
          <w:tab w:val="left" w:pos="4860"/>
        </w:tabs>
        <w:ind w:left="993" w:hanging="993"/>
        <w:rPr>
          <w:szCs w:val="24"/>
        </w:rPr>
      </w:pPr>
      <w:r w:rsidRPr="00023318">
        <w:rPr>
          <w:szCs w:val="24"/>
        </w:rPr>
        <w:t>However, in case any specific discrepancy is brought to the knowledge of the licensee, it is immediately rectified and consumer is credited with the interest on consumer security deposit.</w:t>
      </w:r>
    </w:p>
    <w:p w:rsidR="00023318" w:rsidRPr="00023318" w:rsidRDefault="00023318" w:rsidP="00023318">
      <w:pPr>
        <w:pStyle w:val="Heading3"/>
        <w:tabs>
          <w:tab w:val="clear" w:pos="720"/>
          <w:tab w:val="left" w:pos="4860"/>
        </w:tabs>
        <w:ind w:left="993" w:hanging="993"/>
        <w:rPr>
          <w:szCs w:val="24"/>
        </w:rPr>
      </w:pPr>
      <w:r w:rsidRPr="00023318">
        <w:rPr>
          <w:szCs w:val="24"/>
        </w:rPr>
        <w:t>The Licensee further submitted that electricity duty is payable to the State Government and its chargeability and rates are not governed by the Tariff Order.</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85"/>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Matters related to electricity duty relate to GoUP and the stakeholders requiring any such clarifications may approach the GoUP along with their proposal.</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provisions related to security deposit and the interest payable on the same are amply clear and are dealt with in detail in the Distribution Tariff Regulations, 2006. It needs to be followed in the same spirit by both, the Licensee as well as the consumers.</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Commission in its earlier Orders has directed the Licensee on the above matter and it once again directs the Licensee to pay the applicable interest on security deposit as per the Orders of the Commission and submit the compliance report with the next ARR filing. Licensees are directed to ensure the timely payment of the interest on security deposit to the consumers.</w:t>
      </w:r>
    </w:p>
    <w:p w:rsidR="002A3AA1" w:rsidRPr="00714D83" w:rsidRDefault="002A3AA1" w:rsidP="002A3AA1">
      <w:pPr>
        <w:pStyle w:val="Heading3"/>
        <w:numPr>
          <w:ilvl w:val="0"/>
          <w:numId w:val="0"/>
        </w:numPr>
        <w:tabs>
          <w:tab w:val="clear" w:pos="720"/>
          <w:tab w:val="left" w:pos="4860"/>
        </w:tabs>
        <w:rPr>
          <w:rFonts w:cs="Calibri"/>
          <w:szCs w:val="24"/>
        </w:rPr>
      </w:pPr>
    </w:p>
    <w:p w:rsidR="00023318" w:rsidRPr="00023318" w:rsidRDefault="00023318" w:rsidP="00023318">
      <w:pPr>
        <w:pStyle w:val="Heading2"/>
        <w:spacing w:line="276" w:lineRule="auto"/>
        <w:rPr>
          <w:rFonts w:ascii="Calibri" w:hAnsi="Calibri"/>
        </w:rPr>
      </w:pPr>
      <w:bookmarkStart w:id="143" w:name="_Toc454277477"/>
      <w:bookmarkStart w:id="144" w:name="_Toc457355457"/>
      <w:r w:rsidRPr="00023318">
        <w:rPr>
          <w:rFonts w:ascii="Calibri" w:hAnsi="Calibri"/>
        </w:rPr>
        <w:t>SUBSIDY FROM GoUP</w:t>
      </w:r>
      <w:bookmarkEnd w:id="143"/>
      <w:bookmarkEnd w:id="144"/>
    </w:p>
    <w:p w:rsidR="002A3AA1" w:rsidRPr="00714D83" w:rsidRDefault="002A3AA1" w:rsidP="002A3AA1">
      <w:pPr>
        <w:ind w:left="360"/>
        <w:contextualSpacing/>
        <w:rPr>
          <w:rFonts w:cs="Calibri"/>
          <w:b/>
          <w:bCs/>
          <w:i/>
          <w:iCs/>
        </w:rPr>
      </w:pPr>
    </w:p>
    <w:p w:rsidR="002A3AA1" w:rsidRPr="00714D83" w:rsidRDefault="00023318" w:rsidP="00EC6AAC">
      <w:pPr>
        <w:numPr>
          <w:ilvl w:val="0"/>
          <w:numId w:val="86"/>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Rama Shanker Awasthi submitted that the State Discoms must provide details of subsidy received from GoUP from FY 2007-08 onwards along with detailed computations. It is further submitted that in the absence of actual subsidy received by the State Discoms, filling of objection and conducting hearing is merely formality and purposeless. </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6"/>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rFonts w:cs="Calibri"/>
          <w:bCs w:val="0"/>
          <w:szCs w:val="24"/>
        </w:rPr>
      </w:pPr>
      <w:r w:rsidRPr="00023318">
        <w:rPr>
          <w:rFonts w:cs="Calibri"/>
          <w:szCs w:val="24"/>
        </w:rPr>
        <w:t>The Petitioner submitted that the item-wise subsidy has been duly submitted in the ARR Petition</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86"/>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The Commission has taken note of the objections / suggestions made by the stakeholders in this regard and the details of GoUP subsidy considered are discussed in detail in subsequent sections of this Order. </w:t>
      </w:r>
    </w:p>
    <w:p w:rsidR="002A3AA1" w:rsidRPr="00714D83" w:rsidRDefault="002A3AA1" w:rsidP="002A3AA1">
      <w:pPr>
        <w:rPr>
          <w:rFonts w:cs="Calibri"/>
          <w:b/>
          <w:bCs/>
        </w:rPr>
      </w:pPr>
    </w:p>
    <w:p w:rsidR="00023318" w:rsidRPr="00023318" w:rsidRDefault="00023318" w:rsidP="00023318">
      <w:pPr>
        <w:pStyle w:val="Heading2"/>
        <w:spacing w:line="276" w:lineRule="auto"/>
        <w:rPr>
          <w:rFonts w:ascii="Calibri" w:hAnsi="Calibri"/>
        </w:rPr>
      </w:pPr>
      <w:bookmarkStart w:id="145" w:name="_Toc454277478"/>
      <w:bookmarkStart w:id="146" w:name="_Toc457355458"/>
      <w:r w:rsidRPr="00023318">
        <w:rPr>
          <w:rFonts w:ascii="Calibri" w:hAnsi="Calibri"/>
        </w:rPr>
        <w:t>PRICE AND QUANTUM OF POWER PURCHASE</w:t>
      </w:r>
      <w:bookmarkEnd w:id="145"/>
      <w:bookmarkEnd w:id="146"/>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87"/>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Amar Singh, President Consumer Protection Society submitted that the petition do not contain the actual data of supply of power received by UPPCL during past financial years. The energy said to have been received during FY 2014-15, FY 2015-16 from various plants does not represent the actual figures and the figures are overestimated and grossly differs from the generation records compiled from the daily progress report being send to CEA. Stakeholder further submitted that historical data of thermal power station wise actual energy received by UPPCL are incorrect. Stakeholder also submitted that the data of power received or planned mentioned in ARR petitions grossly differ. </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Amar Singh, President Consumer protection Society submitted that tariff for Anpara-C determined from the bidding under Section 63 is average Rs. 1.5866, he further submitted that the variable charges were subject to adjustment for price variation of coal at 4.5% cumulative escalation over the base price of Rs 1045/MT assumed in the Bid and accordingly the present variable charge should not exceed Rs 2.00/kWh and the total Tariff should be less than Rs. 2.80/ kWh but the ARR takes the price of power received from Anpara-C as Rs. 4.35/kWh taking fixed and variable charges as Rs. 1.77/kWh and Rs. 2.58 / kWh, respectively, for FY 2016-17. Power purchase cost claimed is more than that of Tariff determined by the Commission for Bajaj Hindustan and Rosa power.</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lastRenderedPageBreak/>
        <w:t>The Mahabir Jute Mills Ltd. submitted that in Licensee‘s ARR, power purchase cost is shown in Rs. / kWh while billing for some of categories are in Rs. / kVAh that is extra benefit to Licensees.</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Avadhesh Kumar, Chairman, Uttar Pradesh Rajya Vidyut Upbhoktha Parishad submitted that as per petition average power purchase cost is Rs. 3.97 per unit for FY 2016-17. Stakeholder further submitted that Licensee has not mentioned any explanation regarding purchase of costly power from Bajaj Hindustan and Rosa Power at the rate of Rs. 6.82 per unit and Rs. 5.50 per unit, respectively. Stakeholder further requested to the Commission for prudence check of such high cost power purchase even in the scenario when power is available at cheaper price at exchanges. It is further submitted that </w:t>
      </w:r>
      <w:r w:rsidRPr="00023318">
        <w:rPr>
          <w:szCs w:val="24"/>
        </w:rPr>
        <w:t>Power should be purchase as per merit order basis hence intervention of the Commission is required for the same.</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Naveen Gupta Manager Rimjhim Ispat Ltd. and M/s Kanpur Fertilizer &amp; Cement Limited submitted that cheaper power is available at power exchanges and may be procured in preference to costlier power contracted with private / state generating agencies.</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Ashok Kumar Goyal President, National Chamber of Industries &amp; Commerce U.P. submitted that small consumers and cluster of Consumers should be allowed to make direct purchase of power from MCX for annual requirement and credit the same to Discoms account. The quantity of credit is adjusted from bills of consumers after deducting Transmission and handling charges. </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Avadhesh Kumar, Chairman, Uttar Pradesh Rajya Vidyut Upbhoktha Parishad submitted that because of increased production of domestic coal, reduction in imported coal and permission of swapping of coal from one plant to another plant, cost of generation of plants has been reduced. As per Petition the total power purchase quantum is 125627 MU and total power purchase cost is Rs. 49848 Crore. Stakeholder further submitted that due to above mentioned points the cost of power purchase should become low and as power purchase cost accounts 80% of ARR, the overall ARR will reduce. Stakeholder further requested the Commission to pass the benefit to consumers in the forthcoming Tariff.</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Shri Rama Shanker Awasthi submitted that the State Discoms must provide the source-wise details of Power Purchase including fixed cost, variable cost, PLF and other charges for the previous five years and including for FY 2016-17. It is further </w:t>
      </w:r>
      <w:r w:rsidRPr="00023318">
        <w:rPr>
          <w:rFonts w:cs="Calibri"/>
          <w:szCs w:val="24"/>
        </w:rPr>
        <w:lastRenderedPageBreak/>
        <w:t>submitted that after submission of aforesaid information, the objection can be filed and appropriate suggestion could be advanced.</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Rama Shanker Awasthi submitted that the State Discoms claim Average Power Purchase Cost (APPC) and Average Cost of supply (ACS) as Rs.  4.44 / unit and Rs. 6.71 /unit, respectively, it indicates that the Discoms have business expenses of Rs. 2.27 /unit which is 51% of APPC but after true up Discoms expense increased up to 75% of APPC It is further stated that business ethics and economics never allows business expenses more the 25%. It is requested to the Commission to consider aforesaid points before further approval and also examine the trueness of business expenses.</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power purchase cost of Anta, Auriya and Dadri Gas should be disallowed as state is having surplus power and procuring power from such expensive gas based generating station may not be prudent power purchase approach.</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has submitted that the Commission may investigate regarding validity of PPAs of Anta, Auriya and Dadri gas, whether UPPCL has signed any Supplemental Agreement without approval of the Commission.</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irrespective of being expensive stations in the event of low demand these stations get higher dispatch than cheaper stations located in the State due to non-existence of technical minimum criteria in the state.</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merit order dispatch proposed by the licences in their petitions is completely arbitrary and has no relationship with the actual implementation. It s observed that every year licensees propose merit order dispatch based on their assumptions and the Commission approves the same after carrying out the due diligence of submissions made by the Licensees. However when it comes to actual implementation, UPPCL/UP SLDC does not take into cognizance of merit order dispatch approved by the Commission.</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UPPCL/ UPSLDC have considered actual variable charges of n-1 months for some generating stations and n-2 months for others. Further UPPCL/UPSLC does not consider fuel cost adjustment bill in the variable charge for drawing up the merit order.</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 xml:space="preserve">Rosa Power Company Limited submitted that the Commission may appreciate the fact that load centre stations like Rosa TPP always being at disadvantageous position </w:t>
      </w:r>
      <w:r w:rsidRPr="00023318">
        <w:rPr>
          <w:rFonts w:cs="Calibri"/>
          <w:szCs w:val="24"/>
        </w:rPr>
        <w:lastRenderedPageBreak/>
        <w:t>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UPPCL in its petition has proposed single part tariff for captive and co generative plants whereas the Commission vide its regulation Captive and Renewable Energy Generating Plants Regulations, 2014 has approved two part tariff for said plants.</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while applying the merit order UPSLDC considers Captive and co generative stations as MUST RUN despite UPECRC orders and regulations that these plants are subject to scheduling under ABT mechanism.</w:t>
      </w:r>
    </w:p>
    <w:p w:rsidR="00023318" w:rsidRPr="00023318" w:rsidRDefault="00023318" w:rsidP="00023318">
      <w:pPr>
        <w:pStyle w:val="Heading3"/>
        <w:tabs>
          <w:tab w:val="clear" w:pos="720"/>
          <w:tab w:val="num" w:pos="1296"/>
          <w:tab w:val="left" w:pos="4860"/>
        </w:tabs>
        <w:ind w:left="993" w:hanging="993"/>
        <w:rPr>
          <w:rFonts w:cs="Calibri"/>
          <w:szCs w:val="24"/>
        </w:rPr>
      </w:pPr>
      <w:r w:rsidRPr="00023318">
        <w:rPr>
          <w:rFonts w:cs="Calibri"/>
          <w:szCs w:val="24"/>
        </w:rPr>
        <w:t>Rosa Power Company Limited submitted that it is learned that NTPC is not billing UPPCL strictly as per tariff norms approved by CERC in tariff regulation, 2014.  Following discrepancies has been observed in the NTPC billing.</w:t>
      </w:r>
    </w:p>
    <w:p w:rsidR="002A3AA1" w:rsidRPr="00714D83" w:rsidRDefault="00023318" w:rsidP="00EC6AAC">
      <w:pPr>
        <w:pStyle w:val="Heading3"/>
        <w:numPr>
          <w:ilvl w:val="0"/>
          <w:numId w:val="104"/>
        </w:numPr>
        <w:tabs>
          <w:tab w:val="clear" w:pos="720"/>
          <w:tab w:val="left" w:pos="4860"/>
        </w:tabs>
        <w:rPr>
          <w:rFonts w:cs="Calibri"/>
          <w:szCs w:val="24"/>
        </w:rPr>
      </w:pPr>
      <w:r w:rsidRPr="00023318">
        <w:rPr>
          <w:rFonts w:cs="Calibri"/>
          <w:szCs w:val="24"/>
        </w:rPr>
        <w:t>Cost of Secondary Oil is being considered in the fixed charges instead of variable charge as per CERC Tariff Regulations, 2014</w:t>
      </w:r>
    </w:p>
    <w:p w:rsidR="002A3AA1" w:rsidRPr="00714D83" w:rsidRDefault="00023318" w:rsidP="00EC6AAC">
      <w:pPr>
        <w:pStyle w:val="Heading3"/>
        <w:numPr>
          <w:ilvl w:val="0"/>
          <w:numId w:val="104"/>
        </w:numPr>
        <w:tabs>
          <w:tab w:val="clear" w:pos="720"/>
          <w:tab w:val="left" w:pos="4860"/>
        </w:tabs>
        <w:rPr>
          <w:rFonts w:cs="Calibri"/>
          <w:szCs w:val="24"/>
        </w:rPr>
      </w:pPr>
      <w:r w:rsidRPr="00023318">
        <w:rPr>
          <w:rFonts w:cs="Calibri"/>
          <w:szCs w:val="24"/>
        </w:rPr>
        <w:t>NTPC is not providing certificate of GCV as received</w:t>
      </w:r>
    </w:p>
    <w:p w:rsidR="002A3AA1" w:rsidRPr="00714D83" w:rsidRDefault="00023318" w:rsidP="002A3AA1">
      <w:pPr>
        <w:pStyle w:val="Heading3"/>
        <w:numPr>
          <w:ilvl w:val="0"/>
          <w:numId w:val="0"/>
        </w:numPr>
        <w:tabs>
          <w:tab w:val="clear" w:pos="720"/>
          <w:tab w:val="left" w:pos="4860"/>
        </w:tabs>
        <w:ind w:left="993"/>
        <w:rPr>
          <w:rFonts w:cs="Calibri"/>
          <w:szCs w:val="24"/>
        </w:rPr>
      </w:pPr>
      <w:r w:rsidRPr="00023318">
        <w:rPr>
          <w:rFonts w:cs="Calibri"/>
          <w:szCs w:val="24"/>
        </w:rPr>
        <w:t xml:space="preserve"> It is further submitted that the Commission may direct UPPCL/UPSLDC to undertake strict scrutiny of NTPC billing of variable charge and ensure NTPC strictly follow CERC Tariff Regulation, 2014.</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7"/>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Licensee submitted that most of the power purchase is being done under long term PPA from generators which have been duly approved by the Commission. The short term power purchase is being done under competitive bid route, after due approval of the Commission. The power from exchanges is being procured to ensure that the scheduled roster is maintained and the consumers are provided quality power.</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With regard to the contentions raised by one of the stakeholders, the Licensee submitted that the power is purchased from different sources on the basis of merit order, which is dependent on the variable cost and the source having the lowest variable cost is given the preference while purchase of power.</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lastRenderedPageBreak/>
        <w:t>Further, it is submitted that source wise power purchase data of last three years up to December 2015 has already been submitted for the kind perusal of the Commission.</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petitioner submitted that the benefits of increased production of coal by Coal India Ltd. might have reduced the price of coal, but the Railway freight charges and clean energy cess have also increased. However, such expenses are taken care of in truing up.</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numPr>
          <w:ilvl w:val="0"/>
          <w:numId w:val="87"/>
        </w:numPr>
        <w:spacing w:before="0"/>
        <w:contextualSpacing/>
        <w:rPr>
          <w:rFonts w:cs="Calibri"/>
          <w:b/>
          <w:bCs/>
          <w:i/>
          <w:iCs/>
        </w:rPr>
      </w:pPr>
      <w:r w:rsidRPr="00023318">
        <w:rPr>
          <w:rFonts w:cs="Calibri"/>
          <w:b/>
          <w:bCs/>
          <w:i/>
          <w:iCs/>
        </w:rPr>
        <w:t>The Commission’s view:</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As regards high power purchase cost, the Commission has taken the matter seriously the Commission vide letter no. UPERC / Secy / D(Tariff) / 16-301 dated May 26, 2016 directed the Licensees to furnish source wise actual power purchase and cost data for FY 2012-13, FY 2013-14,FY 2014-15, FY 2015-16 &amp; FY 2016-17 (till December)  and due diligence followed for allowing price variation to the generator on account of  escalation in the cost of fuel to which the Petitioner has made partial submission Based on the submissions made by the Licensee the Commission has verified the assumptions considered by Licensee for projecting power purchase cost based on the latest Tariff Order of respective power plants. The methodology adopted by the Commission for projecting power purchase cost for FY 2016-17 is discussed ARR for 2016-17 section.</w:t>
      </w:r>
    </w:p>
    <w:p w:rsidR="002A3AA1" w:rsidRPr="00714D83" w:rsidRDefault="002A3AA1" w:rsidP="002A3AA1"/>
    <w:p w:rsidR="00023318" w:rsidRPr="00023318" w:rsidRDefault="00023318" w:rsidP="00023318">
      <w:pPr>
        <w:pStyle w:val="Heading2"/>
        <w:spacing w:line="276" w:lineRule="auto"/>
        <w:rPr>
          <w:rFonts w:ascii="Calibri" w:hAnsi="Calibri"/>
        </w:rPr>
      </w:pPr>
      <w:bookmarkStart w:id="147" w:name="_Toc453522780"/>
      <w:bookmarkStart w:id="148" w:name="_Toc454277479"/>
      <w:bookmarkStart w:id="149" w:name="_Toc457355459"/>
      <w:bookmarkEnd w:id="147"/>
      <w:r w:rsidRPr="00023318">
        <w:rPr>
          <w:rFonts w:ascii="Calibri" w:hAnsi="Calibri"/>
        </w:rPr>
        <w:t>TAJ TRAPEZIUM ZONE</w:t>
      </w:r>
      <w:bookmarkEnd w:id="148"/>
      <w:bookmarkEnd w:id="149"/>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88"/>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Vishnu Bhagwan Agarwal Chairman, Agra Chapter, ASSOCHAM, U.P submitted that Agra being a sufferer on account of TTZ and should be charged with concessional rate of continuous supply considering colossal amount received as grant under Orders from Hon’ble Supreme court.</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 xml:space="preserve">Dr. Dharampal Singh, Vidhayak, Bahujan Samajwadi party submitted that the farmers of TTZ was charged Rs. 160 per BHP for tubewell whereas farmers of other part of state was charged only Rs. 100 per BHP for tubewells and also the tariff of rural domestic consumers was fixed as Rs. 342 per kW in TTZ area whereas rural domestic consumers in rest of State was fixed as Rs. 223 per kW. He further submitted that as </w:t>
      </w:r>
      <w:r w:rsidRPr="00023318">
        <w:rPr>
          <w:rFonts w:cs="Calibri"/>
          <w:szCs w:val="24"/>
        </w:rPr>
        <w:lastRenderedPageBreak/>
        <w:t xml:space="preserve">per Supreme Court order, the area must be supplied 24 hours supply or will be charged at the same tariff applicable for other consumers in the State. </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Shri Sabir Hashami, Chairman Aam Janata Society submitted that as Firozabad is the part of Taj Trapezium zone, therefore 24 hours of supply should be provided in place of 10 to 12 hours of supply in a day.</w:t>
      </w:r>
    </w:p>
    <w:p w:rsidR="002A3AA1" w:rsidRPr="00714D83" w:rsidRDefault="002A3AA1" w:rsidP="002A3AA1">
      <w:pPr>
        <w:tabs>
          <w:tab w:val="left" w:pos="1980"/>
        </w:tabs>
        <w:rPr>
          <w:rFonts w:cs="Calibri"/>
          <w:color w:val="000000"/>
        </w:rPr>
      </w:pPr>
    </w:p>
    <w:p w:rsidR="002A3AA1" w:rsidRPr="00714D83" w:rsidRDefault="00023318" w:rsidP="00EC6AAC">
      <w:pPr>
        <w:numPr>
          <w:ilvl w:val="0"/>
          <w:numId w:val="88"/>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Licensee submitted that the hours of supply is normally as per schedule, however, sometimes it may be less than that of schedule hours due to emergency rostering which is beyond the control of the Licensee.</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bCs w:val="0"/>
          <w:szCs w:val="24"/>
        </w:rPr>
        <w:t>The Licensee submitted that complaints of quality of supply, turnaround time for fault repair, etc. are not related to present tariff petition. However, it assures that these issues will be dealt by the concerned local officers of the Discoms.</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Regarding reduction of Tubewell Charges in TTZ Area the licensee has submitted that the billing is being done in accordance with the tariff approved by the Commission. Further the Commission to mitigate the problem of consumers of the area has reduced the minimum charges from Rs. 220.00 per BHP per month to Rs. 160.00 per BHP per month vide its order dated 05.02.2015.</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88"/>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rFonts w:cs="Calibri"/>
          <w:szCs w:val="24"/>
        </w:rPr>
      </w:pPr>
      <w:r w:rsidRPr="00023318">
        <w:rPr>
          <w:rFonts w:cs="Calibri"/>
          <w:szCs w:val="24"/>
        </w:rPr>
        <w:t>The Commission has taken note of the above objections / suggestions made by the stakeholders in this regards and has appropriately designed the Tariff as detailed in Tariff philosophy and Rate Schedule provided subsequently in this Order.</w:t>
      </w:r>
    </w:p>
    <w:p w:rsidR="00596C3F" w:rsidRPr="00714D83" w:rsidRDefault="00596C3F" w:rsidP="002A3AA1">
      <w:pPr>
        <w:tabs>
          <w:tab w:val="left" w:pos="720"/>
        </w:tabs>
        <w:rPr>
          <w:rFonts w:cs="Calibri"/>
        </w:rPr>
      </w:pPr>
    </w:p>
    <w:p w:rsidR="00023318" w:rsidRPr="00023318" w:rsidRDefault="00023318" w:rsidP="00023318">
      <w:pPr>
        <w:pStyle w:val="Heading2"/>
        <w:spacing w:line="276" w:lineRule="auto"/>
        <w:rPr>
          <w:rFonts w:ascii="Calibri" w:hAnsi="Calibri"/>
        </w:rPr>
      </w:pPr>
      <w:bookmarkStart w:id="150" w:name="_Toc454277480"/>
      <w:bookmarkStart w:id="151" w:name="_Toc457355460"/>
      <w:r w:rsidRPr="00023318">
        <w:rPr>
          <w:rFonts w:ascii="Calibri" w:hAnsi="Calibri"/>
        </w:rPr>
        <w:t>METERING AND BILLING</w:t>
      </w:r>
      <w:bookmarkEnd w:id="150"/>
      <w:bookmarkEnd w:id="151"/>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89"/>
        </w:numPr>
        <w:spacing w:before="0"/>
        <w:contextualSpacing/>
        <w:rPr>
          <w:rFonts w:cs="Calibri"/>
          <w:b/>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Avadhesh Kumar, Chairman, Uttar Pradesh Rajya Vidyut Upbhoktha Parishad and Shri Pratap Chandra Chairman Rastravadi Sangthan, submitted that in rural areas consumers should be billed as per rural tariff and in urban areas consumers should be billed as per urban tariff. They further requested the Commission to Order the Licensees to charge rural consumer on rural tariff in place of urban tariff and should return the excess money collected.</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 xml:space="preserve">Shri Pawan Tiwari R.T.I. and Social worker submitted that urban tariff is charged for rural consumer. It is requested that either supply hours be increased as per urban schedule or billing shall continue as per rural schedule in rural areas.  </w:t>
      </w:r>
    </w:p>
    <w:p w:rsidR="00023318" w:rsidRPr="00023318" w:rsidRDefault="00023318" w:rsidP="00023318">
      <w:pPr>
        <w:pStyle w:val="Heading3"/>
        <w:tabs>
          <w:tab w:val="clear" w:pos="720"/>
          <w:tab w:val="left" w:pos="4860"/>
        </w:tabs>
        <w:ind w:left="993" w:hanging="993"/>
        <w:rPr>
          <w:szCs w:val="24"/>
        </w:rPr>
      </w:pPr>
      <w:r w:rsidRPr="00023318">
        <w:rPr>
          <w:szCs w:val="24"/>
        </w:rPr>
        <w:t>Shri G.C. Khanna, Electrical Adviser &amp; representative submitted that Discoms are releasing PTW connections without meter. Maximum PTW connections are running without meter so that Discoms can take advantage of regulatory surcharge by claiming loss. Hence, necessary action is required by the Commission in this regard.</w:t>
      </w:r>
    </w:p>
    <w:p w:rsidR="00023318" w:rsidRPr="00023318" w:rsidRDefault="00023318" w:rsidP="00023318">
      <w:pPr>
        <w:pStyle w:val="Heading3"/>
        <w:tabs>
          <w:tab w:val="clear" w:pos="720"/>
          <w:tab w:val="left" w:pos="4860"/>
        </w:tabs>
        <w:ind w:left="993" w:hanging="993"/>
        <w:rPr>
          <w:szCs w:val="24"/>
        </w:rPr>
      </w:pPr>
      <w:r w:rsidRPr="00023318">
        <w:rPr>
          <w:szCs w:val="24"/>
        </w:rPr>
        <w:t>Shri Sandeep Ranjan Gupta submitted that places where metering has been done, electricity at cheaper rate should be provided.</w:t>
      </w:r>
    </w:p>
    <w:p w:rsidR="00023318" w:rsidRPr="00023318" w:rsidRDefault="00023318" w:rsidP="00023318">
      <w:pPr>
        <w:pStyle w:val="Heading3"/>
        <w:tabs>
          <w:tab w:val="clear" w:pos="720"/>
          <w:tab w:val="left" w:pos="4860"/>
        </w:tabs>
        <w:ind w:left="993" w:hanging="993"/>
        <w:rPr>
          <w:szCs w:val="24"/>
        </w:rPr>
      </w:pPr>
      <w:r w:rsidRPr="00023318">
        <w:rPr>
          <w:szCs w:val="24"/>
        </w:rPr>
        <w:t>Shri Akash Garg, Advocate for Indian Industries Association, submitted that as per ARR petition all the consumers should be metered by December 2015, unmetered consumers are increasing the inefficiency. Stakeholder further submitted that supply of electricity to Un-metered consumers is contrary to Section 55 of Electricity.</w:t>
      </w:r>
    </w:p>
    <w:p w:rsidR="00023318" w:rsidRPr="00023318" w:rsidRDefault="00023318" w:rsidP="00023318">
      <w:pPr>
        <w:pStyle w:val="Heading3"/>
        <w:tabs>
          <w:tab w:val="clear" w:pos="720"/>
          <w:tab w:val="left" w:pos="4860"/>
        </w:tabs>
        <w:ind w:left="993" w:hanging="993"/>
        <w:rPr>
          <w:szCs w:val="24"/>
        </w:rPr>
      </w:pPr>
      <w:r w:rsidRPr="00023318">
        <w:rPr>
          <w:szCs w:val="24"/>
        </w:rPr>
        <w:t>Shri Mahesh Singh Hiruit submitted that the bill should be in Hindi and the bill contain many heads like electricity duty, PF penalty, MD penalty etc, consumer should be given detail of the money collected under each head.</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89"/>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rFonts w:cs="Calibri"/>
          <w:b/>
          <w:i/>
          <w:iCs/>
          <w:szCs w:val="24"/>
        </w:rPr>
      </w:pPr>
      <w:r w:rsidRPr="00023318">
        <w:rPr>
          <w:szCs w:val="24"/>
        </w:rPr>
        <w:t>The Petitioner has submitted that the billing of the consumers is being done as per the provisions approved by the Commission in its last Tariff Order.</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embarked upon the glorious intention of 100% metering in the State of UP.  In view of the same, a target of 100% metering of urban consumers up to December 2015 was set by the Commission. The representatives of Discoms had assured the Commission of achieving the target to the satisfaction of the Commission.</w:t>
      </w:r>
    </w:p>
    <w:p w:rsidR="00023318" w:rsidRPr="00023318" w:rsidRDefault="00023318" w:rsidP="00023318">
      <w:pPr>
        <w:pStyle w:val="Heading3"/>
        <w:tabs>
          <w:tab w:val="clear" w:pos="720"/>
          <w:tab w:val="left" w:pos="4860"/>
        </w:tabs>
        <w:ind w:left="993" w:hanging="993"/>
        <w:rPr>
          <w:bCs w:val="0"/>
          <w:szCs w:val="24"/>
        </w:rPr>
      </w:pPr>
      <w:r w:rsidRPr="00023318">
        <w:rPr>
          <w:szCs w:val="24"/>
        </w:rPr>
        <w:t>Licensee is committed to achieve 100% metering and are strictly following the instructions of the Commission.</w:t>
      </w:r>
    </w:p>
    <w:p w:rsidR="00023318" w:rsidRPr="00023318" w:rsidRDefault="00023318" w:rsidP="00023318">
      <w:pPr>
        <w:pStyle w:val="Heading3"/>
        <w:tabs>
          <w:tab w:val="clear" w:pos="720"/>
          <w:tab w:val="left" w:pos="4860"/>
        </w:tabs>
        <w:ind w:left="993" w:hanging="993"/>
        <w:rPr>
          <w:szCs w:val="24"/>
        </w:rPr>
      </w:pPr>
      <w:r w:rsidRPr="00023318">
        <w:rPr>
          <w:szCs w:val="24"/>
        </w:rPr>
        <w:t>The Licensee has undertaken a slew of E-governance initiatives which are aimed at higher revenue realization, better consumer satisfaction and maintaining the highest standard of professionalism and ethics in the organization.</w:t>
      </w:r>
    </w:p>
    <w:p w:rsidR="002A3AA1" w:rsidRPr="00714D83" w:rsidRDefault="00023318" w:rsidP="002A3AA1">
      <w:pPr>
        <w:pStyle w:val="Heading3"/>
        <w:numPr>
          <w:ilvl w:val="0"/>
          <w:numId w:val="0"/>
        </w:numPr>
        <w:tabs>
          <w:tab w:val="clear" w:pos="720"/>
          <w:tab w:val="left" w:pos="4860"/>
        </w:tabs>
        <w:ind w:left="993"/>
        <w:rPr>
          <w:szCs w:val="24"/>
        </w:rPr>
      </w:pPr>
      <w:r w:rsidRPr="00023318">
        <w:rPr>
          <w:szCs w:val="24"/>
        </w:rPr>
        <w:t>The key initiatives have been discussed below:</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2A3AA1">
      <w:pPr>
        <w:ind w:left="273" w:firstLine="720"/>
        <w:rPr>
          <w:b/>
        </w:rPr>
      </w:pPr>
      <w:r w:rsidRPr="00023318">
        <w:rPr>
          <w:b/>
        </w:rPr>
        <w:lastRenderedPageBreak/>
        <w:t xml:space="preserve">BILL PAYMENT OPTIONS </w:t>
      </w:r>
    </w:p>
    <w:p w:rsidR="002A3AA1" w:rsidRPr="00714D83" w:rsidRDefault="00023318" w:rsidP="002A3AA1">
      <w:pPr>
        <w:spacing w:before="100" w:beforeAutospacing="1" w:after="100" w:afterAutospacing="1"/>
        <w:ind w:left="993"/>
        <w:rPr>
          <w:rFonts w:cstheme="minorHAnsi"/>
          <w:bCs/>
          <w:color w:val="000000"/>
        </w:rPr>
      </w:pPr>
      <w:r w:rsidRPr="00023318">
        <w:t xml:space="preserve">The Licensee has introduced several new payment options for consumers. These </w:t>
      </w:r>
      <w:r w:rsidRPr="00023318">
        <w:rPr>
          <w:rFonts w:cstheme="minorHAnsi"/>
          <w:bCs/>
          <w:color w:val="000000"/>
        </w:rPr>
        <w:t>include:</w:t>
      </w:r>
    </w:p>
    <w:p w:rsidR="002A3AA1" w:rsidRPr="00714D83" w:rsidRDefault="00023318" w:rsidP="002A3AA1">
      <w:pPr>
        <w:ind w:left="273" w:firstLine="720"/>
        <w:rPr>
          <w:b/>
        </w:rPr>
      </w:pPr>
      <w:r w:rsidRPr="00023318">
        <w:rPr>
          <w:b/>
        </w:rPr>
        <w:t>ONLINE BILL PAYMENT</w:t>
      </w:r>
    </w:p>
    <w:p w:rsidR="002A3AA1" w:rsidRPr="00714D83" w:rsidRDefault="00023318" w:rsidP="002A3AA1">
      <w:pPr>
        <w:spacing w:before="100" w:beforeAutospacing="1" w:after="100" w:afterAutospacing="1"/>
        <w:ind w:left="993"/>
      </w:pPr>
      <w:r w:rsidRPr="00023318">
        <w:t xml:space="preserve">Consumers can log on to the company website to pay electricity bills to pay electricity bills through a payment gateway or net banking. </w:t>
      </w:r>
    </w:p>
    <w:p w:rsidR="002A3AA1" w:rsidRPr="00714D83" w:rsidRDefault="00023318" w:rsidP="002A3AA1">
      <w:pPr>
        <w:ind w:left="273" w:firstLine="720"/>
        <w:rPr>
          <w:b/>
        </w:rPr>
      </w:pPr>
      <w:r w:rsidRPr="00023318">
        <w:rPr>
          <w:b/>
        </w:rPr>
        <w:t>PAYMENT THROUGH MOBILE PHONES</w:t>
      </w:r>
    </w:p>
    <w:p w:rsidR="002A3AA1" w:rsidRPr="00714D83" w:rsidRDefault="00023318" w:rsidP="002A3AA1">
      <w:pPr>
        <w:spacing w:before="100" w:beforeAutospacing="1" w:after="100" w:afterAutospacing="1"/>
        <w:ind w:left="993"/>
      </w:pPr>
      <w:r w:rsidRPr="00023318">
        <w:t>Customers can pay, accept and transfer money through mobiles handsets and all the DISCOM’s PCs/Mobiles/landlines act as a point-of-sale terminals. There are various options to pay through phones.</w:t>
      </w:r>
    </w:p>
    <w:p w:rsidR="002A3AA1" w:rsidRPr="00714D83" w:rsidRDefault="00023318" w:rsidP="002A3AA1">
      <w:pPr>
        <w:ind w:left="273" w:firstLine="720"/>
        <w:rPr>
          <w:b/>
        </w:rPr>
      </w:pPr>
      <w:r w:rsidRPr="00023318">
        <w:rPr>
          <w:b/>
        </w:rPr>
        <w:t>CALLING ON THE HELPLINE NUMBER (THROUGH IVRS)</w:t>
      </w:r>
    </w:p>
    <w:p w:rsidR="002A3AA1" w:rsidRPr="00714D83" w:rsidRDefault="00023318" w:rsidP="002A3AA1">
      <w:pPr>
        <w:spacing w:before="100" w:beforeAutospacing="1" w:after="100" w:afterAutospacing="1"/>
        <w:ind w:left="993"/>
      </w:pPr>
      <w:r w:rsidRPr="00023318">
        <w:t>Through this system, customers can call on the numbers provided for bill payment. The call will land on the interactive voice response system (IVRS) which captures the consumer number and card information, and connects to Discom’s bank payment gateway for processing the transaction. On successful payment authorization, the IVRS updates the payments details on the master server.</w:t>
      </w:r>
    </w:p>
    <w:p w:rsidR="002A3AA1" w:rsidRPr="00714D83" w:rsidRDefault="00023318" w:rsidP="002A3AA1">
      <w:pPr>
        <w:ind w:left="273" w:firstLine="720"/>
        <w:rPr>
          <w:b/>
        </w:rPr>
      </w:pPr>
      <w:r w:rsidRPr="00023318">
        <w:rPr>
          <w:b/>
        </w:rPr>
        <w:t>DIRECT MOBILE BASED PAYMENT SERVICES</w:t>
      </w:r>
    </w:p>
    <w:p w:rsidR="002A3AA1" w:rsidRPr="00714D83" w:rsidRDefault="00023318" w:rsidP="002A3AA1">
      <w:pPr>
        <w:spacing w:before="100" w:beforeAutospacing="1" w:after="100" w:afterAutospacing="1"/>
        <w:ind w:left="993"/>
      </w:pPr>
      <w:r w:rsidRPr="00023318">
        <w:t>Through this system, customers log on to the vender’s mobile application for bill payments after downloading it. The mobile application captures the consumer’s number and card information of the customer, and connects to Discom’s bank payment gateway for processing the transaction. On successful payment authorization, the mobile system updates the payment details on the master system.</w:t>
      </w:r>
    </w:p>
    <w:p w:rsidR="002A3AA1" w:rsidRPr="00714D83" w:rsidRDefault="00023318" w:rsidP="002A3AA1">
      <w:pPr>
        <w:ind w:left="273" w:firstLine="720"/>
        <w:rPr>
          <w:b/>
        </w:rPr>
      </w:pPr>
      <w:r w:rsidRPr="00023318">
        <w:rPr>
          <w:b/>
        </w:rPr>
        <w:t>SMS-BASED PAYMENT SOLUTION</w:t>
      </w:r>
    </w:p>
    <w:p w:rsidR="002A3AA1" w:rsidRPr="00714D83" w:rsidRDefault="00023318" w:rsidP="002A3AA1">
      <w:pPr>
        <w:spacing w:before="100" w:beforeAutospacing="1" w:after="100" w:afterAutospacing="1"/>
        <w:ind w:left="993"/>
      </w:pPr>
      <w:r w:rsidRPr="00023318">
        <w:t xml:space="preserve">Under this system, customers initiate the payment request through SMS. The server sends a message to the customer on the registered mobile number as the payment confirmation receipt for every successful transaction. The system also sends SMS </w:t>
      </w:r>
      <w:r w:rsidRPr="00023318">
        <w:lastRenderedPageBreak/>
        <w:t>alerts to customers for the due date for bill payment to avoid uninterrupted services as well as for payment confirmation.</w:t>
      </w:r>
    </w:p>
    <w:p w:rsidR="002A3AA1" w:rsidRPr="00714D83" w:rsidRDefault="00023318" w:rsidP="002A3AA1">
      <w:pPr>
        <w:ind w:left="273" w:firstLine="720"/>
        <w:rPr>
          <w:b/>
        </w:rPr>
      </w:pPr>
      <w:r w:rsidRPr="00023318">
        <w:rPr>
          <w:b/>
        </w:rPr>
        <w:t>PAY FROM HOME</w:t>
      </w:r>
    </w:p>
    <w:p w:rsidR="002A3AA1" w:rsidRPr="00714D83" w:rsidRDefault="00023318" w:rsidP="002A3AA1">
      <w:pPr>
        <w:spacing w:before="100" w:beforeAutospacing="1" w:after="100" w:afterAutospacing="1"/>
        <w:ind w:left="993"/>
      </w:pPr>
      <w:r w:rsidRPr="00023318">
        <w:t>Consumers can make cheque payments through the billing agency-the meter reader, who generates bills for consumers through hand held machines at their doorstep. A hand-held-generated receipt is provided to consumers. Besides the aforementioned methods of revenue realization, increasing the customer base by providing easy access to new connections is important. The launch of single-window services is an initiative towards this end.</w:t>
      </w:r>
    </w:p>
    <w:p w:rsidR="002A3AA1" w:rsidRPr="00714D83" w:rsidRDefault="00023318" w:rsidP="002A3AA1">
      <w:pPr>
        <w:ind w:left="273" w:firstLine="720"/>
        <w:rPr>
          <w:b/>
        </w:rPr>
      </w:pPr>
      <w:r w:rsidRPr="00023318">
        <w:rPr>
          <w:b/>
        </w:rPr>
        <w:t xml:space="preserve">CONSUMER INTERFACE </w:t>
      </w:r>
    </w:p>
    <w:p w:rsidR="002A3AA1" w:rsidRPr="00714D83" w:rsidRDefault="00023318" w:rsidP="002A3AA1">
      <w:pPr>
        <w:spacing w:before="100" w:beforeAutospacing="1" w:after="100" w:afterAutospacing="1"/>
        <w:ind w:left="993"/>
      </w:pPr>
      <w:r w:rsidRPr="00023318">
        <w:t>The basic concern of the consumers of any power distribution company is uninterrupted supply. The electricity demand-supply gap</w:t>
      </w:r>
      <w:r w:rsidR="009040B6">
        <w:t xml:space="preserve"> being critical issue in India, </w:t>
      </w:r>
      <w:r w:rsidRPr="00023318">
        <w:t xml:space="preserve">most of the utilities fail to ensure uninterrupted supply. This causes consumer dissatisfaction and lack of trust for the concerned officials. The unavailability of correct information related to the cause and expected time of interruption adds to customer concerns resulting from local faults, which take hours to be restored. Moreover, at times, related queries are not adequately addressed by substation staff, which results in law and order issues. </w:t>
      </w:r>
    </w:p>
    <w:p w:rsidR="002A3AA1" w:rsidRPr="00714D83" w:rsidRDefault="00023318" w:rsidP="002A3AA1">
      <w:pPr>
        <w:spacing w:before="100" w:beforeAutospacing="1" w:after="100" w:afterAutospacing="1"/>
        <w:ind w:left="993"/>
      </w:pPr>
      <w:r w:rsidRPr="00023318">
        <w:t>To address these issues, Discoms have launched an initiative, Urja Mitra, which seeks to:</w:t>
      </w:r>
    </w:p>
    <w:p w:rsidR="002A3AA1" w:rsidRPr="00714D83" w:rsidRDefault="00023318" w:rsidP="00EC6AAC">
      <w:pPr>
        <w:pStyle w:val="ListParagraph"/>
        <w:numPr>
          <w:ilvl w:val="1"/>
          <w:numId w:val="102"/>
        </w:numPr>
        <w:spacing w:before="100" w:beforeAutospacing="1" w:after="100" w:afterAutospacing="1"/>
        <w:ind w:left="2411" w:hanging="567"/>
      </w:pPr>
      <w:r w:rsidRPr="00023318">
        <w:t>Provide information about power rostering / cuts / breakdowns / shutdowns to consumers on their landline / mobile phones</w:t>
      </w:r>
    </w:p>
    <w:p w:rsidR="002A3AA1" w:rsidRPr="00714D83" w:rsidRDefault="00023318" w:rsidP="00EC6AAC">
      <w:pPr>
        <w:pStyle w:val="ListParagraph"/>
        <w:numPr>
          <w:ilvl w:val="1"/>
          <w:numId w:val="102"/>
        </w:numPr>
        <w:spacing w:before="100" w:beforeAutospacing="1" w:after="100" w:afterAutospacing="1"/>
        <w:ind w:left="2411" w:hanging="567"/>
      </w:pPr>
      <w:r w:rsidRPr="00023318">
        <w:t>Establish mutual trust between citizens and distribution officials</w:t>
      </w:r>
    </w:p>
    <w:p w:rsidR="002A3AA1" w:rsidRPr="00714D83" w:rsidRDefault="00023318" w:rsidP="002A3AA1">
      <w:pPr>
        <w:spacing w:before="100" w:beforeAutospacing="1" w:after="100" w:afterAutospacing="1"/>
        <w:ind w:left="993"/>
      </w:pPr>
      <w:r w:rsidRPr="00023318">
        <w:t>Any scheduled / unscheduled rostering/breakdown is reported to the central control room. The call centre operator selects the specific substation or the 33kV/11kV feeder in the case of breakdowns and the entire area for rostering. Consumers of the concerned area are automatically selected by the software and as soon as a command is given, SMS alerts and voice calls are sent to them.</w:t>
      </w:r>
    </w:p>
    <w:p w:rsidR="002A3AA1" w:rsidRPr="00714D83" w:rsidRDefault="00023318" w:rsidP="002A3AA1">
      <w:pPr>
        <w:spacing w:before="100" w:beforeAutospacing="1" w:after="100" w:afterAutospacing="1"/>
        <w:ind w:left="993"/>
      </w:pPr>
      <w:r w:rsidRPr="00023318">
        <w:t xml:space="preserve">Therefore, the message provides specific breakdown information to the concerned customer along with the expected time of power supply restoration. These SMS </w:t>
      </w:r>
      <w:r w:rsidRPr="00023318">
        <w:lastRenderedPageBreak/>
        <w:t>alerts are sent on 24x7 bases to all affected consumers, while voice calls are sent only during the day.</w:t>
      </w:r>
    </w:p>
    <w:p w:rsidR="002A3AA1" w:rsidRPr="00714D83" w:rsidRDefault="00023318" w:rsidP="002A3AA1">
      <w:pPr>
        <w:spacing w:before="100" w:beforeAutospacing="1" w:after="100" w:afterAutospacing="1"/>
        <w:ind w:left="993"/>
      </w:pPr>
      <w:r w:rsidRPr="00023318">
        <w:t>Efforts are being made to cover the remaining customers through billing agencies/division offices. They can also log on to the Discom web site and register their phone numbers for availing of these services. There has been a positive response to the initiative. Customers are enrolling themselves to access information via Urja Mitra and there has been a reduction in general complaints about the behavior of division/substation officials during power interruptions as well as law and order issues.</w:t>
      </w:r>
    </w:p>
    <w:p w:rsidR="002A3AA1" w:rsidRPr="00714D83" w:rsidRDefault="00023318" w:rsidP="002A3AA1">
      <w:pPr>
        <w:ind w:left="273" w:firstLine="720"/>
        <w:rPr>
          <w:b/>
        </w:rPr>
      </w:pPr>
      <w:r w:rsidRPr="00023318">
        <w:rPr>
          <w:b/>
        </w:rPr>
        <w:t xml:space="preserve">DEDICATED 24X7 CALL CENTRE </w:t>
      </w:r>
    </w:p>
    <w:p w:rsidR="002A3AA1" w:rsidRPr="00714D83" w:rsidRDefault="00023318" w:rsidP="002A3AA1">
      <w:pPr>
        <w:spacing w:before="100" w:beforeAutospacing="1" w:after="100" w:afterAutospacing="1"/>
        <w:ind w:left="993"/>
      </w:pPr>
      <w:r w:rsidRPr="00023318">
        <w:t>A centralized call centre has been launched to improve customer services, increase staff efficiency and provide a single-window clearance mechanism for all customer complaints. The call centre is designed to address consumer complaints regarding power outages, wrong billing, payments, metering, etc.</w:t>
      </w:r>
    </w:p>
    <w:p w:rsidR="002A3AA1" w:rsidRPr="00714D83" w:rsidRDefault="00023318" w:rsidP="002A3AA1">
      <w:pPr>
        <w:ind w:left="993"/>
      </w:pPr>
      <w:r w:rsidRPr="00023318">
        <w:t>The redressal time frame for different complaints categories range from four hours to 15 days, and unaddressed complaints are forwarded to every subsequent higher officials till being addressed. The software also generates MIS reports of the lodged and solved complaints as well as officer-wise defaulter lists, which are monitored at the highest level. This system is also integrated with SMS facilities for consumers/officers at the time of registration as well as redressal.</w:t>
      </w:r>
    </w:p>
    <w:p w:rsidR="00023318" w:rsidRPr="00023318" w:rsidRDefault="00023318" w:rsidP="00023318">
      <w:pPr>
        <w:pStyle w:val="Heading3"/>
        <w:tabs>
          <w:tab w:val="clear" w:pos="720"/>
          <w:tab w:val="left" w:pos="4860"/>
        </w:tabs>
        <w:ind w:left="993" w:hanging="993"/>
        <w:rPr>
          <w:szCs w:val="24"/>
        </w:rPr>
      </w:pPr>
      <w:r w:rsidRPr="00023318">
        <w:rPr>
          <w:rFonts w:eastAsia="Calibri" w:cs="Times New Roman"/>
          <w:bCs w:val="0"/>
          <w:szCs w:val="24"/>
          <w:lang w:val="en-US"/>
        </w:rPr>
        <w:t>The Billing is done as per the extant provisions in the rate schedule which is also linked with the hours of supply.</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89"/>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has taken note of the objections / suggestions made by the objectors. It is grave concern to achieve 100% metering, various initiative is being taken in this regard. The Commission vide its Order dated December 21, 2015 directed to the Licensees that to put all out efforts to get the rural consumers metered as in respect of urban metering which has reached almost 100% level now and show substantial progress by June 30, 2016. </w:t>
      </w:r>
    </w:p>
    <w:p w:rsidR="002A3AA1" w:rsidRPr="00714D83" w:rsidRDefault="002A3AA1" w:rsidP="002A3AA1">
      <w:pPr>
        <w:pStyle w:val="Heading3"/>
        <w:numPr>
          <w:ilvl w:val="0"/>
          <w:numId w:val="0"/>
        </w:numPr>
        <w:rPr>
          <w:szCs w:val="24"/>
        </w:rPr>
      </w:pPr>
    </w:p>
    <w:p w:rsidR="00023318" w:rsidRPr="00023318" w:rsidRDefault="00023318" w:rsidP="00023318">
      <w:pPr>
        <w:pStyle w:val="Heading2"/>
        <w:spacing w:line="276" w:lineRule="auto"/>
        <w:rPr>
          <w:rFonts w:ascii="Calibri" w:hAnsi="Calibri"/>
        </w:rPr>
      </w:pPr>
      <w:bookmarkStart w:id="152" w:name="_Toc454277481"/>
      <w:bookmarkStart w:id="153" w:name="_Toc457355461"/>
      <w:r w:rsidRPr="00023318">
        <w:rPr>
          <w:rFonts w:ascii="Calibri" w:hAnsi="Calibri"/>
        </w:rPr>
        <w:lastRenderedPageBreak/>
        <w:t>OPEN ACCESS</w:t>
      </w:r>
      <w:bookmarkEnd w:id="152"/>
      <w:bookmarkEnd w:id="153"/>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90"/>
        </w:numPr>
        <w:tabs>
          <w:tab w:val="left" w:pos="1980"/>
        </w:tabs>
        <w:spacing w:before="0"/>
        <w:contextualSpacing/>
        <w:rPr>
          <w:b/>
          <w:i/>
        </w:rPr>
      </w:pPr>
      <w:r w:rsidRPr="00023318">
        <w:rPr>
          <w:rFonts w:eastAsia="Calibri"/>
          <w:b/>
          <w:i/>
          <w:lang w:val="en-U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The Mahabir Jute Mills Ltd. submitted that to promote the open access wheeling loss data must be brought before the Commission.</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 Shri K. L. Aggarwal chairman Associate Chambers of Commerce &amp; Industries of U. P submitted that separate note from each of the Discoms be asked for, on the performance report on Open Access policy and the same be the part of Tariff proceedings.</w:t>
      </w:r>
    </w:p>
    <w:p w:rsidR="00023318" w:rsidRPr="00023318" w:rsidRDefault="00023318" w:rsidP="00023318">
      <w:pPr>
        <w:pStyle w:val="Heading3"/>
        <w:tabs>
          <w:tab w:val="clear" w:pos="720"/>
          <w:tab w:val="left" w:pos="4860"/>
        </w:tabs>
        <w:ind w:left="993" w:hanging="993"/>
        <w:rPr>
          <w:rFonts w:cs="Calibri"/>
          <w:szCs w:val="24"/>
        </w:rPr>
      </w:pPr>
      <w:r w:rsidRPr="00023318">
        <w:rPr>
          <w:szCs w:val="24"/>
        </w:rPr>
        <w:t>Shri K. L. Aggarwal chairman Associate Chambers of Commerce &amp; Industries of U. P submitted that the process of adopting power through Open Access is very cumbersome. There is a need of favourable wheeling charges and improvement in distribution</w:t>
      </w:r>
      <w:r w:rsidRPr="00023318">
        <w:rPr>
          <w:rFonts w:cs="Calibri"/>
          <w:szCs w:val="24"/>
        </w:rPr>
        <w:t xml:space="preserve"> network.</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90"/>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is committed to comply with the provisions of the Electricity Act, 2003 and the regulations framed by the Commission. Open access is being provided as per the extant guidelines and policies framed by the Commission.</w:t>
      </w:r>
    </w:p>
    <w:p w:rsidR="00596C3F" w:rsidRPr="00714D83" w:rsidRDefault="00596C3F"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90"/>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taken note of the above objections / suggestions made by the stakeholders in this regards. The details of the charges applicable to Open Access consumers along with the wheeling losses approved by the Commission have been discussed in subsequent Chapter titled Open Access Charges.</w:t>
      </w:r>
    </w:p>
    <w:p w:rsidR="002A3AA1" w:rsidRPr="00714D83" w:rsidRDefault="002A3AA1" w:rsidP="002A3AA1">
      <w:pPr>
        <w:pStyle w:val="Heading3"/>
        <w:numPr>
          <w:ilvl w:val="0"/>
          <w:numId w:val="0"/>
        </w:numPr>
        <w:tabs>
          <w:tab w:val="clear" w:pos="720"/>
          <w:tab w:val="left" w:pos="4860"/>
        </w:tabs>
        <w:ind w:left="993"/>
        <w:rPr>
          <w:b/>
          <w:bCs w:val="0"/>
          <w:szCs w:val="24"/>
        </w:rPr>
      </w:pPr>
    </w:p>
    <w:p w:rsidR="00023318" w:rsidRPr="00023318" w:rsidRDefault="00023318" w:rsidP="00023318">
      <w:pPr>
        <w:pStyle w:val="Heading2"/>
        <w:spacing w:line="276" w:lineRule="auto"/>
        <w:rPr>
          <w:rFonts w:ascii="Calibri" w:hAnsi="Calibri"/>
        </w:rPr>
      </w:pPr>
      <w:bookmarkStart w:id="154" w:name="_Toc454277482"/>
      <w:bookmarkStart w:id="155" w:name="_Toc457355462"/>
      <w:r w:rsidRPr="00023318">
        <w:rPr>
          <w:rFonts w:ascii="Calibri" w:hAnsi="Calibri"/>
        </w:rPr>
        <w:t>AUDIT OF ACCOUNTS</w:t>
      </w:r>
      <w:bookmarkEnd w:id="154"/>
      <w:bookmarkEnd w:id="155"/>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91"/>
        </w:numPr>
        <w:tabs>
          <w:tab w:val="left" w:pos="1980"/>
        </w:tabs>
        <w:spacing w:before="0"/>
        <w:contextualSpacing/>
        <w:rPr>
          <w:b/>
          <w:i/>
        </w:rPr>
      </w:pPr>
      <w:r w:rsidRPr="00023318">
        <w:rPr>
          <w:b/>
          <w:i/>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Avadhesh Kumar Verma, Chairman, U.P. Rajya Vidyut Upbhokta Parishad submitted that ARR / Tariff proposals should be proposed by the Licensees based on the audited accounts and timely filing of ARR which must be done along with the submission of CAG Audit Report. Any delay on account of timely filing must be penalized and benefits must be passed on to the consumers.</w:t>
      </w:r>
    </w:p>
    <w:p w:rsidR="002A3AA1" w:rsidRPr="00714D83" w:rsidRDefault="002A3AA1" w:rsidP="002A3AA1">
      <w:pPr>
        <w:tabs>
          <w:tab w:val="left" w:pos="1980"/>
        </w:tabs>
        <w:rPr>
          <w:rFonts w:cs="Calibri"/>
          <w:color w:val="000000"/>
        </w:rPr>
      </w:pPr>
    </w:p>
    <w:p w:rsidR="002A3AA1" w:rsidRPr="00714D83" w:rsidRDefault="00023318" w:rsidP="00EC6AAC">
      <w:pPr>
        <w:numPr>
          <w:ilvl w:val="0"/>
          <w:numId w:val="91"/>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it has already submitted the audited balance sheets along with supplementary audit reports of the Accountant General of Uttar Pradesh (AGUP) for the period up to FY 2013-14. Such audited accounts and AGUP reports has already been published on the website of the Licensee.</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91"/>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Licensees have submitted the audited accounts for FY 2013-14 and provisional accounts for FY 2014-15. The CAG report for FY 2013-14 has also been submitted by the Licensees. The Petitions of the Licensees were admitted only after the receipt of the above documents.</w:t>
      </w:r>
    </w:p>
    <w:p w:rsidR="002A3AA1" w:rsidRPr="00714D83" w:rsidRDefault="002A3AA1" w:rsidP="002A3AA1">
      <w:pPr>
        <w:tabs>
          <w:tab w:val="left" w:pos="1622"/>
        </w:tabs>
        <w:rPr>
          <w:rFonts w:cs="Calibri"/>
          <w:b/>
          <w:bCs/>
        </w:rPr>
      </w:pPr>
    </w:p>
    <w:p w:rsidR="00023318" w:rsidRPr="00023318" w:rsidRDefault="00023318" w:rsidP="00023318">
      <w:pPr>
        <w:pStyle w:val="Heading2"/>
        <w:spacing w:line="276" w:lineRule="auto"/>
        <w:rPr>
          <w:rFonts w:ascii="Calibri" w:hAnsi="Calibri"/>
        </w:rPr>
      </w:pPr>
      <w:bookmarkStart w:id="156" w:name="_Toc454277483"/>
      <w:bookmarkStart w:id="157" w:name="_Toc457355463"/>
      <w:r w:rsidRPr="00023318">
        <w:rPr>
          <w:rFonts w:ascii="Calibri" w:hAnsi="Calibri"/>
        </w:rPr>
        <w:t>CROSS SUBSIDY SURCHARGE</w:t>
      </w:r>
      <w:bookmarkEnd w:id="156"/>
      <w:bookmarkEnd w:id="157"/>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92"/>
        </w:numPr>
        <w:spacing w:before="0"/>
        <w:contextualSpacing/>
        <w:rPr>
          <w:rFonts w:cs="Calibri"/>
          <w:b/>
          <w:bCs/>
          <w:i/>
          <w:iCs/>
        </w:rPr>
      </w:pPr>
      <w:r w:rsidRPr="00023318">
        <w:rPr>
          <w:rFonts w:cs="Calibri"/>
          <w:b/>
          <w:bCs/>
          <w:i/>
          <w:iCs/>
        </w:rPr>
        <w:t>Comments/Suggestions of the Public</w:t>
      </w:r>
    </w:p>
    <w:p w:rsidR="002A3AA1" w:rsidRPr="00714D83" w:rsidRDefault="002A3AA1" w:rsidP="002A3AA1">
      <w:pPr>
        <w:rPr>
          <w:rFonts w:cs="Calibri"/>
          <w:b/>
          <w:bCs/>
        </w:rPr>
      </w:pPr>
    </w:p>
    <w:p w:rsidR="00023318" w:rsidRPr="00023318" w:rsidRDefault="00023318" w:rsidP="00023318">
      <w:pPr>
        <w:pStyle w:val="Heading3"/>
        <w:tabs>
          <w:tab w:val="clear" w:pos="720"/>
          <w:tab w:val="left" w:pos="4860"/>
        </w:tabs>
        <w:ind w:left="993" w:hanging="993"/>
        <w:rPr>
          <w:szCs w:val="24"/>
        </w:rPr>
      </w:pPr>
      <w:r w:rsidRPr="00023318">
        <w:rPr>
          <w:szCs w:val="24"/>
        </w:rPr>
        <w:t>M/s Ambika Steel, M/s Kanpur Fertilizer &amp; Cement Limited and Shri Naveen Gupta, Manager Rimjhim Ispat Ltd. submitted that in cross subsidy formula “L” is the system loss for applicable voltage level, expressed in percentage. Supply between 11 kV and 132 kV is affected through distribution system, therefore, transmission losses and distribution losses needs to be identified between 11 kV and 132 kV and considered towards system losses for determination of cross subsidy surcharge.</w:t>
      </w:r>
    </w:p>
    <w:p w:rsidR="00023318" w:rsidRPr="00023318" w:rsidRDefault="00023318" w:rsidP="00023318">
      <w:pPr>
        <w:pStyle w:val="Heading3"/>
        <w:tabs>
          <w:tab w:val="clear" w:pos="720"/>
          <w:tab w:val="left" w:pos="4860"/>
        </w:tabs>
        <w:ind w:left="993" w:hanging="993"/>
        <w:rPr>
          <w:szCs w:val="24"/>
        </w:rPr>
      </w:pPr>
      <w:r w:rsidRPr="00023318">
        <w:rPr>
          <w:szCs w:val="24"/>
        </w:rPr>
        <w:t>Shri P.K. Maskara, The Mahabir Jute Mills Ltd. requested for the clarification of Order on Petition No. 995/2014 dated November 3, 2015 in the matter of cross subsidy surcharge in Open Access.</w:t>
      </w:r>
    </w:p>
    <w:p w:rsidR="002A3AA1" w:rsidRPr="00714D83" w:rsidRDefault="002A3AA1" w:rsidP="002A3AA1">
      <w:pPr>
        <w:tabs>
          <w:tab w:val="left" w:pos="1980"/>
        </w:tabs>
        <w:ind w:left="720"/>
        <w:rPr>
          <w:rFonts w:cs="Calibri"/>
          <w:color w:val="000000"/>
        </w:rPr>
      </w:pPr>
    </w:p>
    <w:p w:rsidR="002A3AA1" w:rsidRPr="00714D83" w:rsidRDefault="00023318" w:rsidP="00EC6AAC">
      <w:pPr>
        <w:numPr>
          <w:ilvl w:val="0"/>
          <w:numId w:val="92"/>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Regarding clarification on Petition No. 995/2014 dated November 3, 2015 the licensee has submitted that the subject matter of the query of the stakeholder pertains to only FY 2015-16 and hence, is out of the scope of the instant tariff petition which is for FY 2016-17.</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The cross subsidy is within the threshold limits prescribed under the Tariff Policy. The tariff has been proposed in line with the Tariff Regulations framed by the Commission, the National Tariff Policy, 2006 and the Electricity Act, 2003.</w:t>
      </w:r>
    </w:p>
    <w:p w:rsidR="00023318" w:rsidRPr="00023318" w:rsidRDefault="00023318" w:rsidP="00023318">
      <w:pPr>
        <w:pStyle w:val="Heading3"/>
        <w:tabs>
          <w:tab w:val="clear" w:pos="720"/>
          <w:tab w:val="left" w:pos="4860"/>
        </w:tabs>
        <w:ind w:left="993" w:hanging="993"/>
        <w:rPr>
          <w:szCs w:val="24"/>
        </w:rPr>
      </w:pPr>
      <w:r w:rsidRPr="00023318">
        <w:rPr>
          <w:szCs w:val="24"/>
        </w:rPr>
        <w:t>The system losses have been considered as per the consistent practice of the Commission in the past Tariff Orders issued by it.</w:t>
      </w:r>
    </w:p>
    <w:p w:rsidR="002A3AA1" w:rsidRPr="00714D83" w:rsidRDefault="002A3AA1" w:rsidP="002A3AA1">
      <w:pPr>
        <w:pStyle w:val="Heading3"/>
        <w:numPr>
          <w:ilvl w:val="0"/>
          <w:numId w:val="0"/>
        </w:numPr>
        <w:tabs>
          <w:tab w:val="clear" w:pos="720"/>
        </w:tabs>
        <w:ind w:left="993"/>
        <w:rPr>
          <w:szCs w:val="24"/>
        </w:rPr>
      </w:pPr>
    </w:p>
    <w:p w:rsidR="002A3AA1" w:rsidRPr="00714D83" w:rsidRDefault="00023318" w:rsidP="00EC6AAC">
      <w:pPr>
        <w:pStyle w:val="ListParagraph"/>
        <w:numPr>
          <w:ilvl w:val="0"/>
          <w:numId w:val="92"/>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As regards the cross subsidy surcharge the Commission has noted the suggestions made by the stakeholders and has accordingly discussed the issue in detail in subsequent chapter titled Open Access Charges.</w:t>
      </w:r>
    </w:p>
    <w:p w:rsidR="002A3AA1" w:rsidRPr="00714D83" w:rsidRDefault="002A3AA1" w:rsidP="002A3AA1">
      <w:pPr>
        <w:pStyle w:val="Heading3"/>
        <w:numPr>
          <w:ilvl w:val="0"/>
          <w:numId w:val="0"/>
        </w:numPr>
        <w:tabs>
          <w:tab w:val="clear" w:pos="720"/>
          <w:tab w:val="left" w:pos="4860"/>
        </w:tabs>
        <w:rPr>
          <w:szCs w:val="24"/>
        </w:rPr>
      </w:pPr>
    </w:p>
    <w:p w:rsidR="00023318" w:rsidRPr="00023318" w:rsidRDefault="00023318" w:rsidP="00023318">
      <w:pPr>
        <w:pStyle w:val="Heading2"/>
        <w:spacing w:line="276" w:lineRule="auto"/>
        <w:rPr>
          <w:rFonts w:ascii="Calibri" w:hAnsi="Calibri"/>
        </w:rPr>
      </w:pPr>
      <w:bookmarkStart w:id="158" w:name="_Toc453522786"/>
      <w:bookmarkStart w:id="159" w:name="_Toc454277484"/>
      <w:bookmarkStart w:id="160" w:name="_Toc457355464"/>
      <w:bookmarkEnd w:id="158"/>
      <w:r w:rsidRPr="00023318">
        <w:rPr>
          <w:rFonts w:ascii="Calibri" w:hAnsi="Calibri"/>
        </w:rPr>
        <w:t>TARIFF FOR TELECOM TOWERS</w:t>
      </w:r>
      <w:bookmarkEnd w:id="159"/>
      <w:bookmarkEnd w:id="160"/>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numPr>
          <w:ilvl w:val="0"/>
          <w:numId w:val="94"/>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Shri Rajesh Singh, Energy Manager of Indus Towers Ltd., filed his objections on following point  </w:t>
      </w:r>
    </w:p>
    <w:p w:rsidR="002A3AA1" w:rsidRPr="00714D83" w:rsidRDefault="00023318" w:rsidP="00EC6AAC">
      <w:pPr>
        <w:pStyle w:val="ListParagraph"/>
        <w:numPr>
          <w:ilvl w:val="0"/>
          <w:numId w:val="93"/>
        </w:numPr>
        <w:spacing w:before="0" w:after="200"/>
        <w:contextualSpacing/>
        <w:rPr>
          <w:rFonts w:cs="Calibri"/>
          <w:color w:val="000000"/>
        </w:rPr>
      </w:pPr>
      <w:r w:rsidRPr="00023318">
        <w:rPr>
          <w:rFonts w:cs="Calibri"/>
          <w:color w:val="000000"/>
        </w:rPr>
        <w:t xml:space="preserve">Rationalization of Tariff for telecom towers in the state: Telecoms towers with stable energy consumption of 24 hours a day allow the utilities to schedule demand in advance and hence, need to buy expensive short term power significantly reduced; this in turn leads to reduced cost of supply for the said consumers. They quoted APTEL decisions (MERC vs. Mumbai Airport and Tata steel vs. OERC) for tariff rationalization be taken as guiding factors in tariff determination process, therefore tariff for the commercial category has to be reduced.  </w:t>
      </w:r>
    </w:p>
    <w:p w:rsidR="002A3AA1" w:rsidRPr="00714D83" w:rsidRDefault="00023318" w:rsidP="00EC6AAC">
      <w:pPr>
        <w:pStyle w:val="ListParagraph"/>
        <w:numPr>
          <w:ilvl w:val="0"/>
          <w:numId w:val="93"/>
        </w:numPr>
        <w:spacing w:before="0" w:after="200"/>
        <w:contextualSpacing/>
        <w:rPr>
          <w:rFonts w:cs="Calibri"/>
          <w:color w:val="000000"/>
        </w:rPr>
      </w:pPr>
      <w:r w:rsidRPr="00023318">
        <w:rPr>
          <w:rFonts w:cs="Calibri"/>
          <w:color w:val="000000"/>
        </w:rPr>
        <w:t>Inclusion of Telecom Towers in the redesigned ToD Tariff scheme in the State: As TOD scheme is already available for commercial consumers of power like Floriculture /mushroom farming with similar load characteristics; hence, TOD tariff is made applicable for telecom towers too. The Commission may also consider it optional for certain willing consumer.</w:t>
      </w:r>
    </w:p>
    <w:p w:rsidR="002A3AA1" w:rsidRPr="00714D83" w:rsidRDefault="00023318" w:rsidP="00EC6AAC">
      <w:pPr>
        <w:pStyle w:val="ListParagraph"/>
        <w:numPr>
          <w:ilvl w:val="0"/>
          <w:numId w:val="93"/>
        </w:numPr>
        <w:spacing w:before="0" w:after="200"/>
        <w:contextualSpacing/>
        <w:rPr>
          <w:rFonts w:cs="Calibri"/>
          <w:color w:val="000000"/>
        </w:rPr>
      </w:pPr>
      <w:r w:rsidRPr="00023318">
        <w:rPr>
          <w:rFonts w:cs="Calibri"/>
          <w:color w:val="000000"/>
        </w:rPr>
        <w:t xml:space="preserve">Implementation of consolidated Billing &amp; Roll out of AMR: The Commission may provide directions to the Discoms for supporting proposal of installation of smart meters and roll out consolidated billing for large consumers with multiple connections. Such a measure would drive the efficiency of the Discoms by way of saving in meter reading and billing cost while also ensuring accuracy. For </w:t>
      </w:r>
      <w:r w:rsidRPr="00023318">
        <w:rPr>
          <w:rFonts w:cs="Calibri"/>
          <w:color w:val="000000"/>
        </w:rPr>
        <w:lastRenderedPageBreak/>
        <w:t>consumers such as Indus Towers operating telecom towers, each of which is billed separately, implementation of consolidated billing and AMR would be greatly beneficial.</w:t>
      </w:r>
    </w:p>
    <w:p w:rsidR="002A3AA1" w:rsidRPr="00714D83" w:rsidRDefault="002A3AA1" w:rsidP="002A3AA1">
      <w:pPr>
        <w:pStyle w:val="ListParagraph"/>
        <w:ind w:left="1353"/>
        <w:rPr>
          <w:rFonts w:cs="Calibri"/>
          <w:color w:val="000000"/>
        </w:rPr>
      </w:pPr>
    </w:p>
    <w:p w:rsidR="002A3AA1" w:rsidRPr="00714D83" w:rsidRDefault="00023318" w:rsidP="00EC6AAC">
      <w:pPr>
        <w:pStyle w:val="ListParagraph"/>
        <w:numPr>
          <w:ilvl w:val="0"/>
          <w:numId w:val="94"/>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The Licensee clarified that the activity of consumers under this category is commercial in nature and so the category and tariff proposed for this category is justified and hence request of the stakeholder need not be considered.</w:t>
      </w:r>
    </w:p>
    <w:p w:rsidR="00023318" w:rsidRPr="00023318" w:rsidRDefault="00023318" w:rsidP="00023318">
      <w:pPr>
        <w:pStyle w:val="Heading3"/>
        <w:tabs>
          <w:tab w:val="clear" w:pos="720"/>
          <w:tab w:val="left" w:pos="4860"/>
        </w:tabs>
        <w:ind w:left="993" w:hanging="993"/>
        <w:rPr>
          <w:szCs w:val="24"/>
        </w:rPr>
      </w:pPr>
      <w:r w:rsidRPr="00023318">
        <w:rPr>
          <w:bCs w:val="0"/>
          <w:szCs w:val="24"/>
        </w:rPr>
        <w:t>The Licensee submitted that it has endeavoured to keep the rate schedule as simple as possible. However different categories have been created to discriminate among consumers considering their load factor, power factor, voltage, total consumption of electricity during any specified period or the time at which the supply is required or the geographical position of any area, the nature of supply and the purpose for which supply is required. As the telecom companies pass the incidence of their cost on to their consumers in terms of hike in the charges of their services; any move to re-categorise the consumer category which has impact on tariff of such consumers would hurt the Licensees who are already reeling under severe financial crisis.</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EC6AAC">
      <w:pPr>
        <w:pStyle w:val="ListParagraph"/>
        <w:numPr>
          <w:ilvl w:val="0"/>
          <w:numId w:val="94"/>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does not agree with the contentions of the stakeholder to provide special relaxation to the telecom towers based on the kind of services provided by them. The Commission understands that the telecom companies are allowed to pass over the burden of legitimate costs through increase in tariffs to consumers. The Commission does not agree with the proposal to create a separate category for mobile tower in this Tariff Order as this would be a backward step towards tariff rationalisation. </w:t>
      </w:r>
    </w:p>
    <w:p w:rsidR="002A3AA1" w:rsidRPr="00714D83" w:rsidRDefault="002A3AA1" w:rsidP="002A3AA1">
      <w:pPr>
        <w:pStyle w:val="ListParagraph"/>
        <w:ind w:left="0"/>
        <w:rPr>
          <w:rFonts w:cs="Calibri"/>
          <w:color w:val="000000"/>
        </w:rPr>
      </w:pPr>
    </w:p>
    <w:p w:rsidR="00023318" w:rsidRPr="00023318" w:rsidRDefault="00023318" w:rsidP="00023318">
      <w:pPr>
        <w:pStyle w:val="Heading2"/>
        <w:spacing w:line="276" w:lineRule="auto"/>
        <w:rPr>
          <w:rFonts w:ascii="Calibri" w:hAnsi="Calibri"/>
        </w:rPr>
      </w:pPr>
      <w:bookmarkStart w:id="161" w:name="_Toc454277485"/>
      <w:bookmarkStart w:id="162" w:name="_Toc457355465"/>
      <w:r w:rsidRPr="00023318">
        <w:rPr>
          <w:rFonts w:ascii="Calibri" w:hAnsi="Calibri"/>
        </w:rPr>
        <w:t>TARIFF STRUCTURE</w:t>
      </w:r>
      <w:bookmarkEnd w:id="161"/>
      <w:bookmarkEnd w:id="162"/>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pStyle w:val="ListParagraph"/>
        <w:numPr>
          <w:ilvl w:val="0"/>
          <w:numId w:val="95"/>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Avadhesh Kumar Verma, Chairman, U.P. Rajya Vidyut Upbhokta Parishad submitted that the tariff should be determined on the basis of end use of electricity. The agriculture consumers use electricity for yielding their fields and cannot pass the increase in tariff through grains as the price of grains was fixed by Govt., while in </w:t>
      </w:r>
      <w:r w:rsidRPr="00023318">
        <w:rPr>
          <w:szCs w:val="24"/>
        </w:rPr>
        <w:lastRenderedPageBreak/>
        <w:t>case of commercial and industrial consumers they pass the increase in tariff by increasing the cost of their product and services. Stakeholder further requested the Commission for considering these facts before any increase in the tariff of agriculture and domestic consumer.</w:t>
      </w:r>
    </w:p>
    <w:p w:rsidR="00023318" w:rsidRPr="00023318" w:rsidRDefault="00023318" w:rsidP="00023318">
      <w:pPr>
        <w:pStyle w:val="Heading3"/>
        <w:tabs>
          <w:tab w:val="clear" w:pos="720"/>
          <w:tab w:val="left" w:pos="4860"/>
        </w:tabs>
        <w:ind w:left="993" w:hanging="993"/>
        <w:rPr>
          <w:szCs w:val="24"/>
        </w:rPr>
      </w:pPr>
      <w:r w:rsidRPr="00023318">
        <w:rPr>
          <w:szCs w:val="24"/>
        </w:rPr>
        <w:t>Shri G.C. Chaturvedi, Indian Industries Association submitted that logic adopted for kVAh billing for HV-3 category should be adopted for LMV-6 &amp; HV-2 categories. More no. of slabs makes rate schedule more complicated, it is proposed that for higher consumption lower rate of energy charges to be made applicable and 100% metering has to be done for LMV-10 category.</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that how uniform tariff rates can be finalized for all the consumers in the State of UP as State is  having part of the areas covered under the different jurisdiction of several Discoms having separate &amp; different balance sheet performance, line losses etc.</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that existing tariff structure for LMV-4 category is not justified as the consumer cannot be deprived from the applicability of all slabs starting from 1st to last for consuming more than 1000 unit.</w:t>
      </w:r>
    </w:p>
    <w:p w:rsidR="00023318" w:rsidRPr="00023318" w:rsidRDefault="00023318" w:rsidP="00023318">
      <w:pPr>
        <w:pStyle w:val="Heading3"/>
        <w:tabs>
          <w:tab w:val="clear" w:pos="720"/>
          <w:tab w:val="left" w:pos="4860"/>
        </w:tabs>
        <w:ind w:left="993" w:hanging="993"/>
        <w:rPr>
          <w:szCs w:val="24"/>
        </w:rPr>
      </w:pPr>
      <w:r w:rsidRPr="00023318">
        <w:rPr>
          <w:szCs w:val="24"/>
        </w:rPr>
        <w:t>Shri Swami Tattvajnanananda Saraswati, All India Movement for Seva submitted that NGO may be billed under domestic tariff category.</w:t>
      </w:r>
    </w:p>
    <w:p w:rsidR="00023318" w:rsidRPr="00023318" w:rsidRDefault="00023318" w:rsidP="00023318">
      <w:pPr>
        <w:pStyle w:val="Heading3"/>
        <w:tabs>
          <w:tab w:val="clear" w:pos="720"/>
          <w:tab w:val="left" w:pos="4860"/>
        </w:tabs>
        <w:ind w:left="993" w:hanging="993"/>
        <w:rPr>
          <w:szCs w:val="24"/>
        </w:rPr>
      </w:pPr>
      <w:r w:rsidRPr="00023318">
        <w:rPr>
          <w:szCs w:val="24"/>
        </w:rPr>
        <w:t>Shri Sudhir Chandra Goyal M/s Khatauli Cold Storage submitted that as per tariff schedule continuous period of operation of cold storage industries should not be more than 9 months in a financial year. As per GoUP Order cold storage season is from 15th February to 30th November, which is 9.5 month, hence, this period of more than 9 month should be replaced with 10 months.</w:t>
      </w:r>
    </w:p>
    <w:p w:rsidR="00023318" w:rsidRPr="00023318" w:rsidRDefault="00023318" w:rsidP="00023318">
      <w:pPr>
        <w:pStyle w:val="Heading3"/>
        <w:tabs>
          <w:tab w:val="clear" w:pos="720"/>
          <w:tab w:val="left" w:pos="4860"/>
        </w:tabs>
        <w:ind w:left="993" w:hanging="993"/>
        <w:rPr>
          <w:szCs w:val="24"/>
        </w:rPr>
      </w:pPr>
      <w:r w:rsidRPr="00023318">
        <w:rPr>
          <w:szCs w:val="24"/>
        </w:rPr>
        <w:t>Shri D.S .Verma Executive Director, Indian Industries Association requested the Commission not to allow the burden of cross subsidy on LMV-6 &amp; HV-2 categories in view to help the industries to compete globally.</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Jyoti Enviro Tech Pvt. Ltd. submitted that the tariff of waste management plants should be equal to agriculture category tariff. </w:t>
      </w:r>
    </w:p>
    <w:p w:rsidR="00023318" w:rsidRPr="00023318" w:rsidRDefault="00023318" w:rsidP="00023318">
      <w:pPr>
        <w:pStyle w:val="Heading3"/>
        <w:tabs>
          <w:tab w:val="clear" w:pos="720"/>
          <w:tab w:val="left" w:pos="4860"/>
        </w:tabs>
        <w:ind w:left="993" w:hanging="993"/>
        <w:rPr>
          <w:szCs w:val="24"/>
        </w:rPr>
      </w:pPr>
      <w:r w:rsidRPr="00023318">
        <w:rPr>
          <w:szCs w:val="24"/>
        </w:rPr>
        <w:t>Shri Pyare Lal Sharma chairman, Manyata prapt vidyalay Prababdhak Association submitted that tariff ofschools for children of weaker sections should be billed under normal category not under commercial category.</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Shri Manoj Aggarwal Chairman and Gaurav Mittal, Laghu Udyog Bharti submitted that shops produce and sale in nature i.e., tailor shop, Sweet Shop &amp; printing press, maybe billed under LMV-6 or LMV-2 must be clarified, as Discoms are raising assessment by taking advantage of this confusion and harassing the consumers.</w:t>
      </w:r>
    </w:p>
    <w:p w:rsidR="00023318" w:rsidRPr="00023318" w:rsidRDefault="00023318" w:rsidP="00023318">
      <w:pPr>
        <w:pStyle w:val="Heading3"/>
        <w:tabs>
          <w:tab w:val="clear" w:pos="720"/>
          <w:tab w:val="left" w:pos="4860"/>
        </w:tabs>
        <w:ind w:left="993" w:hanging="993"/>
        <w:rPr>
          <w:szCs w:val="24"/>
        </w:rPr>
      </w:pPr>
      <w:r w:rsidRPr="00023318">
        <w:rPr>
          <w:szCs w:val="24"/>
        </w:rPr>
        <w:t>Bharteey Kisan Union (Aligarh) has requested following point to be considered in Tariff Order</w:t>
      </w:r>
    </w:p>
    <w:p w:rsidR="002A3AA1" w:rsidRPr="00714D83" w:rsidRDefault="00023318" w:rsidP="00EC6AAC">
      <w:pPr>
        <w:pStyle w:val="ListParagraph"/>
        <w:numPr>
          <w:ilvl w:val="0"/>
          <w:numId w:val="96"/>
        </w:numPr>
        <w:spacing w:before="0"/>
        <w:contextualSpacing/>
        <w:rPr>
          <w:rFonts w:cs="Calibri"/>
          <w:color w:val="000000"/>
        </w:rPr>
      </w:pPr>
      <w:r w:rsidRPr="00023318">
        <w:rPr>
          <w:rFonts w:cs="Calibri"/>
          <w:color w:val="000000"/>
        </w:rPr>
        <w:t>For PTW category, transportation cost of the transformer should be borne by the Licensee like in other categories. Further, Disconnection charge &amp; reconnection charge should not be billed to the PTW consumer.</w:t>
      </w:r>
    </w:p>
    <w:p w:rsidR="002A3AA1" w:rsidRPr="00714D83" w:rsidRDefault="00023318" w:rsidP="00EC6AAC">
      <w:pPr>
        <w:pStyle w:val="ListParagraph"/>
        <w:numPr>
          <w:ilvl w:val="0"/>
          <w:numId w:val="96"/>
        </w:numPr>
        <w:spacing w:before="0"/>
        <w:contextualSpacing/>
        <w:rPr>
          <w:rFonts w:cs="Calibri"/>
          <w:color w:val="000000"/>
        </w:rPr>
      </w:pPr>
      <w:r w:rsidRPr="00023318">
        <w:rPr>
          <w:rFonts w:cs="Calibri"/>
          <w:color w:val="000000"/>
        </w:rPr>
        <w:t xml:space="preserve"> In Rural areas power must be supplied for the period of 5 PM to 12 AM and 4 AM to 2 PM at voltage of 440V/ 220 V.</w:t>
      </w:r>
    </w:p>
    <w:p w:rsidR="002A3AA1" w:rsidRPr="00714D83" w:rsidRDefault="00023318" w:rsidP="00EC6AAC">
      <w:pPr>
        <w:pStyle w:val="ListParagraph"/>
        <w:numPr>
          <w:ilvl w:val="0"/>
          <w:numId w:val="96"/>
        </w:numPr>
        <w:spacing w:before="0"/>
        <w:contextualSpacing/>
        <w:rPr>
          <w:rFonts w:cs="Calibri"/>
          <w:color w:val="000000"/>
        </w:rPr>
      </w:pPr>
      <w:r w:rsidRPr="00023318">
        <w:rPr>
          <w:rFonts w:cs="Calibri"/>
          <w:color w:val="000000"/>
        </w:rPr>
        <w:t>There must be equal hours of power supply in rural areas. In areas where power is supplied for longer duration higher tariff should be charged.</w:t>
      </w:r>
    </w:p>
    <w:p w:rsidR="00023318" w:rsidRPr="00023318" w:rsidRDefault="00023318" w:rsidP="00023318">
      <w:pPr>
        <w:pStyle w:val="Heading3"/>
        <w:tabs>
          <w:tab w:val="clear" w:pos="720"/>
          <w:tab w:val="left" w:pos="4860"/>
        </w:tabs>
        <w:ind w:left="993" w:hanging="993"/>
        <w:rPr>
          <w:szCs w:val="24"/>
        </w:rPr>
      </w:pPr>
      <w:r w:rsidRPr="00023318">
        <w:rPr>
          <w:szCs w:val="24"/>
        </w:rPr>
        <w:t>Dr. Mohammad Rihan Member In-charge, Department of Electricity, Aligarh Muslim University submitted that the grouping of public institution like Aligarh Muslim University under HV-1 needs to be reconsidered. Grouping of public institution with private institution is not convincing. As the private Institutions charge very high fee from students as compared to public institutions and hence they can afford higher tariff. Therefore it is requested that the public institution like AMU, getting supply at single point may be kept in a different category and a single significant relief in tariff may be provided.</w:t>
      </w:r>
    </w:p>
    <w:p w:rsidR="00023318" w:rsidRPr="00023318" w:rsidRDefault="00023318" w:rsidP="00023318">
      <w:pPr>
        <w:pStyle w:val="Heading3"/>
        <w:tabs>
          <w:tab w:val="clear" w:pos="720"/>
          <w:tab w:val="left" w:pos="4860"/>
        </w:tabs>
        <w:ind w:left="993" w:hanging="993"/>
        <w:rPr>
          <w:szCs w:val="24"/>
        </w:rPr>
      </w:pPr>
      <w:r w:rsidRPr="00023318">
        <w:rPr>
          <w:szCs w:val="24"/>
        </w:rPr>
        <w:t>Miss Romi, Global Care Organization submitted that tariff structure for plants which uses waste to generate fertilizer must be in line with Agriculture Tariff.</w:t>
      </w:r>
    </w:p>
    <w:p w:rsidR="00023318" w:rsidRPr="00023318" w:rsidRDefault="00023318" w:rsidP="00023318">
      <w:pPr>
        <w:pStyle w:val="Heading3"/>
        <w:tabs>
          <w:tab w:val="clear" w:pos="720"/>
          <w:tab w:val="left" w:pos="4860"/>
        </w:tabs>
        <w:ind w:left="993" w:hanging="993"/>
        <w:rPr>
          <w:szCs w:val="24"/>
        </w:rPr>
      </w:pPr>
      <w:r w:rsidRPr="00023318">
        <w:rPr>
          <w:szCs w:val="24"/>
        </w:rPr>
        <w:t>Miss Romi, Global Care Organization submitted that there must be clear definition of rural area and rural feeder and there must be at least 10% lower tariff forIndustrial feeders.</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Miss Romi, Global Care Organization submitted that there must be provision for lowering fixed charges on the basis of reliability and hours of supply.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Vishnu Bhagwan Agarwal Chairman, Agra Chapter, ASSOCHAM, U.P  submitted that if  power cuts cannot be controlled in urban areas then the Tariff for rural areas may be followed in urban areas.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Rama Shanker Awasthi submitted that in absence of clarification in applicability of rural rebate, there are number of disputes generated in the State out of which some of the matter is pending before the Commission for compliance under Section </w:t>
      </w:r>
      <w:r w:rsidRPr="00023318">
        <w:rPr>
          <w:szCs w:val="24"/>
        </w:rPr>
        <w:lastRenderedPageBreak/>
        <w:t>142 of EA 2003. It is further submitted that in order to shorten the litigation regarding rural and urban schedule, the Commission should clarify whether the rural rebate is based on supply of electricity or place and area of consumer. It is further submitted that the Commission may specify rural area and rural schedule for each Licensee so that rural consumers get rural rebate.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Ashok kumar Goyal President, National Chamber of Industries &amp; Commerce submitted that as per Supply Code, the cost involved in enhancement of load is deemed to have been recovered from system loading charges head, but discoms are taking payment of cost of all equipment without giving remission of old surrendered equipment. Stakeholder further submitted that this monopolistic condition is unreasonable and the Discoms should bear the cost of equipment for load enhancement keeping the property title with them. Stakeholder also submitted that Discoms should maintain the line till the point of supply i.e. Meter without claiming any charges from consumers. Stakeholder further submitted that after charging system loading charges there is no justification of charging any fixed charges or minimum consumption guarantee.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Director, The Mahabir Jute Mills Ltd. submitted that as per PuVVNL petition, power sold to HV-2 is about 1356 MU @ Rs. 7.32 per unit whereas power sold to LMV-5 is about 2100 MU @ Rs. 0.71 per unit. The powers to farmers are subsidized. Stakeholder further submitted that the subsidy to farmers should be reimbursed by the State Govt. instead of collecting from Industries. </w:t>
      </w:r>
    </w:p>
    <w:p w:rsidR="00023318" w:rsidRPr="00023318" w:rsidRDefault="00023318" w:rsidP="00023318">
      <w:pPr>
        <w:pStyle w:val="Heading3"/>
        <w:tabs>
          <w:tab w:val="clear" w:pos="720"/>
          <w:tab w:val="left" w:pos="4860"/>
        </w:tabs>
        <w:ind w:left="993" w:hanging="993"/>
        <w:rPr>
          <w:szCs w:val="24"/>
        </w:rPr>
      </w:pPr>
      <w:r w:rsidRPr="00023318">
        <w:rPr>
          <w:szCs w:val="24"/>
        </w:rPr>
        <w:t>Shri Sandeep kumar Gupta submitted that at present tariff of LMV-6 is Rs. 6.39 per unit. Stakeholder further submitted that regulatory surcharge and fixed demand charge should be removed from this category consumer and the tariff should be Rs. 7 per unit. This will benefit both consumer and Licensee.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B.N. Shuklaa, President UP Petroleum Traders Association submitted that petrol and diesel is a basic commodity and licensees have considered petrol pump as commercial consumer which results in high tariff. Stakeholder further requested the Commission to create a new consumer category for petrol pumps with lower tariff as comparison to commercial category tariff. </w:t>
      </w:r>
    </w:p>
    <w:p w:rsidR="00023318" w:rsidRDefault="00023318" w:rsidP="00023318">
      <w:pPr>
        <w:pStyle w:val="Heading3"/>
        <w:tabs>
          <w:tab w:val="clear" w:pos="720"/>
          <w:tab w:val="left" w:pos="4860"/>
        </w:tabs>
        <w:ind w:left="993" w:hanging="993"/>
        <w:rPr>
          <w:szCs w:val="24"/>
        </w:rPr>
      </w:pPr>
      <w:r w:rsidRPr="00023318">
        <w:rPr>
          <w:szCs w:val="24"/>
        </w:rPr>
        <w:t xml:space="preserve">Director, Ram Charan Steels Ltd. submitted that there should be separate tariff for Iron &amp; Steel industry and the tariff should be minimum. </w:t>
      </w:r>
    </w:p>
    <w:p w:rsidR="002A3AA1" w:rsidRPr="00714D83" w:rsidRDefault="002A3AA1" w:rsidP="009040B6">
      <w:pPr>
        <w:pStyle w:val="Heading3"/>
        <w:numPr>
          <w:ilvl w:val="0"/>
          <w:numId w:val="0"/>
        </w:numPr>
        <w:tabs>
          <w:tab w:val="clear" w:pos="720"/>
          <w:tab w:val="left" w:pos="4860"/>
        </w:tabs>
        <w:rPr>
          <w:szCs w:val="24"/>
        </w:rPr>
      </w:pPr>
    </w:p>
    <w:p w:rsidR="002A3AA1" w:rsidRPr="00714D83" w:rsidRDefault="00023318" w:rsidP="00EC6AAC">
      <w:pPr>
        <w:numPr>
          <w:ilvl w:val="0"/>
          <w:numId w:val="95"/>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Regarding high cost of Electricity Tariff for Steel Units the Licensee has submitted that the Tariff Schedule has been framed considering the cost of service of the licensee at normative parameters framed by the Commission and considering various provisions of the Tariff Regulations and Electricity Act, 2003.</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the Retail Tariff within the State has been kept uniform as per the guidelines provided in the Sec 8.4 (2) of the National Tariff Policy issued by Ministry of Power, Government of India</w:t>
      </w:r>
      <w:r w:rsidRPr="00023318">
        <w:rPr>
          <w:rFonts w:cs="Times New Roman"/>
          <w:szCs w:val="24"/>
        </w:rPr>
        <w:t>.</w:t>
      </w:r>
    </w:p>
    <w:p w:rsidR="00023318" w:rsidRPr="00023318" w:rsidRDefault="00023318" w:rsidP="00023318">
      <w:pPr>
        <w:pStyle w:val="Heading3"/>
        <w:tabs>
          <w:tab w:val="clear" w:pos="720"/>
          <w:tab w:val="left" w:pos="4860"/>
        </w:tabs>
        <w:ind w:left="993" w:hanging="993"/>
        <w:rPr>
          <w:szCs w:val="24"/>
        </w:rPr>
      </w:pPr>
      <w:r w:rsidRPr="00023318">
        <w:rPr>
          <w:szCs w:val="24"/>
        </w:rPr>
        <w:t>Fixed charges / minimum charges are part of tariff and are levied for developing the required infrastructure and to meet the expenses incurred to maintain the supply at all the times. These charges cannot be withdrawn, as they are levied as per provisions of Electricity Act, 2003. Further it is respectfully submitted that the fixed charges have to be recovered by the Petitioner and the consumers with higher consumption ought to bear a fair share of the same. The differential fixed charge is only a mechanism of cross subsidization of fixed charges which is part of tariff and cross-subsidization is allowed as per tariff policy.</w:t>
      </w:r>
    </w:p>
    <w:p w:rsidR="00023318" w:rsidRPr="00023318" w:rsidRDefault="00023318" w:rsidP="00023318">
      <w:pPr>
        <w:pStyle w:val="Heading3"/>
        <w:tabs>
          <w:tab w:val="clear" w:pos="720"/>
          <w:tab w:val="left" w:pos="4860"/>
        </w:tabs>
        <w:ind w:left="993" w:hanging="993"/>
        <w:rPr>
          <w:szCs w:val="24"/>
        </w:rPr>
      </w:pPr>
      <w:r w:rsidRPr="00023318">
        <w:rPr>
          <w:szCs w:val="24"/>
        </w:rPr>
        <w:t>Licensee further submitted that any move to reduce the tariff of any consumers would hurt the Licensees who are already reeling under severe financial crisis. No subsidy is being received from the State Government towards social and charitable institutions. Hence, any reduction in their tariffs would be uncovered gap for the Licensees.</w:t>
      </w:r>
    </w:p>
    <w:p w:rsidR="00023318" w:rsidRPr="00023318" w:rsidRDefault="00023318" w:rsidP="00023318">
      <w:pPr>
        <w:pStyle w:val="Heading3"/>
        <w:tabs>
          <w:tab w:val="clear" w:pos="720"/>
          <w:tab w:val="left" w:pos="4860"/>
        </w:tabs>
        <w:ind w:left="993" w:hanging="993"/>
        <w:rPr>
          <w:szCs w:val="24"/>
        </w:rPr>
      </w:pPr>
      <w:r w:rsidRPr="00023318">
        <w:rPr>
          <w:szCs w:val="24"/>
        </w:rPr>
        <w:t>Regarding season period of cold storage the Licensee has submitted that the issues raised by the stakeholder have been duly deliberated in the past and settled by the Commission. Accordingly the billing is being done by the licensee. Further, the Licensee clarified that the activity of consumers under this category is commercial in nature and so the category and tariff proposed for this category is justified and hence request of the stakeholder need not be considered.</w:t>
      </w:r>
    </w:p>
    <w:p w:rsidR="00023318" w:rsidRPr="00023318" w:rsidRDefault="00023318" w:rsidP="00023318">
      <w:pPr>
        <w:pStyle w:val="Heading3"/>
        <w:tabs>
          <w:tab w:val="clear" w:pos="720"/>
          <w:tab w:val="left" w:pos="4860"/>
        </w:tabs>
        <w:ind w:left="993" w:hanging="993"/>
        <w:rPr>
          <w:szCs w:val="24"/>
        </w:rPr>
      </w:pPr>
      <w:r w:rsidRPr="00023318">
        <w:rPr>
          <w:szCs w:val="24"/>
        </w:rPr>
        <w:t>The proposal of the stakeholder to provide relief in tariff of LMV-4 consumers is not feasible as there is no subsidy support from the Government on this account and would lead to further widening of the revenue gap.</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submitted that the Annual Revenue Requirement is being determined in accordance with the Tariff Regulations framed by the Commission. The tariff is being proposed to recover the gap between the Annual Revenue Requirement and the revenue at current tariffs. Different states have different cost of service, subsidy levels, different power procurement costs, etc., and hence while fixing tariffs all </w:t>
      </w:r>
      <w:r w:rsidRPr="00023318">
        <w:rPr>
          <w:szCs w:val="24"/>
        </w:rPr>
        <w:lastRenderedPageBreak/>
        <w:t>these issues have to be taken into account. The Licensee has submitted that the Retail Tariff for each category within the State has been kept uniform as per guidelines provided in the Sec 8.4 (2) of the National Tariff Policy issued by Ministry of Power, Government of India.</w:t>
      </w:r>
    </w:p>
    <w:p w:rsidR="00023318" w:rsidRPr="00023318" w:rsidRDefault="00023318" w:rsidP="00023318">
      <w:pPr>
        <w:pStyle w:val="Heading3"/>
        <w:tabs>
          <w:tab w:val="clear" w:pos="720"/>
          <w:tab w:val="left" w:pos="4860"/>
        </w:tabs>
        <w:ind w:left="993" w:hanging="993"/>
        <w:rPr>
          <w:szCs w:val="24"/>
        </w:rPr>
      </w:pPr>
      <w:r w:rsidRPr="00023318">
        <w:rPr>
          <w:szCs w:val="24"/>
        </w:rPr>
        <w:t>The Licensee submitted that while framing the tariff it has endeavoured to simplify the rate schedule. Creating new categories within the industry category would not only make the rate schedule more complex, it would also tantamount to preferential treatment to certain class of industries.</w:t>
      </w:r>
    </w:p>
    <w:p w:rsidR="005E05AA" w:rsidRPr="00714D83" w:rsidRDefault="005E05AA" w:rsidP="002A3AA1">
      <w:pPr>
        <w:autoSpaceDE w:val="0"/>
        <w:autoSpaceDN w:val="0"/>
        <w:adjustRightInd w:val="0"/>
      </w:pPr>
    </w:p>
    <w:p w:rsidR="002A3AA1" w:rsidRPr="00714D83" w:rsidRDefault="00023318" w:rsidP="00EC6AAC">
      <w:pPr>
        <w:pStyle w:val="ListParagraph"/>
        <w:numPr>
          <w:ilvl w:val="0"/>
          <w:numId w:val="95"/>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taken note of the objections / suggestions made by the stakeholders in this regards. The applicable Tariffs for all the consumer categories have been designed in accordance with the Electricity Act, 2003 and the Tariff Policy. The details of all the aspects related to Tariff design have been covered subsequently in Chapter of Tariff Philosophy and Rate Schedule provided in this Order.</w:t>
      </w:r>
    </w:p>
    <w:p w:rsidR="002A3AA1" w:rsidRPr="00714D83" w:rsidRDefault="002A3AA1" w:rsidP="002A3AA1">
      <w:pPr>
        <w:pStyle w:val="ListParagraph"/>
        <w:ind w:left="0"/>
        <w:rPr>
          <w:rFonts w:cs="Calibri"/>
          <w:color w:val="000000"/>
        </w:rPr>
      </w:pPr>
    </w:p>
    <w:p w:rsidR="00023318" w:rsidRPr="00023318" w:rsidRDefault="00023318" w:rsidP="00023318">
      <w:pPr>
        <w:pStyle w:val="Heading2"/>
        <w:spacing w:line="276" w:lineRule="auto"/>
        <w:rPr>
          <w:rFonts w:ascii="Calibri" w:hAnsi="Calibri"/>
        </w:rPr>
      </w:pPr>
      <w:bookmarkStart w:id="163" w:name="_Toc454277486"/>
      <w:bookmarkStart w:id="164" w:name="_Toc457355466"/>
      <w:r w:rsidRPr="00023318">
        <w:rPr>
          <w:rFonts w:ascii="Calibri" w:hAnsi="Calibri"/>
        </w:rPr>
        <w:t>LATE PAYMENT SURCHARGE</w:t>
      </w:r>
      <w:bookmarkEnd w:id="163"/>
      <w:bookmarkEnd w:id="164"/>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97"/>
        </w:numPr>
        <w:tabs>
          <w:tab w:val="left" w:pos="1980"/>
        </w:tabs>
        <w:spacing w:before="0"/>
        <w:contextualSpacing/>
        <w:rPr>
          <w:b/>
          <w:i/>
        </w:rPr>
      </w:pPr>
      <w:r w:rsidRPr="00023318">
        <w:rPr>
          <w:b/>
          <w:i/>
        </w:rPr>
        <w:t>Comments/Suggestion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submitted that the justification is required for proposal of extraordinary high rate of LPS. It is further submitted that the levy of LPS @ 2% after three month which comes to 24 % per annum is totally illegal therefore the Commission should not allow the increase in rate of LPS.</w:t>
      </w:r>
    </w:p>
    <w:p w:rsidR="002A3AA1" w:rsidRPr="00714D83" w:rsidRDefault="002A3AA1" w:rsidP="002A3AA1"/>
    <w:p w:rsidR="002A3AA1" w:rsidRPr="00714D83" w:rsidRDefault="00023318" w:rsidP="00EC6AAC">
      <w:pPr>
        <w:numPr>
          <w:ilvl w:val="0"/>
          <w:numId w:val="97"/>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has not submitted any reply. </w:t>
      </w:r>
    </w:p>
    <w:p w:rsidR="002A3AA1" w:rsidRPr="00714D83" w:rsidRDefault="002A3AA1" w:rsidP="002A3AA1">
      <w:pPr>
        <w:pStyle w:val="ListParagraph"/>
        <w:tabs>
          <w:tab w:val="left" w:pos="1980"/>
        </w:tabs>
        <w:ind w:left="360"/>
        <w:rPr>
          <w:b/>
          <w:i/>
        </w:rPr>
      </w:pPr>
    </w:p>
    <w:p w:rsidR="002A3AA1" w:rsidRPr="00714D83" w:rsidRDefault="00023318" w:rsidP="00EC6AAC">
      <w:pPr>
        <w:pStyle w:val="ListParagraph"/>
        <w:numPr>
          <w:ilvl w:val="0"/>
          <w:numId w:val="97"/>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taken note of the suggestions made by the stakeholder and has addressed this issue in the subsequent Sections of this Order</w:t>
      </w:r>
    </w:p>
    <w:p w:rsidR="002A3AA1" w:rsidRPr="00714D83" w:rsidRDefault="002A3AA1" w:rsidP="002A3AA1">
      <w:pPr>
        <w:pStyle w:val="Heading2"/>
        <w:numPr>
          <w:ilvl w:val="0"/>
          <w:numId w:val="0"/>
        </w:numPr>
        <w:spacing w:line="276" w:lineRule="auto"/>
        <w:ind w:left="780"/>
        <w:rPr>
          <w:rFonts w:ascii="Calibri" w:hAnsi="Calibri"/>
        </w:rPr>
      </w:pPr>
    </w:p>
    <w:p w:rsidR="00023318" w:rsidRPr="00023318" w:rsidRDefault="00023318" w:rsidP="00023318">
      <w:pPr>
        <w:pStyle w:val="Heading2"/>
        <w:spacing w:line="276" w:lineRule="auto"/>
        <w:rPr>
          <w:rFonts w:ascii="Calibri" w:hAnsi="Calibri"/>
        </w:rPr>
      </w:pPr>
      <w:bookmarkStart w:id="165" w:name="_Toc454277487"/>
      <w:bookmarkStart w:id="166" w:name="_Toc457355467"/>
      <w:r w:rsidRPr="00023318">
        <w:rPr>
          <w:rFonts w:ascii="Calibri" w:hAnsi="Calibri"/>
        </w:rPr>
        <w:t>PUBLIC HEARING PROCESS</w:t>
      </w:r>
      <w:bookmarkEnd w:id="165"/>
      <w:bookmarkEnd w:id="166"/>
    </w:p>
    <w:p w:rsidR="002A3AA1" w:rsidRPr="00714D83" w:rsidRDefault="002A3AA1" w:rsidP="002A3AA1">
      <w:pPr>
        <w:pStyle w:val="Heading2"/>
        <w:numPr>
          <w:ilvl w:val="0"/>
          <w:numId w:val="0"/>
        </w:numPr>
        <w:spacing w:line="276" w:lineRule="auto"/>
        <w:ind w:left="780"/>
        <w:rPr>
          <w:rFonts w:ascii="Calibri" w:hAnsi="Calibri"/>
        </w:rPr>
      </w:pPr>
    </w:p>
    <w:p w:rsidR="002A3AA1" w:rsidRPr="00714D83" w:rsidRDefault="00023318" w:rsidP="00EC6AAC">
      <w:pPr>
        <w:pStyle w:val="ListParagraph"/>
        <w:numPr>
          <w:ilvl w:val="0"/>
          <w:numId w:val="103"/>
        </w:numPr>
        <w:tabs>
          <w:tab w:val="left" w:pos="1980"/>
        </w:tabs>
        <w:spacing w:before="0"/>
        <w:contextualSpacing/>
        <w:rPr>
          <w:b/>
          <w:i/>
        </w:rPr>
      </w:pPr>
      <w:r w:rsidRPr="00023318">
        <w:rPr>
          <w:b/>
          <w:i/>
        </w:rPr>
        <w:t>Comments/Suggestion of the public</w:t>
      </w:r>
    </w:p>
    <w:p w:rsidR="00023318" w:rsidRPr="00023318" w:rsidRDefault="00023318" w:rsidP="00023318">
      <w:pPr>
        <w:pStyle w:val="Heading3"/>
        <w:tabs>
          <w:tab w:val="clear" w:pos="720"/>
          <w:tab w:val="left" w:pos="4860"/>
        </w:tabs>
        <w:ind w:left="993" w:hanging="993"/>
        <w:rPr>
          <w:szCs w:val="24"/>
        </w:rPr>
      </w:pPr>
      <w:r w:rsidRPr="00023318">
        <w:rPr>
          <w:szCs w:val="24"/>
        </w:rPr>
        <w:t>Shri D.S .Verma  Executive Director, Indian Industries Association submitted that the Public Notice for inviting objection on ARR &amp; Tariff Petitions filed by various Discoms was published in few selected newspapers, hence, large numbers of consumers were not aware of Public Notice.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Rama Shanker Awasthi submitted that the State has six independent Licensee, but the hearing has been organized only in three cities i.e. consumers of three Discoms are neglected and was not provided opportunity. Stakeholder further submitted that as per act and regulation, hearing in the area of each Licensee is mandatory. </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EC6AAC">
      <w:pPr>
        <w:numPr>
          <w:ilvl w:val="0"/>
          <w:numId w:val="103"/>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subject issue is within the preview of the Commission. </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103"/>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in its Admittance Order dated March 29, 2016 directed Licensees to publish the Public Notice detailing the salient information and facts of the ARR / Tariff Petition along with its website address in at least two daily newspapers (One English and One Hindi) for two successive days inviting views / comments / suggestions / objections / representations within 15 days from the date of publication of the Public Notice(s) by all stakeholders and public at large. Combined </w:t>
      </w:r>
      <w:r w:rsidRPr="00023318">
        <w:rPr>
          <w:rFonts w:cs="Calibri"/>
          <w:szCs w:val="24"/>
        </w:rPr>
        <w:t xml:space="preserve">Public hearings were held at various locations of the State irrespective of Licensee area and consumer from any licensee area were allowed to participate in the hearing held at any specified location. </w:t>
      </w:r>
    </w:p>
    <w:p w:rsidR="002A3AA1" w:rsidRPr="00714D83" w:rsidRDefault="002A3AA1" w:rsidP="002A3AA1">
      <w:pPr>
        <w:pStyle w:val="Heading3"/>
        <w:numPr>
          <w:ilvl w:val="0"/>
          <w:numId w:val="0"/>
        </w:numPr>
        <w:ind w:left="1929"/>
        <w:rPr>
          <w:szCs w:val="24"/>
        </w:rPr>
      </w:pPr>
    </w:p>
    <w:p w:rsidR="00023318" w:rsidRPr="00023318" w:rsidRDefault="00023318" w:rsidP="00023318">
      <w:pPr>
        <w:pStyle w:val="Heading2"/>
        <w:spacing w:line="276" w:lineRule="auto"/>
        <w:rPr>
          <w:rFonts w:ascii="Calibri" w:hAnsi="Calibri"/>
        </w:rPr>
      </w:pPr>
      <w:bookmarkStart w:id="167" w:name="_Toc454277488"/>
      <w:bookmarkStart w:id="168" w:name="_Toc457355468"/>
      <w:r w:rsidRPr="00023318">
        <w:rPr>
          <w:rFonts w:ascii="Calibri" w:hAnsi="Calibri"/>
        </w:rPr>
        <w:t>SUB STATION CAPACITY / INFRASTRUCTURE ENHANCEMENT</w:t>
      </w:r>
      <w:bookmarkEnd w:id="167"/>
      <w:bookmarkEnd w:id="168"/>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98"/>
        </w:numPr>
        <w:spacing w:before="0"/>
        <w:contextualSpacing/>
        <w:rPr>
          <w:rFonts w:cs="Calibri"/>
          <w:b/>
          <w:bCs/>
          <w:i/>
          <w:iCs/>
        </w:rPr>
      </w:pPr>
      <w:r w:rsidRPr="00023318">
        <w:rPr>
          <w:rFonts w:cs="Calibri"/>
          <w:b/>
          <w:bCs/>
          <w:i/>
          <w:iCs/>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Avadhesh Kumar Verma, Chairman, U.P. Rajya Vidyut Upbhokta Parishad submitted that the numbers of consumers submitted by the Licensees for FY 2016-17 are 117054709 with connected load of 43591909 kW. Whereas the substation capacity at 132 kV is around 3000 MVA, which reflects that the transmission capacity </w:t>
      </w:r>
      <w:r w:rsidRPr="00023318">
        <w:rPr>
          <w:szCs w:val="24"/>
        </w:rPr>
        <w:lastRenderedPageBreak/>
        <w:t xml:space="preserve">is only 28000000 kW. The diversity factor must be 1:1 i.e. system capacity must be equivalent to the load sanctioned / connected to the consumers for better performance, which in case of U.P. is almost double. Stakeholder further submitted that due to imbalance in transmission and distribution system capacity and connected load there is frequent load shedding and low voltage in many areas. Stakeholder further requested licensees to focus more on system strengthening instead of tariff hike.  </w:t>
      </w:r>
    </w:p>
    <w:p w:rsidR="00023318" w:rsidRPr="00023318" w:rsidRDefault="00023318" w:rsidP="00023318">
      <w:pPr>
        <w:pStyle w:val="Heading3"/>
        <w:tabs>
          <w:tab w:val="clear" w:pos="720"/>
          <w:tab w:val="left" w:pos="4860"/>
        </w:tabs>
        <w:ind w:left="993" w:hanging="993"/>
        <w:rPr>
          <w:szCs w:val="24"/>
        </w:rPr>
      </w:pPr>
      <w:r w:rsidRPr="00023318">
        <w:rPr>
          <w:szCs w:val="24"/>
        </w:rPr>
        <w:t>Shri Gyan Chandra Varshney, Aligarh Udyog Vyapar Pratinidhi Mandal submitted that incomplete work of underground cabling should be completed.</w:t>
      </w:r>
    </w:p>
    <w:p w:rsidR="00023318" w:rsidRPr="00023318" w:rsidRDefault="00023318" w:rsidP="00023318">
      <w:pPr>
        <w:pStyle w:val="Heading3"/>
        <w:tabs>
          <w:tab w:val="clear" w:pos="720"/>
          <w:tab w:val="left" w:pos="4860"/>
        </w:tabs>
        <w:ind w:left="993" w:hanging="993"/>
        <w:rPr>
          <w:szCs w:val="24"/>
        </w:rPr>
      </w:pPr>
      <w:r w:rsidRPr="00023318">
        <w:rPr>
          <w:szCs w:val="24"/>
        </w:rPr>
        <w:t>Shri Manoj Kumar Varshney, Bharteey Janata Party and Gyan Chandra Varshney, Aligarh Udyog Vyapar Pratinidhi Mandal submitted that all electricity wires should be underground to reduce theft of electricity.</w:t>
      </w:r>
    </w:p>
    <w:p w:rsidR="00023318" w:rsidRPr="00023318" w:rsidRDefault="00023318" w:rsidP="00023318">
      <w:pPr>
        <w:pStyle w:val="Heading3"/>
        <w:tabs>
          <w:tab w:val="clear" w:pos="720"/>
          <w:tab w:val="left" w:pos="4860"/>
        </w:tabs>
        <w:ind w:left="993" w:hanging="993"/>
        <w:rPr>
          <w:szCs w:val="24"/>
        </w:rPr>
      </w:pPr>
      <w:r w:rsidRPr="00023318">
        <w:rPr>
          <w:szCs w:val="24"/>
        </w:rPr>
        <w:t>Shri Vivek Bansal, Ex MLA Indian National Congress submitted that villages where transformer used to burn because of underrating /overloading must be replaced with proper capacity.</w:t>
      </w:r>
    </w:p>
    <w:p w:rsidR="00023318" w:rsidRPr="00023318" w:rsidRDefault="00023318" w:rsidP="00023318">
      <w:pPr>
        <w:pStyle w:val="Heading3"/>
        <w:tabs>
          <w:tab w:val="clear" w:pos="720"/>
          <w:tab w:val="left" w:pos="4860"/>
        </w:tabs>
        <w:ind w:left="993" w:hanging="993"/>
        <w:rPr>
          <w:bCs w:val="0"/>
          <w:szCs w:val="24"/>
        </w:rPr>
      </w:pPr>
      <w:r w:rsidRPr="00023318">
        <w:rPr>
          <w:szCs w:val="24"/>
        </w:rPr>
        <w:t>Shri Vivek Bansal, Ex MLA Indian National Congress further submitted that due to poor infrastructure in rural areas various cases of electrical accident noticed, many farmers lost their crop due to fire caused by poor infrastructure.</w:t>
      </w:r>
    </w:p>
    <w:p w:rsidR="00023318" w:rsidRPr="00023318" w:rsidRDefault="00023318" w:rsidP="00023318">
      <w:pPr>
        <w:pStyle w:val="Heading3"/>
        <w:tabs>
          <w:tab w:val="clear" w:pos="720"/>
          <w:tab w:val="left" w:pos="4860"/>
        </w:tabs>
        <w:ind w:left="993" w:hanging="993"/>
        <w:rPr>
          <w:bCs w:val="0"/>
          <w:szCs w:val="24"/>
        </w:rPr>
      </w:pPr>
      <w:r w:rsidRPr="00023318">
        <w:rPr>
          <w:szCs w:val="24"/>
        </w:rPr>
        <w:t>Shri K. L. Aggarwal chairman Associate Chambers of Commerce &amp; Industries of U. P submitted that strict measures should be taken to prevent theft and pilferage of power, LT lines may be converted to underground lines, the transformers should not be overloaded more than 20%.</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and Ashok kumar Goyal President, National Chamber of Industries &amp; Commerce submitted that audit meters be installed in transformer to locate line losses.</w:t>
      </w:r>
    </w:p>
    <w:p w:rsidR="002A3AA1" w:rsidRPr="00714D83" w:rsidRDefault="002A3AA1" w:rsidP="002A3AA1">
      <w:pPr>
        <w:pStyle w:val="Heading3"/>
        <w:numPr>
          <w:ilvl w:val="0"/>
          <w:numId w:val="0"/>
        </w:numPr>
        <w:tabs>
          <w:tab w:val="clear" w:pos="720"/>
          <w:tab w:val="left" w:pos="4860"/>
        </w:tabs>
        <w:ind w:left="993"/>
        <w:rPr>
          <w:szCs w:val="24"/>
        </w:rPr>
      </w:pPr>
    </w:p>
    <w:p w:rsidR="002A3AA1" w:rsidRPr="00714D83" w:rsidRDefault="00023318" w:rsidP="00EC6AAC">
      <w:pPr>
        <w:numPr>
          <w:ilvl w:val="0"/>
          <w:numId w:val="98"/>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Licensee submitted that complaints of quality of supply, turnaround time for fault repair, etc. are not related to present Tariff Petition. However, it assured that these issues are in the jurisdiction of the concerned local field units of the concerned Discoms. Regarding, the demand supply gap, the Licensee is endeavouring to reduce the distribution losses. Capacity augmentation is being planned by the Discoms and </w:t>
      </w:r>
      <w:r w:rsidRPr="00023318">
        <w:rPr>
          <w:szCs w:val="24"/>
        </w:rPr>
        <w:lastRenderedPageBreak/>
        <w:t>Transco and is also depicted in the capital expenditure plan submitted along with the petitions.</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98"/>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The Commission has taken note of the objections / suggestions made by the stake holders. The Licensees must expedite the work of increasing the capacity of various sub-stations and power distribution network, distribution lines has to be ungrounded in theft prone areas and electrical infrastructure must be improved to avoid electrical accidents in accordance with the Capital Investment Plan so that above issues are resolved at the earliest. Further, the Licensees are also directed to plan the distribution network expansion and capacity augmentation to cater to the current and future load requirements and to meet the establish standards of power system design and control the power theft.</w:t>
      </w:r>
    </w:p>
    <w:p w:rsidR="002A3AA1" w:rsidRPr="00714D83" w:rsidRDefault="002A3AA1" w:rsidP="002A3AA1">
      <w:pPr>
        <w:pStyle w:val="Heading2"/>
        <w:numPr>
          <w:ilvl w:val="0"/>
          <w:numId w:val="0"/>
        </w:numPr>
        <w:spacing w:line="276" w:lineRule="auto"/>
        <w:ind w:left="780"/>
        <w:rPr>
          <w:rFonts w:ascii="Calibri" w:hAnsi="Calibri"/>
          <w:b w:val="0"/>
          <w:bCs w:val="0"/>
        </w:rPr>
      </w:pPr>
    </w:p>
    <w:p w:rsidR="00023318" w:rsidRPr="00023318" w:rsidRDefault="00023318" w:rsidP="00023318">
      <w:pPr>
        <w:pStyle w:val="Heading2"/>
        <w:spacing w:line="276" w:lineRule="auto"/>
        <w:rPr>
          <w:rFonts w:ascii="Calibri" w:hAnsi="Calibri"/>
        </w:rPr>
      </w:pPr>
      <w:bookmarkStart w:id="169" w:name="_Toc454277489"/>
      <w:bookmarkStart w:id="170" w:name="_Toc457355469"/>
      <w:r w:rsidRPr="00023318">
        <w:rPr>
          <w:rFonts w:ascii="Calibri" w:hAnsi="Calibri"/>
        </w:rPr>
        <w:t>ENCOURAGING RENEWABLE ENERGY</w:t>
      </w:r>
      <w:bookmarkEnd w:id="169"/>
      <w:bookmarkEnd w:id="170"/>
    </w:p>
    <w:p w:rsidR="002A3AA1" w:rsidRPr="00714D83" w:rsidRDefault="002A3AA1" w:rsidP="002A3AA1">
      <w:pPr>
        <w:pStyle w:val="Heading2"/>
        <w:numPr>
          <w:ilvl w:val="0"/>
          <w:numId w:val="0"/>
        </w:numPr>
        <w:spacing w:line="276" w:lineRule="auto"/>
        <w:rPr>
          <w:rFonts w:ascii="Calibri" w:hAnsi="Calibri"/>
          <w:i/>
        </w:rPr>
      </w:pPr>
    </w:p>
    <w:p w:rsidR="002A3AA1" w:rsidRPr="00714D83" w:rsidRDefault="00023318" w:rsidP="00EC6AAC">
      <w:pPr>
        <w:pStyle w:val="ListParagraph"/>
        <w:numPr>
          <w:ilvl w:val="0"/>
          <w:numId w:val="99"/>
        </w:numPr>
        <w:tabs>
          <w:tab w:val="left" w:pos="1980"/>
        </w:tabs>
        <w:spacing w:before="0"/>
        <w:contextualSpacing/>
        <w:rPr>
          <w:b/>
          <w:i/>
        </w:rPr>
      </w:pPr>
      <w:r w:rsidRPr="00023318">
        <w:rPr>
          <w:b/>
          <w:i/>
        </w:rPr>
        <w:t>Comments/Suggestions of the Public</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Shri K. L. Aggarwal chairman Associate Chambers of Commerce &amp; Industries of U. P submitted that the rebate of Rs. 100 per month for installation of solar water heating system of 100 litre capacity may be increased to Rs 250 per month in consideration to the cost of solar system. </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submitted that subsidy on roof top solar power system has to be provided irrespective of brand and import of PV panels may be duty free. It is further submitted that installation of solar power system in all remote villages should be controlled by Gram Panchayat to save transmission Line cost and line loss under a devised scheme.</w:t>
      </w:r>
    </w:p>
    <w:p w:rsidR="00023318" w:rsidRPr="00023318" w:rsidRDefault="00023318" w:rsidP="00023318">
      <w:pPr>
        <w:pStyle w:val="Heading3"/>
        <w:tabs>
          <w:tab w:val="clear" w:pos="720"/>
          <w:tab w:val="left" w:pos="4860"/>
        </w:tabs>
        <w:ind w:left="993" w:hanging="993"/>
        <w:rPr>
          <w:szCs w:val="24"/>
        </w:rPr>
      </w:pPr>
      <w:r w:rsidRPr="00023318">
        <w:rPr>
          <w:szCs w:val="24"/>
        </w:rPr>
        <w:t>Prof. Dr. K Kasthuriangan, Indian Wind Power Association submitted that high wind potential states like Tamilnadu, Karnataka and Madhya Pradesh can supply wind energy to wind deficit states like Uttar Pradesh and help the distribution Licensees in meeting the Non-solar renewable purchase obligation at very economical way.</w:t>
      </w:r>
    </w:p>
    <w:p w:rsidR="00023318" w:rsidRPr="00023318" w:rsidRDefault="00023318" w:rsidP="00023318">
      <w:pPr>
        <w:pStyle w:val="Heading3"/>
        <w:tabs>
          <w:tab w:val="clear" w:pos="720"/>
          <w:tab w:val="left" w:pos="4860"/>
        </w:tabs>
        <w:ind w:left="993" w:hanging="993"/>
        <w:rPr>
          <w:bCs w:val="0"/>
          <w:szCs w:val="24"/>
        </w:rPr>
      </w:pPr>
      <w:r w:rsidRPr="00023318">
        <w:rPr>
          <w:szCs w:val="24"/>
        </w:rPr>
        <w:t xml:space="preserve">In order to promote inter-state transfer of wind energy, the Central Commission has already notified forecasting and scheduling regulation for inter-state sale of wind power. Therefore, energy accounting for transmitting the wind energy would not be an issue, any penalty on deviation from schedule by wind generator would be borne </w:t>
      </w:r>
      <w:r w:rsidRPr="00023318">
        <w:rPr>
          <w:szCs w:val="24"/>
        </w:rPr>
        <w:lastRenderedPageBreak/>
        <w:t>by them. As far as beneficiary is concerned, such scheduled wind energy would be as good as firm power.</w:t>
      </w:r>
      <w:r w:rsidRPr="00023318">
        <w:rPr>
          <w:bCs w:val="0"/>
          <w:szCs w:val="24"/>
        </w:rPr>
        <w:t xml:space="preserve"> Stakeholder further requested the Commission to allow the distribution Licensees to procure wind energy at the CERC determined wind zone wise tariff. </w:t>
      </w:r>
    </w:p>
    <w:p w:rsidR="002A3AA1" w:rsidRPr="00714D83" w:rsidRDefault="002A3AA1" w:rsidP="002A3AA1">
      <w:pPr>
        <w:pStyle w:val="Heading3"/>
        <w:numPr>
          <w:ilvl w:val="0"/>
          <w:numId w:val="0"/>
        </w:numPr>
        <w:tabs>
          <w:tab w:val="clear" w:pos="720"/>
          <w:tab w:val="left" w:pos="4860"/>
        </w:tabs>
        <w:rPr>
          <w:szCs w:val="24"/>
        </w:rPr>
      </w:pPr>
    </w:p>
    <w:p w:rsidR="002A3AA1" w:rsidRPr="00714D83" w:rsidRDefault="00023318" w:rsidP="00EC6AAC">
      <w:pPr>
        <w:numPr>
          <w:ilvl w:val="0"/>
          <w:numId w:val="99"/>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szCs w:val="24"/>
        </w:rPr>
        <w:t>Regarding subsidy on top Solar Power system the Licensee has submitted that it pertains to previous year Tariff Petition and does not pertain to the instant petition.</w:t>
      </w:r>
    </w:p>
    <w:p w:rsidR="00023318" w:rsidRPr="00023318" w:rsidRDefault="00023318" w:rsidP="00023318">
      <w:pPr>
        <w:pStyle w:val="Heading3"/>
        <w:tabs>
          <w:tab w:val="clear" w:pos="720"/>
          <w:tab w:val="left" w:pos="4860"/>
        </w:tabs>
        <w:ind w:left="993" w:hanging="993"/>
        <w:rPr>
          <w:szCs w:val="24"/>
        </w:rPr>
      </w:pPr>
      <w:r w:rsidRPr="00023318">
        <w:rPr>
          <w:szCs w:val="24"/>
        </w:rPr>
        <w:t>Regarding determination of Wind Energy Tariff the Licensee has submitted that this issue does not pertain to ARR and Tariff Petition for FY 2016-17.</w:t>
      </w:r>
    </w:p>
    <w:p w:rsidR="002A3AA1" w:rsidRPr="00714D83" w:rsidRDefault="002A3AA1" w:rsidP="002A3AA1">
      <w:pPr>
        <w:pStyle w:val="Heading3"/>
        <w:numPr>
          <w:ilvl w:val="0"/>
          <w:numId w:val="0"/>
        </w:numPr>
        <w:tabs>
          <w:tab w:val="clear" w:pos="720"/>
        </w:tabs>
        <w:rPr>
          <w:szCs w:val="24"/>
        </w:rPr>
      </w:pPr>
    </w:p>
    <w:p w:rsidR="002A3AA1" w:rsidRPr="00714D83" w:rsidRDefault="00023318" w:rsidP="00EC6AAC">
      <w:pPr>
        <w:pStyle w:val="ListParagraph"/>
        <w:numPr>
          <w:ilvl w:val="0"/>
          <w:numId w:val="99"/>
        </w:numPr>
        <w:tabs>
          <w:tab w:val="left" w:pos="1980"/>
        </w:tabs>
        <w:spacing w:before="0"/>
        <w:contextualSpacing/>
        <w:rPr>
          <w:b/>
          <w:i/>
        </w:rPr>
      </w:pPr>
      <w:r w:rsidRPr="00023318">
        <w:rPr>
          <w:b/>
          <w:i/>
        </w:rPr>
        <w:t>The Commission’s view:</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The Commission has taken note of the objections / suggestions made by the stakeholders in this regards. The Commission is of the view that use of renewable sources at the consumer level must be encouraged. This is essential for the power deficit State like Uttar Pradesh. In view of this, the Commission has already introduced rebate on the monthly bill for all consumers using solar water heaters as detailed further in Rate Schedule. </w:t>
      </w:r>
    </w:p>
    <w:p w:rsidR="002A3AA1" w:rsidRPr="00714D83" w:rsidRDefault="002A3AA1" w:rsidP="002A3AA1">
      <w:pPr>
        <w:pStyle w:val="ListParagraph"/>
        <w:rPr>
          <w:rFonts w:cs="Calibri"/>
          <w:b/>
          <w:bCs/>
        </w:rPr>
      </w:pPr>
    </w:p>
    <w:p w:rsidR="001B5728" w:rsidRDefault="001B5728" w:rsidP="001B5728">
      <w:pPr>
        <w:pStyle w:val="Heading2"/>
        <w:numPr>
          <w:ilvl w:val="1"/>
          <w:numId w:val="5"/>
        </w:numPr>
        <w:spacing w:line="276" w:lineRule="auto"/>
        <w:rPr>
          <w:rFonts w:ascii="Calibri" w:hAnsi="Calibri"/>
        </w:rPr>
      </w:pPr>
      <w:bookmarkStart w:id="171" w:name="_Toc457055562"/>
      <w:bookmarkStart w:id="172" w:name="_Toc457355470"/>
      <w:bookmarkStart w:id="173" w:name="_Toc454277490"/>
      <w:r>
        <w:rPr>
          <w:rFonts w:ascii="Calibri" w:hAnsi="Calibri"/>
        </w:rPr>
        <w:t>MERIT ORDER DISPATCH</w:t>
      </w:r>
      <w:bookmarkEnd w:id="171"/>
      <w:bookmarkEnd w:id="172"/>
    </w:p>
    <w:p w:rsidR="00B05011" w:rsidRDefault="00B05011">
      <w:pPr>
        <w:pStyle w:val="Heading2"/>
        <w:numPr>
          <w:ilvl w:val="0"/>
          <w:numId w:val="0"/>
        </w:numPr>
        <w:spacing w:line="276" w:lineRule="auto"/>
        <w:ind w:left="780"/>
        <w:rPr>
          <w:rFonts w:ascii="Calibri" w:hAnsi="Calibri"/>
        </w:rPr>
      </w:pPr>
    </w:p>
    <w:p w:rsidR="00B05011" w:rsidRDefault="001B5728" w:rsidP="00EC6AAC">
      <w:pPr>
        <w:pStyle w:val="ListParagraph"/>
        <w:numPr>
          <w:ilvl w:val="0"/>
          <w:numId w:val="109"/>
        </w:numPr>
        <w:tabs>
          <w:tab w:val="left" w:pos="1980"/>
        </w:tabs>
        <w:spacing w:before="0"/>
        <w:contextualSpacing/>
        <w:rPr>
          <w:b/>
          <w:i/>
        </w:rPr>
      </w:pPr>
      <w:r w:rsidRPr="00E34329">
        <w:rPr>
          <w:b/>
          <w:i/>
        </w:rPr>
        <w:t>Comments/Suggestions of the Public</w:t>
      </w:r>
    </w:p>
    <w:p w:rsidR="001B5728" w:rsidRPr="00FF2667" w:rsidRDefault="00E65D3C" w:rsidP="001B5728">
      <w:pPr>
        <w:pStyle w:val="Heading3"/>
        <w:numPr>
          <w:ilvl w:val="2"/>
          <w:numId w:val="5"/>
        </w:numPr>
        <w:tabs>
          <w:tab w:val="clear" w:pos="720"/>
          <w:tab w:val="clear" w:pos="1929"/>
          <w:tab w:val="num" w:pos="993"/>
          <w:tab w:val="num" w:pos="1296"/>
          <w:tab w:val="left" w:pos="4860"/>
        </w:tabs>
        <w:ind w:left="993" w:hanging="993"/>
        <w:rPr>
          <w:rFonts w:cs="Calibri"/>
          <w:szCs w:val="24"/>
        </w:rPr>
      </w:pPr>
      <w:r w:rsidRPr="00E65D3C">
        <w:rPr>
          <w:rFonts w:cs="Calibri"/>
          <w:szCs w:val="24"/>
        </w:rPr>
        <w:t>Rosa Power Company Limited submitted following points:</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Power purchase cost of Anta, Auriya and Dadri Gas should be disallowed as the State is having surplus power and procuring power from such expensive gas based generating station may not be prudent power purchase approach.</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The Commission may investigate regarding validity of PPAs of Anta, Auriya and Dadri gas, whether UPPCL has signed any Supplemental Agreement without approval of UPERC.</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Being expensive stations in the event of low demand these stations get higher dispatch than cheaper stations located in the State due to non-existence of technical minimum criteria in the State.</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lastRenderedPageBreak/>
        <w:t>Merit order dispatch proposed by the licensees in their petitions is completely arbitrary and has no relationship with the actual implementation. It is observed that every year licensees propose merit order dispatch based on their assumptions and the Commission after carrying out the due diligence of submissions made by the Licensees. However, when it comes to actual implementation, UPSLDC does not take into cognizance of merit order dispatch approved by the Commission.</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UPPCL/ UPSLDC consider actual variable charges of n-1 months for some generating stations and n-2 months for others. Further UPPCL/UPSLC does not consider fuel cost adjustment bill in the variable charge for drawing up the merit order.</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Load centre stations like Rosa TPP always are at disadvantageous position in merit order dispatch due to their high fuel transportation cost but at same time it contributes significant reduction in transmission loss. It is further submitted that the Commission may direct UPPCL/ UPSLDC to consider updated variable charge including transmission charges and losses for drawing up the merit order and to follow technical minimum criteria for backing down during low demand.</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UPPCL in its petition has proposed single part tariff for captive and co generative plants whereas UPERC vide its regulation Captive and Renewable Energy Generating Plants Regulations, 2014 provides two part tariff for said plants.</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While applying the merit order UPSLDC considers Captive and co generative stations as MUST RUN despite UPERC orders and regulations that these plants are subject to scheduling under ABT mechanism.</w:t>
      </w:r>
    </w:p>
    <w:p w:rsidR="00B05011" w:rsidRDefault="00E65D3C" w:rsidP="00EC6AAC">
      <w:pPr>
        <w:pStyle w:val="Heading3"/>
        <w:numPr>
          <w:ilvl w:val="0"/>
          <w:numId w:val="110"/>
        </w:numPr>
        <w:tabs>
          <w:tab w:val="clear" w:pos="720"/>
          <w:tab w:val="left" w:pos="4860"/>
        </w:tabs>
        <w:rPr>
          <w:rFonts w:cs="Calibri"/>
          <w:szCs w:val="24"/>
        </w:rPr>
      </w:pPr>
      <w:r w:rsidRPr="00E65D3C">
        <w:rPr>
          <w:rFonts w:cs="Calibri"/>
          <w:szCs w:val="24"/>
        </w:rPr>
        <w:t>NTPC is not billing UPPCL strictly as per tariff norms approved by CERC in tariff regulation, 2014.  Following discrepancies has been observed in the NTPC billing.</w:t>
      </w:r>
    </w:p>
    <w:p w:rsidR="00B05011" w:rsidRDefault="00E65D3C" w:rsidP="00EC6AAC">
      <w:pPr>
        <w:pStyle w:val="Heading3"/>
        <w:numPr>
          <w:ilvl w:val="0"/>
          <w:numId w:val="111"/>
        </w:numPr>
        <w:tabs>
          <w:tab w:val="clear" w:pos="720"/>
          <w:tab w:val="left" w:pos="4860"/>
        </w:tabs>
        <w:rPr>
          <w:rFonts w:cs="Calibri"/>
          <w:szCs w:val="24"/>
        </w:rPr>
      </w:pPr>
      <w:r w:rsidRPr="00E65D3C">
        <w:rPr>
          <w:rFonts w:cs="Calibri"/>
          <w:szCs w:val="24"/>
        </w:rPr>
        <w:t>Cost of Secondary Oil is being considered in the fixed charges instead of variable charge as per CERC Tariff Regulations, 2014</w:t>
      </w:r>
    </w:p>
    <w:p w:rsidR="00B05011" w:rsidRDefault="00E65D3C" w:rsidP="00EC6AAC">
      <w:pPr>
        <w:pStyle w:val="Heading3"/>
        <w:numPr>
          <w:ilvl w:val="0"/>
          <w:numId w:val="111"/>
        </w:numPr>
        <w:tabs>
          <w:tab w:val="clear" w:pos="720"/>
          <w:tab w:val="left" w:pos="4860"/>
        </w:tabs>
        <w:rPr>
          <w:rFonts w:cs="Calibri"/>
          <w:szCs w:val="24"/>
        </w:rPr>
      </w:pPr>
      <w:r w:rsidRPr="00E65D3C">
        <w:rPr>
          <w:rFonts w:cs="Calibri"/>
          <w:szCs w:val="24"/>
        </w:rPr>
        <w:t>NTPC is not providing certificate of GCV as received</w:t>
      </w:r>
    </w:p>
    <w:p w:rsidR="00B05011" w:rsidRDefault="00E65D3C" w:rsidP="00EC6AAC">
      <w:pPr>
        <w:pStyle w:val="Heading3"/>
        <w:numPr>
          <w:ilvl w:val="0"/>
          <w:numId w:val="110"/>
        </w:numPr>
        <w:tabs>
          <w:tab w:val="clear" w:pos="720"/>
          <w:tab w:val="left" w:pos="4860"/>
        </w:tabs>
        <w:rPr>
          <w:bCs w:val="0"/>
          <w:szCs w:val="24"/>
        </w:rPr>
      </w:pPr>
      <w:r w:rsidRPr="00E65D3C">
        <w:rPr>
          <w:rFonts w:cs="Calibri"/>
          <w:szCs w:val="24"/>
        </w:rPr>
        <w:lastRenderedPageBreak/>
        <w:t>It is further submitted that the Commission may direct UPPCL/UPSLDC to undertake strict scrutiny of NTPC billing of variable charge and ensure NTPC strictly follow CERC Tariff Regulation, 2014</w:t>
      </w:r>
      <w:r w:rsidR="001B5728" w:rsidRPr="00FF2667">
        <w:rPr>
          <w:szCs w:val="24"/>
        </w:rPr>
        <w:t xml:space="preserve"> </w:t>
      </w:r>
      <w:r w:rsidR="00925CA1">
        <w:rPr>
          <w:bCs w:val="0"/>
          <w:szCs w:val="24"/>
        </w:rPr>
        <w:t xml:space="preserve"> </w:t>
      </w:r>
    </w:p>
    <w:p w:rsidR="001B5728" w:rsidRPr="00FF2667" w:rsidRDefault="001B5728" w:rsidP="001B5728">
      <w:pPr>
        <w:pStyle w:val="Heading3"/>
        <w:numPr>
          <w:ilvl w:val="0"/>
          <w:numId w:val="0"/>
        </w:numPr>
        <w:tabs>
          <w:tab w:val="clear" w:pos="720"/>
          <w:tab w:val="left" w:pos="4860"/>
        </w:tabs>
        <w:rPr>
          <w:szCs w:val="24"/>
        </w:rPr>
      </w:pPr>
    </w:p>
    <w:p w:rsidR="00B05011" w:rsidRDefault="00925CA1" w:rsidP="00EC6AAC">
      <w:pPr>
        <w:numPr>
          <w:ilvl w:val="0"/>
          <w:numId w:val="109"/>
        </w:numPr>
        <w:spacing w:before="0"/>
        <w:contextualSpacing/>
        <w:rPr>
          <w:rFonts w:cs="Calibri"/>
          <w:b/>
          <w:bCs/>
          <w:i/>
          <w:iCs/>
        </w:rPr>
      </w:pPr>
      <w:r>
        <w:rPr>
          <w:rFonts w:cs="Calibri"/>
          <w:b/>
          <w:bCs/>
          <w:i/>
          <w:iCs/>
        </w:rPr>
        <w:t>Petitioner’s Response</w:t>
      </w:r>
    </w:p>
    <w:p w:rsidR="00B05011" w:rsidRDefault="001B5728">
      <w:pPr>
        <w:pStyle w:val="Heading3"/>
        <w:numPr>
          <w:ilvl w:val="2"/>
          <w:numId w:val="5"/>
        </w:numPr>
        <w:tabs>
          <w:tab w:val="clear" w:pos="720"/>
          <w:tab w:val="clear" w:pos="1929"/>
          <w:tab w:val="num" w:pos="993"/>
          <w:tab w:val="num" w:pos="1296"/>
          <w:tab w:val="left" w:pos="4860"/>
        </w:tabs>
        <w:ind w:left="993" w:hanging="993"/>
        <w:rPr>
          <w:szCs w:val="24"/>
        </w:rPr>
      </w:pPr>
      <w:r>
        <w:t>The license submitted that the Commission has already issued an interim order for the petition no. 1070/2015 filed by M/S Rosa Power Supply Co. Ltd. dated June 21 2016, wherein the Commission has already deliberated most of the issues raised by the Petitioner. Further, since the final decision is yet to be taken by the Commission in the said petition, it is felt that this issue may be dealt separately, treating it to be beyond the purview of representations called for determination of ARR and Tariff for FY 2016-17.</w:t>
      </w:r>
      <w:r w:rsidRPr="00FF2667">
        <w:rPr>
          <w:szCs w:val="24"/>
        </w:rPr>
        <w:t>.</w:t>
      </w:r>
    </w:p>
    <w:p w:rsidR="001B5728" w:rsidRPr="003D2C56" w:rsidRDefault="001B5728" w:rsidP="001B5728">
      <w:pPr>
        <w:pStyle w:val="Heading3"/>
        <w:numPr>
          <w:ilvl w:val="0"/>
          <w:numId w:val="0"/>
        </w:numPr>
        <w:tabs>
          <w:tab w:val="clear" w:pos="720"/>
        </w:tabs>
        <w:rPr>
          <w:szCs w:val="24"/>
        </w:rPr>
      </w:pPr>
    </w:p>
    <w:p w:rsidR="00B05011" w:rsidRDefault="001B5728" w:rsidP="00EC6AAC">
      <w:pPr>
        <w:pStyle w:val="ListParagraph"/>
        <w:numPr>
          <w:ilvl w:val="0"/>
          <w:numId w:val="109"/>
        </w:numPr>
        <w:tabs>
          <w:tab w:val="left" w:pos="1980"/>
        </w:tabs>
        <w:spacing w:before="0"/>
        <w:contextualSpacing/>
        <w:rPr>
          <w:b/>
          <w:i/>
        </w:rPr>
      </w:pPr>
      <w:r w:rsidRPr="00E34329">
        <w:rPr>
          <w:b/>
          <w:i/>
        </w:rPr>
        <w:t>The Commission’s view:</w:t>
      </w:r>
    </w:p>
    <w:p w:rsidR="00B05011" w:rsidRDefault="00925CA1">
      <w:pPr>
        <w:pStyle w:val="Heading3"/>
        <w:numPr>
          <w:ilvl w:val="2"/>
          <w:numId w:val="5"/>
        </w:numPr>
        <w:tabs>
          <w:tab w:val="clear" w:pos="720"/>
          <w:tab w:val="clear" w:pos="1929"/>
          <w:tab w:val="num" w:pos="993"/>
          <w:tab w:val="num" w:pos="1296"/>
          <w:tab w:val="left" w:pos="4860"/>
        </w:tabs>
        <w:ind w:left="993" w:hanging="993"/>
      </w:pPr>
      <w:r>
        <w:t xml:space="preserve">The Commission in its Order dated June 21, 2015 on Petition no. 1070/2015 of Rosa Power Supply Company Ltd. vs. UPSLDC &amp; UPPCL observed </w:t>
      </w:r>
      <w:r w:rsidR="00E65D3C" w:rsidRPr="00E65D3C">
        <w:t>that UPSLDC is not strictly adhering to UPEGC in scheduling and dispatch. The Commission has entrusted IIT, Kanpur to study the merit order dispatch procedure followed by UPSLDC and give its recommendation. The Commissi</w:t>
      </w:r>
      <w:r>
        <w:t>on in the said Order ruled that</w:t>
      </w:r>
      <w:r w:rsidR="00E65D3C" w:rsidRPr="00E65D3C">
        <w:t xml:space="preserve"> it will deliberate over the recommendations with the stake holders and then will take the final decision. In the mean time, until the final order is passed the Commission issued directions as given below</w:t>
      </w:r>
      <w:r>
        <w:t>:</w:t>
      </w:r>
    </w:p>
    <w:p w:rsidR="00B05011" w:rsidRDefault="00E65D3C">
      <w:pPr>
        <w:pStyle w:val="Heading3"/>
        <w:numPr>
          <w:ilvl w:val="2"/>
          <w:numId w:val="5"/>
        </w:numPr>
        <w:tabs>
          <w:tab w:val="clear" w:pos="720"/>
          <w:tab w:val="clear" w:pos="1929"/>
          <w:tab w:val="num" w:pos="993"/>
          <w:tab w:val="num" w:pos="1296"/>
          <w:tab w:val="left" w:pos="4860"/>
        </w:tabs>
        <w:ind w:left="993" w:hanging="993"/>
      </w:pPr>
      <w:r w:rsidRPr="00E65D3C">
        <w:t>The Commission in the said Order directed UPSLDC to immediately implement the following procedure for scheduling and despatch of power from the generating stations:</w:t>
      </w:r>
    </w:p>
    <w:p w:rsidR="00B05011" w:rsidRDefault="00E65D3C" w:rsidP="00EC6AAC">
      <w:pPr>
        <w:pStyle w:val="Heading3"/>
        <w:numPr>
          <w:ilvl w:val="0"/>
          <w:numId w:val="110"/>
        </w:numPr>
        <w:tabs>
          <w:tab w:val="clear" w:pos="720"/>
        </w:tabs>
        <w:rPr>
          <w:rFonts w:cs="Calibri"/>
          <w:szCs w:val="24"/>
        </w:rPr>
      </w:pPr>
      <w:r w:rsidRPr="00E65D3C">
        <w:rPr>
          <w:rFonts w:cs="Calibri"/>
          <w:szCs w:val="24"/>
        </w:rPr>
        <w:t>MOD has to be strictly adhered and given preference over RPO, after RPO Obligations are met.</w:t>
      </w:r>
    </w:p>
    <w:p w:rsidR="00B05011" w:rsidRDefault="00E65D3C" w:rsidP="00EC6AAC">
      <w:pPr>
        <w:pStyle w:val="Heading3"/>
        <w:numPr>
          <w:ilvl w:val="0"/>
          <w:numId w:val="110"/>
        </w:numPr>
        <w:tabs>
          <w:tab w:val="clear" w:pos="720"/>
        </w:tabs>
        <w:rPr>
          <w:rFonts w:cs="Calibri"/>
          <w:szCs w:val="24"/>
        </w:rPr>
      </w:pPr>
      <w:r w:rsidRPr="00E65D3C">
        <w:rPr>
          <w:rFonts w:cs="Calibri"/>
          <w:szCs w:val="24"/>
        </w:rPr>
        <w:t>SLDC should draw up the Merit Order Stack based on Variable Charges of previous month as per actual invoices submitted by generator to UPPCL.</w:t>
      </w:r>
    </w:p>
    <w:p w:rsidR="00B05011" w:rsidRDefault="00E65D3C" w:rsidP="00EC6AAC">
      <w:pPr>
        <w:pStyle w:val="Heading3"/>
        <w:numPr>
          <w:ilvl w:val="0"/>
          <w:numId w:val="110"/>
        </w:numPr>
        <w:tabs>
          <w:tab w:val="clear" w:pos="720"/>
        </w:tabs>
        <w:rPr>
          <w:rFonts w:cs="Calibri"/>
          <w:szCs w:val="24"/>
        </w:rPr>
      </w:pPr>
      <w:r w:rsidRPr="00E65D3C">
        <w:rPr>
          <w:rFonts w:cs="Calibri"/>
          <w:szCs w:val="24"/>
        </w:rPr>
        <w:t>Variable Charges should take into account the Transmission Charges and Transmission Losses caused by each station and Fuel Adjustment Charges, if any, for the previous month for drawing the MOD stack.</w:t>
      </w:r>
    </w:p>
    <w:p w:rsidR="00B05011" w:rsidRDefault="00E65D3C" w:rsidP="00EC6AAC">
      <w:pPr>
        <w:pStyle w:val="Heading3"/>
        <w:numPr>
          <w:ilvl w:val="0"/>
          <w:numId w:val="110"/>
        </w:numPr>
        <w:tabs>
          <w:tab w:val="clear" w:pos="720"/>
        </w:tabs>
        <w:rPr>
          <w:rFonts w:cs="Calibri"/>
          <w:szCs w:val="24"/>
        </w:rPr>
      </w:pPr>
      <w:r w:rsidRPr="00E65D3C">
        <w:rPr>
          <w:rFonts w:cs="Calibri"/>
          <w:szCs w:val="24"/>
        </w:rPr>
        <w:t>Technical minimum for all the generating units should be followed.</w:t>
      </w:r>
    </w:p>
    <w:p w:rsidR="00B05011" w:rsidRDefault="00E65D3C" w:rsidP="00EC6AAC">
      <w:pPr>
        <w:pStyle w:val="Heading3"/>
        <w:numPr>
          <w:ilvl w:val="0"/>
          <w:numId w:val="110"/>
        </w:numPr>
        <w:tabs>
          <w:tab w:val="clear" w:pos="720"/>
        </w:tabs>
        <w:rPr>
          <w:rFonts w:cs="Calibri"/>
          <w:szCs w:val="24"/>
        </w:rPr>
      </w:pPr>
      <w:r w:rsidRPr="00E65D3C">
        <w:rPr>
          <w:rFonts w:cs="Calibri"/>
          <w:szCs w:val="24"/>
        </w:rPr>
        <w:lastRenderedPageBreak/>
        <w:t>For ISGS, technical minimum for backing down should be taken based on total schedule of all beneficiaries as per technical minimum specified by the CERC.</w:t>
      </w:r>
    </w:p>
    <w:p w:rsidR="00B05011" w:rsidRDefault="00E65D3C" w:rsidP="00EC6AAC">
      <w:pPr>
        <w:pStyle w:val="Heading3"/>
        <w:numPr>
          <w:ilvl w:val="0"/>
          <w:numId w:val="110"/>
        </w:numPr>
        <w:tabs>
          <w:tab w:val="clear" w:pos="720"/>
        </w:tabs>
        <w:rPr>
          <w:rFonts w:cs="Calibri"/>
          <w:szCs w:val="24"/>
        </w:rPr>
      </w:pPr>
      <w:r w:rsidRPr="00E65D3C">
        <w:rPr>
          <w:rFonts w:cs="Calibri"/>
          <w:szCs w:val="24"/>
        </w:rPr>
        <w:t>In the event of load crash or persistent low demand, before putting any unit on reserve shut down, it must be ensured that all units including storage based hydro plants, co-gen plants, thermal units and schedule of ISGS share are reduced to their respective technical minimum or the minimum capacity prescribed in the contract.</w:t>
      </w:r>
    </w:p>
    <w:p w:rsidR="00B05011" w:rsidRPr="002A354B" w:rsidRDefault="00E65D3C" w:rsidP="00EC6AAC">
      <w:pPr>
        <w:pStyle w:val="Heading3"/>
        <w:numPr>
          <w:ilvl w:val="0"/>
          <w:numId w:val="110"/>
        </w:numPr>
        <w:tabs>
          <w:tab w:val="clear" w:pos="720"/>
        </w:tabs>
        <w:rPr>
          <w:rFonts w:cs="Calibri"/>
          <w:szCs w:val="24"/>
        </w:rPr>
      </w:pPr>
      <w:r w:rsidRPr="00E65D3C">
        <w:rPr>
          <w:rFonts w:cs="Calibri"/>
          <w:szCs w:val="24"/>
        </w:rPr>
        <w:t xml:space="preserve">If system conditions require reserve shut down of any unit, after achieving technical minimum of all the units, it should be done based on merit order </w:t>
      </w:r>
      <w:r w:rsidRPr="002A354B">
        <w:rPr>
          <w:rFonts w:cs="Calibri"/>
          <w:szCs w:val="24"/>
        </w:rPr>
        <w:t>stack subject to following:</w:t>
      </w:r>
    </w:p>
    <w:p w:rsidR="0009130C" w:rsidRPr="002A354B" w:rsidRDefault="0009130C" w:rsidP="0009130C">
      <w:pPr>
        <w:pStyle w:val="Heading3"/>
        <w:numPr>
          <w:ilvl w:val="0"/>
          <w:numId w:val="112"/>
        </w:numPr>
        <w:tabs>
          <w:tab w:val="clear" w:pos="720"/>
        </w:tabs>
        <w:rPr>
          <w:rFonts w:asciiTheme="minorHAnsi" w:hAnsiTheme="minorHAnsi" w:cs="Calibri"/>
          <w:szCs w:val="24"/>
        </w:rPr>
      </w:pPr>
      <w:r w:rsidRPr="002A354B">
        <w:rPr>
          <w:rFonts w:asciiTheme="minorHAnsi" w:hAnsiTheme="minorHAnsi" w:cs="Calibri"/>
          <w:szCs w:val="24"/>
        </w:rPr>
        <w:t>Any unit taken on bar after any shut down, shall not be taken for reserve shut down for the next 72 hours.</w:t>
      </w:r>
    </w:p>
    <w:p w:rsidR="00B05011" w:rsidRPr="002A354B" w:rsidRDefault="0009130C" w:rsidP="0009130C">
      <w:pPr>
        <w:pStyle w:val="Heading3"/>
        <w:numPr>
          <w:ilvl w:val="0"/>
          <w:numId w:val="112"/>
        </w:numPr>
        <w:tabs>
          <w:tab w:val="clear" w:pos="720"/>
        </w:tabs>
        <w:rPr>
          <w:rFonts w:cs="Calibri"/>
          <w:szCs w:val="24"/>
        </w:rPr>
      </w:pPr>
      <w:r w:rsidRPr="002A354B">
        <w:rPr>
          <w:rFonts w:asciiTheme="minorHAnsi" w:hAnsiTheme="minorHAnsi" w:cs="Calibri"/>
          <w:szCs w:val="24"/>
        </w:rPr>
        <w:t>At least one unit at each generating station shall be kept operational, unless the grid condition prohibits the running of such units. (Clause 2 was subsequently stayed by the Commission vide its Order dated July 4, 2016)</w:t>
      </w:r>
      <w:r w:rsidR="00E65D3C" w:rsidRPr="002A354B">
        <w:rPr>
          <w:rFonts w:cs="Calibri"/>
          <w:szCs w:val="24"/>
        </w:rPr>
        <w:t>.</w:t>
      </w:r>
    </w:p>
    <w:p w:rsidR="001B5728" w:rsidRPr="001B5728" w:rsidRDefault="00E65D3C" w:rsidP="001B5728">
      <w:pPr>
        <w:pStyle w:val="Heading3"/>
        <w:numPr>
          <w:ilvl w:val="0"/>
          <w:numId w:val="0"/>
        </w:numPr>
        <w:tabs>
          <w:tab w:val="clear" w:pos="720"/>
          <w:tab w:val="num" w:pos="1701"/>
        </w:tabs>
        <w:ind w:left="1701"/>
        <w:rPr>
          <w:rFonts w:cs="Calibri"/>
          <w:szCs w:val="24"/>
        </w:rPr>
      </w:pPr>
      <w:r w:rsidRPr="0009130C">
        <w:rPr>
          <w:rFonts w:cs="Calibri"/>
          <w:sz w:val="20"/>
          <w:szCs w:val="20"/>
        </w:rPr>
        <w:t>Note: If the two machines are in the same merit order stack then the machine with lower start up time should be preferred.</w:t>
      </w:r>
    </w:p>
    <w:p w:rsidR="00B05011" w:rsidRDefault="00E65D3C" w:rsidP="00EC6AAC">
      <w:pPr>
        <w:pStyle w:val="Heading3"/>
        <w:numPr>
          <w:ilvl w:val="0"/>
          <w:numId w:val="110"/>
        </w:numPr>
        <w:tabs>
          <w:tab w:val="clear" w:pos="720"/>
        </w:tabs>
        <w:rPr>
          <w:rFonts w:cs="Calibri"/>
          <w:szCs w:val="24"/>
        </w:rPr>
      </w:pPr>
      <w:r w:rsidRPr="00E65D3C">
        <w:rPr>
          <w:rFonts w:cs="Calibri"/>
          <w:szCs w:val="24"/>
        </w:rPr>
        <w:t>The generators who are not falling under MOD stack will have the option of foregoing some part of their fixed cost for which credit will be given in their variable cost and their position in MOD stack will be revised accordingly. This will help the generators in scheduling their generation on day to day basis under MOD as well as in reducing the overall Average Power Purchase Cost (APPC) which would benefit public at large.</w:t>
      </w:r>
    </w:p>
    <w:p w:rsidR="00B05011" w:rsidRDefault="00925CA1" w:rsidP="00EC6AAC">
      <w:pPr>
        <w:pStyle w:val="Heading3"/>
        <w:numPr>
          <w:ilvl w:val="0"/>
          <w:numId w:val="110"/>
        </w:numPr>
        <w:tabs>
          <w:tab w:val="clear" w:pos="720"/>
        </w:tabs>
        <w:rPr>
          <w:rFonts w:cstheme="minorHAnsi"/>
        </w:rPr>
      </w:pPr>
      <w:r w:rsidRPr="00925CA1">
        <w:rPr>
          <w:rFonts w:cs="Calibri"/>
          <w:szCs w:val="24"/>
        </w:rPr>
        <w:t xml:space="preserve">Further, the Commission in the said Order directed UPSLDC to operationalise State Power Committee and prepare detailed procedures for scheduling and despatch in </w:t>
      </w:r>
      <w:r w:rsidR="00E65D3C" w:rsidRPr="00E65D3C">
        <w:rPr>
          <w:rFonts w:cs="Calibri"/>
          <w:szCs w:val="24"/>
        </w:rPr>
        <w:t>consultation with all stake holders and submit to the Commission within two months for consultation and approval.</w:t>
      </w:r>
    </w:p>
    <w:p w:rsidR="00B05011" w:rsidRDefault="00B05011">
      <w:pPr>
        <w:pStyle w:val="Heading2"/>
        <w:numPr>
          <w:ilvl w:val="0"/>
          <w:numId w:val="0"/>
        </w:numPr>
        <w:spacing w:line="276" w:lineRule="auto"/>
        <w:ind w:left="780"/>
        <w:rPr>
          <w:rFonts w:ascii="Calibri" w:hAnsi="Calibri"/>
        </w:rPr>
      </w:pPr>
    </w:p>
    <w:p w:rsidR="00023318" w:rsidRPr="00023318" w:rsidRDefault="00023318" w:rsidP="00023318">
      <w:pPr>
        <w:pStyle w:val="Heading2"/>
        <w:spacing w:line="276" w:lineRule="auto"/>
        <w:rPr>
          <w:rFonts w:ascii="Calibri" w:hAnsi="Calibri"/>
        </w:rPr>
      </w:pPr>
      <w:bookmarkStart w:id="174" w:name="_Toc457355471"/>
      <w:r w:rsidRPr="00023318">
        <w:rPr>
          <w:rFonts w:ascii="Calibri" w:hAnsi="Calibri"/>
        </w:rPr>
        <w:t>OTHER GENERAL ISSUES</w:t>
      </w:r>
      <w:bookmarkEnd w:id="173"/>
      <w:bookmarkEnd w:id="174"/>
    </w:p>
    <w:p w:rsidR="002A3AA1" w:rsidRPr="00714D83" w:rsidRDefault="002A3AA1" w:rsidP="002A3AA1">
      <w:pPr>
        <w:pStyle w:val="Heading2"/>
        <w:numPr>
          <w:ilvl w:val="0"/>
          <w:numId w:val="0"/>
        </w:numPr>
        <w:spacing w:line="276" w:lineRule="auto"/>
        <w:ind w:left="780"/>
        <w:rPr>
          <w:rFonts w:ascii="Calibri" w:hAnsi="Calibri"/>
          <w:b w:val="0"/>
          <w:bCs w:val="0"/>
        </w:rPr>
      </w:pPr>
    </w:p>
    <w:p w:rsidR="002A3AA1" w:rsidRPr="00714D83" w:rsidRDefault="00023318" w:rsidP="00EC6AAC">
      <w:pPr>
        <w:numPr>
          <w:ilvl w:val="0"/>
          <w:numId w:val="100"/>
        </w:numPr>
        <w:spacing w:before="0"/>
        <w:contextualSpacing/>
        <w:rPr>
          <w:b/>
          <w:i/>
        </w:rPr>
      </w:pPr>
      <w:r w:rsidRPr="00023318">
        <w:rPr>
          <w:b/>
          <w:i/>
        </w:rPr>
        <w:t>Comments/Suggestions of the Public</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 xml:space="preserve">Shri Avadhesh Kumar Verma, Chairman, U.P. Rajya Vidyut Upbhokta Parishad, submitted that the Licensees have collected Rs. 150 Crore as MD penalty and addition charges which are against the Commission’s Tariff Order. Stakeholder further submitted that Licensees have also collected Rs. 300 Crore by charging higher meter rent as compared to actual meter cost and Rs. 1000 Crore as system loading charges which was abolished in EA 2003.Stakeholder further requested the Commission to take strong action against Licensees for such unlawful activity. </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and Ashok kumar Goyal President, National Chamber of Industries &amp;Commerce submitted RMU charges should be claimed only when the supply is made from 2 or more feeders. They further submitted that there should be simple interest on late payment and if there is any dispute the interest charge should be waived till decision ontheAppeal.</w:t>
      </w:r>
    </w:p>
    <w:p w:rsidR="00023318" w:rsidRPr="00023318" w:rsidRDefault="00023318" w:rsidP="00023318">
      <w:pPr>
        <w:pStyle w:val="Heading3"/>
        <w:tabs>
          <w:tab w:val="clear" w:pos="720"/>
          <w:tab w:val="left" w:pos="4860"/>
        </w:tabs>
        <w:ind w:left="993" w:hanging="993"/>
        <w:rPr>
          <w:szCs w:val="24"/>
        </w:rPr>
      </w:pPr>
      <w:r w:rsidRPr="00023318">
        <w:rPr>
          <w:szCs w:val="24"/>
        </w:rPr>
        <w:t>Associate Chambers of Commerce &amp; Industries of U. P. suggested the provisions for holding of periodically Jan Adalat at each Distt. Headquarters chaired by concerned Supdtt. Engineer at least once in a month on a particular day of each month on the pattern of Tehsil Divas be incorporated in general provisions of the tariff and similarly on quarterly basis chaired by chief Engineer (Distribution) in each of the district head quarter under jurisdiction of related zonal office. There may be provisions for periodical meetings at MD office level with Association/ chambers /organizations. There may be forum constituted under the general provision of Tariff to hear &amp; decide clarifications in regard to certain provisions.</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that a committee be constituted at UPERC level to avoid wastage of un-necessary &amp; un-productive time, energy and money by the Discoms. It is further submitted that finding of report regard to power purchase (higher price instead of purchasing from exchanges) to be made available in public. It is also required to make public the methodology by which line losses on account of approx. 53 lacs un-metered consumers are calculated &amp; taken into account in the ARR of Discoms. The report in regard to un-metered consumers may be made available in public to control &amp; check the line losses. Further, strict target of time period be fixed for the Discoms to complete 100% metering.</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K. L. Aggarwal chairman Associate Chambers of Commerce &amp; Industries of U. P submitted that tariff and non-tariff items are specifically clarified in the ensuing Tariff Order to have more transparency. </w:t>
      </w:r>
    </w:p>
    <w:p w:rsidR="00023318" w:rsidRPr="00023318" w:rsidRDefault="00023318" w:rsidP="00023318">
      <w:pPr>
        <w:pStyle w:val="Heading3"/>
        <w:tabs>
          <w:tab w:val="clear" w:pos="720"/>
          <w:tab w:val="left" w:pos="4860"/>
        </w:tabs>
        <w:ind w:left="993" w:hanging="993"/>
        <w:rPr>
          <w:szCs w:val="24"/>
        </w:rPr>
      </w:pPr>
      <w:r w:rsidRPr="00023318">
        <w:rPr>
          <w:szCs w:val="24"/>
        </w:rPr>
        <w:lastRenderedPageBreak/>
        <w:t>Shri K. L. Aggarwal chairman Associate Chambers of Commerce &amp; Industries of U. P sought clarification regarding new connection for categories having load above 50 kW in general provisions.</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 Shri K. L. Aggarwal chairman Associate Chambers of Commerce &amp; Industries of U. P sought clarification on rebate on payment on or before due date i.e. Point No. 17 under general provisions. Demand of LPS amount chargeable on the last month’s energy bill raised /added for the first time in the current bill of the consumers, all cannot be treated or termed as an arrear &amp; accordingly such consumer cannot be denied for the benefit of rebate in case the relative consumer make the payment of current bill on or before due date.</w:t>
      </w:r>
    </w:p>
    <w:p w:rsidR="00023318" w:rsidRPr="00023318" w:rsidRDefault="00023318" w:rsidP="00023318">
      <w:pPr>
        <w:pStyle w:val="Heading3"/>
        <w:tabs>
          <w:tab w:val="clear" w:pos="720"/>
          <w:tab w:val="left" w:pos="4860"/>
        </w:tabs>
        <w:ind w:left="993" w:hanging="993"/>
        <w:rPr>
          <w:szCs w:val="24"/>
        </w:rPr>
      </w:pPr>
      <w:r w:rsidRPr="00023318">
        <w:rPr>
          <w:szCs w:val="24"/>
        </w:rPr>
        <w:t>Shri Sudhir Chandra Goyal M/s Khatauli Cold Storage submitted that clarification is required for general provision no. 12 “Option of migration to HV-1 &amp; HV-2 category”  regarding  on payment of charges prescribed in cost data book creates confusion and should be deleted.</w:t>
      </w:r>
    </w:p>
    <w:p w:rsidR="00023318" w:rsidRPr="00023318" w:rsidRDefault="00023318" w:rsidP="00023318">
      <w:pPr>
        <w:pStyle w:val="Heading3"/>
        <w:tabs>
          <w:tab w:val="clear" w:pos="720"/>
          <w:tab w:val="left" w:pos="4860"/>
        </w:tabs>
        <w:ind w:left="993" w:hanging="993"/>
        <w:rPr>
          <w:szCs w:val="24"/>
        </w:rPr>
      </w:pPr>
      <w:r w:rsidRPr="00023318">
        <w:rPr>
          <w:szCs w:val="24"/>
        </w:rPr>
        <w:t>Shri K. L. Aggarwal chairman Associate Chambers of Commerce &amp; Industries of U. P submitted, the Licensees have proposed to bear the transaction charges for bill payment up to Rs. 400 but the software installed is not supporting the same. The transaction charges are debited from the consumers account.</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Ashok kumar Goyal President, National Chamber of Industries &amp; Commerce submitted that purchase and sale of all Capital Assets should be through open and transparent tendering system.</w:t>
      </w:r>
    </w:p>
    <w:p w:rsidR="00023318" w:rsidRPr="00023318" w:rsidRDefault="00023318" w:rsidP="00023318">
      <w:pPr>
        <w:pStyle w:val="Heading3"/>
        <w:tabs>
          <w:tab w:val="clear" w:pos="720"/>
          <w:tab w:val="left" w:pos="4860"/>
        </w:tabs>
        <w:ind w:left="993" w:hanging="993"/>
        <w:rPr>
          <w:szCs w:val="24"/>
        </w:rPr>
      </w:pPr>
      <w:r w:rsidRPr="00023318">
        <w:rPr>
          <w:szCs w:val="24"/>
        </w:rPr>
        <w:t>Uttar Pradesh Vyapar Mandal Aligarh specified following points which are necessary for better efficiency &amp; Transparency:</w:t>
      </w:r>
    </w:p>
    <w:p w:rsidR="002A3AA1" w:rsidRPr="00714D83" w:rsidRDefault="00023318" w:rsidP="00EC6AAC">
      <w:pPr>
        <w:pStyle w:val="ListParagraph"/>
        <w:numPr>
          <w:ilvl w:val="0"/>
          <w:numId w:val="101"/>
        </w:numPr>
        <w:spacing w:before="0" w:after="200"/>
        <w:contextualSpacing/>
        <w:rPr>
          <w:rFonts w:cs="Calibri"/>
        </w:rPr>
      </w:pPr>
      <w:r w:rsidRPr="00023318">
        <w:rPr>
          <w:rFonts w:cs="Calibri"/>
          <w:color w:val="000000"/>
        </w:rPr>
        <w:t>As meter reading is outsourced, so Identified defective (IDF) &amp; Appeared defective (ADF) bills should not be send to consumers.</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If consumer send request for disconnection then date of receiving should be considered as the date of disconnection</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Maintaining power factor is the responsibility of Licensee, no penalty has to be imposed on consumer. Earlier, there was a provision of power rebate but same has been abolished while the provision of charging power factor penalty is kept as it is.</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There must be provision for penalty to Discoms for Non-compliance of direction of the Commission.</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lastRenderedPageBreak/>
        <w:t>If any consumer wants to enhance load by self declaration, the same should be accepted immediately.</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Places where line losses are more, prepaid meter should be installed.</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At the time of new connection, Full cost of meter is charged from the consumer. When meter becomes defective then again consumer is asked to pay the full cost of the meter which is not justified and at the time of disconnection meter (which is the property of consumer) should be handed over to consumer or cost of meter should be paid to consumer in case meter is kept by Discoms.</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 xml:space="preserve">Bill format should be simple and clear. </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Charging three times in case of excess demand is not logical since at 11kV all the equipments are of consumer and any damage due to excess demand is of consumer only.</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If all the equipment in consumer premises is at the cost of consumer, no penalty on exceeding demand should be levied.</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Solar energy may be connected with GRID.</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There must be rules for improving collection so that cost of electricity reduces over the period of time.</w:t>
      </w:r>
    </w:p>
    <w:p w:rsidR="002A3AA1" w:rsidRPr="00714D83" w:rsidRDefault="00023318" w:rsidP="00EC6AAC">
      <w:pPr>
        <w:pStyle w:val="ListParagraph"/>
        <w:numPr>
          <w:ilvl w:val="0"/>
          <w:numId w:val="101"/>
        </w:numPr>
        <w:spacing w:before="0" w:after="200"/>
        <w:contextualSpacing/>
        <w:rPr>
          <w:rFonts w:cs="Calibri"/>
        </w:rPr>
      </w:pPr>
      <w:r w:rsidRPr="00023318">
        <w:rPr>
          <w:rFonts w:cs="Calibri"/>
        </w:rPr>
        <w:t xml:space="preserve">Licensees should collect the due payments from the govt. offices and big consumers. </w:t>
      </w:r>
    </w:p>
    <w:p w:rsidR="00023318" w:rsidRPr="00023318" w:rsidRDefault="00023318" w:rsidP="00023318">
      <w:pPr>
        <w:pStyle w:val="Heading3"/>
        <w:tabs>
          <w:tab w:val="clear" w:pos="720"/>
          <w:tab w:val="left" w:pos="4860"/>
        </w:tabs>
        <w:ind w:left="993" w:hanging="993"/>
        <w:rPr>
          <w:szCs w:val="24"/>
        </w:rPr>
      </w:pPr>
      <w:r w:rsidRPr="00023318">
        <w:rPr>
          <w:szCs w:val="24"/>
        </w:rPr>
        <w:t>Shri Vishnu Bhagwan Agarwal Chairman, Agra Chapter, ASSOCHAM, U.P and Ashok kumar Goyal President, National Chamber of Industries &amp; Commerce submitted that the industrial consumers may be allowed to make bulk purchase of electricity based on their annual /periodical requirement and credit the same to the account of Discoms. They further submitted that the said amount of electricity may be supplied after adding permitted transmission charges so that the consumers may get benefit of market rate of supply of electricity.</w:t>
      </w:r>
    </w:p>
    <w:p w:rsidR="00023318" w:rsidRPr="00023318" w:rsidRDefault="00023318" w:rsidP="00023318">
      <w:pPr>
        <w:pStyle w:val="Heading3"/>
        <w:tabs>
          <w:tab w:val="clear" w:pos="720"/>
          <w:tab w:val="left" w:pos="4860"/>
        </w:tabs>
        <w:ind w:left="993" w:hanging="993"/>
        <w:rPr>
          <w:szCs w:val="24"/>
        </w:rPr>
      </w:pPr>
      <w:r w:rsidRPr="00023318">
        <w:rPr>
          <w:szCs w:val="24"/>
        </w:rPr>
        <w:t>Shri O.P. Rathi, Chairman Uttar Pradesh Udyog Vyapar Pratinidhi Mandal Aligarh submitted that senior officers of Discoms should hear the complaints of consumers by publishing the date of meeting in the newspaper every month. It is further submitted that one copy of complain should be send to Executive Engineer and also deliberation of proceedings to be followed in the last week of the  month in the presence of complainant, Executive Engineer and dignitaries .</w:t>
      </w:r>
    </w:p>
    <w:p w:rsidR="00023318" w:rsidRPr="00023318" w:rsidRDefault="00023318" w:rsidP="00023318">
      <w:pPr>
        <w:pStyle w:val="Heading3"/>
        <w:tabs>
          <w:tab w:val="clear" w:pos="720"/>
          <w:tab w:val="left" w:pos="4860"/>
        </w:tabs>
        <w:ind w:left="993" w:hanging="993"/>
        <w:rPr>
          <w:szCs w:val="24"/>
        </w:rPr>
      </w:pPr>
      <w:r w:rsidRPr="00023318">
        <w:rPr>
          <w:szCs w:val="24"/>
        </w:rPr>
        <w:t xml:space="preserve">Shri Sabir Hashami, Chairman Aam Janata Society submitted that the Discom has enhanced connected load from 1 kW 2 kW without any investigation. It is further submitted that proper investigation of connected load may be made by third party. </w:t>
      </w:r>
      <w:r w:rsidRPr="00023318">
        <w:rPr>
          <w:szCs w:val="24"/>
        </w:rPr>
        <w:lastRenderedPageBreak/>
        <w:t>It is submitted that there should be minimum limit of connected load as 1/2 kW for commercial consumers having small shops.</w:t>
      </w:r>
    </w:p>
    <w:p w:rsidR="00023318" w:rsidRPr="00023318" w:rsidRDefault="00023318" w:rsidP="00023318">
      <w:pPr>
        <w:pStyle w:val="Heading3"/>
        <w:tabs>
          <w:tab w:val="clear" w:pos="720"/>
          <w:tab w:val="left" w:pos="4860"/>
        </w:tabs>
        <w:ind w:left="993" w:hanging="993"/>
        <w:rPr>
          <w:szCs w:val="24"/>
        </w:rPr>
      </w:pPr>
      <w:r w:rsidRPr="00023318">
        <w:rPr>
          <w:szCs w:val="24"/>
        </w:rPr>
        <w:t>Shri Rama Shanker Awasthi submitted that as per Section 23 of EA 2003 the Commission is empowered to impose scheduled power cut in the State. It seems that Commission never imposed scheduled power cut. The Licensees illegally imposed protective load surcharge on the consumers for using electricity during unscheduled power cut. In fact levy of protective load surcharge is dependent upon imposition of scheduled power cut by the Commission.</w:t>
      </w:r>
    </w:p>
    <w:p w:rsidR="002A3AA1" w:rsidRPr="00714D83" w:rsidRDefault="00023318" w:rsidP="00EC6AAC">
      <w:pPr>
        <w:numPr>
          <w:ilvl w:val="0"/>
          <w:numId w:val="100"/>
        </w:numPr>
        <w:spacing w:before="0"/>
        <w:contextualSpacing/>
        <w:rPr>
          <w:rFonts w:cs="Calibri"/>
          <w:b/>
          <w:bCs/>
          <w:i/>
          <w:iCs/>
        </w:rPr>
      </w:pPr>
      <w:r w:rsidRPr="00023318">
        <w:rPr>
          <w:rFonts w:cs="Calibri"/>
          <w:b/>
          <w:bCs/>
          <w:i/>
          <w:iCs/>
        </w:rPr>
        <w:t>Petitioner’s Response</w:t>
      </w:r>
    </w:p>
    <w:p w:rsidR="00023318" w:rsidRPr="00023318" w:rsidRDefault="00023318" w:rsidP="00023318">
      <w:pPr>
        <w:pStyle w:val="Heading3"/>
        <w:tabs>
          <w:tab w:val="clear" w:pos="720"/>
          <w:tab w:val="left" w:pos="4860"/>
        </w:tabs>
        <w:ind w:left="993" w:hanging="993"/>
        <w:rPr>
          <w:szCs w:val="24"/>
        </w:rPr>
      </w:pPr>
      <w:r w:rsidRPr="00023318">
        <w:rPr>
          <w:bCs w:val="0"/>
          <w:szCs w:val="24"/>
        </w:rPr>
        <w:t>A state advisory committee has already been appointed which comprises of various representatives from the fields of industry, Media, Consumer association, Government etc.</w:t>
      </w:r>
    </w:p>
    <w:p w:rsidR="00023318" w:rsidRPr="00023318" w:rsidRDefault="00023318" w:rsidP="00023318">
      <w:pPr>
        <w:pStyle w:val="Heading3"/>
        <w:tabs>
          <w:tab w:val="clear" w:pos="720"/>
          <w:tab w:val="left" w:pos="4860"/>
        </w:tabs>
        <w:ind w:left="993" w:hanging="993"/>
        <w:rPr>
          <w:szCs w:val="24"/>
        </w:rPr>
      </w:pPr>
      <w:r w:rsidRPr="00023318">
        <w:rPr>
          <w:szCs w:val="24"/>
        </w:rPr>
        <w:t>The commercial data has been submitted in the load forecast model submitted along with the Tariff Petition.</w:t>
      </w:r>
    </w:p>
    <w:p w:rsidR="00023318" w:rsidRPr="00023318" w:rsidRDefault="00023318" w:rsidP="00023318">
      <w:pPr>
        <w:pStyle w:val="Heading3"/>
        <w:tabs>
          <w:tab w:val="clear" w:pos="720"/>
          <w:tab w:val="left" w:pos="4860"/>
        </w:tabs>
        <w:ind w:left="993" w:hanging="993"/>
        <w:rPr>
          <w:szCs w:val="24"/>
        </w:rPr>
      </w:pPr>
      <w:r w:rsidRPr="00023318">
        <w:rPr>
          <w:szCs w:val="24"/>
        </w:rPr>
        <w:t>The appointment of the CGRF is done by the Commission.</w:t>
      </w:r>
    </w:p>
    <w:p w:rsidR="00023318" w:rsidRPr="00023318" w:rsidRDefault="00023318" w:rsidP="00023318">
      <w:pPr>
        <w:pStyle w:val="Heading3"/>
        <w:tabs>
          <w:tab w:val="clear" w:pos="720"/>
          <w:tab w:val="left" w:pos="4860"/>
        </w:tabs>
        <w:ind w:left="993" w:hanging="993"/>
        <w:rPr>
          <w:szCs w:val="24"/>
        </w:rPr>
      </w:pPr>
      <w:r w:rsidRPr="00023318">
        <w:rPr>
          <w:szCs w:val="24"/>
        </w:rPr>
        <w:t>Regarding provision for holding periodically Jan Adalat, Meetings at MD level with association, the Licensee has submitted that the Commission may take suitable view in this regards as it deems fit.</w:t>
      </w:r>
    </w:p>
    <w:p w:rsidR="002A3AA1" w:rsidRPr="00714D83" w:rsidRDefault="002A3AA1" w:rsidP="002A3AA1">
      <w:pPr>
        <w:pStyle w:val="Heading3"/>
        <w:numPr>
          <w:ilvl w:val="0"/>
          <w:numId w:val="0"/>
        </w:numPr>
        <w:tabs>
          <w:tab w:val="clear" w:pos="720"/>
          <w:tab w:val="left" w:pos="4860"/>
        </w:tabs>
        <w:ind w:left="993"/>
        <w:rPr>
          <w:bCs w:val="0"/>
          <w:szCs w:val="24"/>
        </w:rPr>
      </w:pPr>
    </w:p>
    <w:p w:rsidR="002A3AA1" w:rsidRPr="001571A2" w:rsidRDefault="00023318" w:rsidP="002A3AA1">
      <w:pPr>
        <w:pStyle w:val="ListParagraph"/>
        <w:numPr>
          <w:ilvl w:val="0"/>
          <w:numId w:val="100"/>
        </w:numPr>
        <w:tabs>
          <w:tab w:val="left" w:pos="1980"/>
        </w:tabs>
        <w:spacing w:before="0"/>
        <w:contextualSpacing/>
        <w:rPr>
          <w:b/>
          <w:i/>
        </w:rPr>
      </w:pPr>
      <w:r w:rsidRPr="00023318">
        <w:rPr>
          <w:b/>
          <w:i/>
        </w:rPr>
        <w:t>The Commission’s view:</w:t>
      </w:r>
    </w:p>
    <w:p w:rsidR="00023318" w:rsidRDefault="00023318" w:rsidP="00023318">
      <w:pPr>
        <w:pStyle w:val="Heading3"/>
        <w:tabs>
          <w:tab w:val="clear" w:pos="720"/>
          <w:tab w:val="left" w:pos="4860"/>
        </w:tabs>
        <w:ind w:left="993" w:hanging="993"/>
        <w:rPr>
          <w:rFonts w:asciiTheme="minorHAnsi" w:hAnsiTheme="minorHAnsi"/>
          <w:szCs w:val="24"/>
        </w:rPr>
      </w:pPr>
      <w:r w:rsidRPr="00023318">
        <w:rPr>
          <w:szCs w:val="24"/>
        </w:rPr>
        <w:t>The Commission has taken note of issues raised by the stakeholders and has addressed the issues related to Truing Up for FY 2013-14, ARR for FY 2016-17 and tariff design for FY 2016-17 in the relevant sections of this Order.</w:t>
      </w:r>
    </w:p>
    <w:p w:rsidR="00023318" w:rsidRDefault="00E763BE" w:rsidP="00023318">
      <w:pPr>
        <w:pStyle w:val="Heading3"/>
        <w:keepNext/>
        <w:keepLines/>
        <w:numPr>
          <w:ilvl w:val="0"/>
          <w:numId w:val="0"/>
        </w:numPr>
        <w:tabs>
          <w:tab w:val="clear" w:pos="720"/>
        </w:tabs>
        <w:spacing w:before="200"/>
        <w:rPr>
          <w:b/>
          <w:bCs w:val="0"/>
          <w:caps/>
          <w:kern w:val="32"/>
          <w:szCs w:val="32"/>
        </w:rPr>
      </w:pPr>
      <w:r w:rsidRPr="00C60AD1">
        <w:br w:type="page"/>
      </w:r>
    </w:p>
    <w:p w:rsidR="003147B8" w:rsidRPr="00C60AD1" w:rsidRDefault="003147B8" w:rsidP="00C60AD1">
      <w:pPr>
        <w:pStyle w:val="Heading1"/>
      </w:pPr>
      <w:bookmarkStart w:id="175" w:name="_Toc457355472"/>
      <w:r w:rsidRPr="00C60AD1">
        <w:lastRenderedPageBreak/>
        <w:t>TRUING UP OF AGGREGATE REVENUE REQUIREMENT FOR FY 20</w:t>
      </w:r>
      <w:bookmarkEnd w:id="0"/>
      <w:r w:rsidR="00FE416E" w:rsidRPr="00C60AD1">
        <w:t>1</w:t>
      </w:r>
      <w:r w:rsidR="00695075">
        <w:t>3</w:t>
      </w:r>
      <w:r w:rsidR="00FE416E" w:rsidRPr="00C60AD1">
        <w:t>-1</w:t>
      </w:r>
      <w:r w:rsidR="00695075">
        <w:t>4</w:t>
      </w:r>
      <w:bookmarkEnd w:id="175"/>
    </w:p>
    <w:p w:rsidR="006B17F5" w:rsidRPr="00C60AD1" w:rsidRDefault="00EC69F7" w:rsidP="00BA3941">
      <w:pPr>
        <w:pStyle w:val="Heading2"/>
        <w:numPr>
          <w:ilvl w:val="1"/>
          <w:numId w:val="27"/>
        </w:numPr>
        <w:rPr>
          <w:rFonts w:cs="Calibri"/>
          <w:szCs w:val="26"/>
          <w:lang w:val="en-US"/>
        </w:rPr>
      </w:pPr>
      <w:bookmarkStart w:id="176" w:name="_Toc457355473"/>
      <w:r w:rsidRPr="00C60AD1">
        <w:rPr>
          <w:rFonts w:cs="Calibri"/>
          <w:szCs w:val="26"/>
          <w:lang w:val="en-US"/>
        </w:rPr>
        <w:t>INTRODUCTION</w:t>
      </w:r>
      <w:bookmarkEnd w:id="176"/>
    </w:p>
    <w:p w:rsidR="003147B8" w:rsidRDefault="003147B8" w:rsidP="00C60AD1">
      <w:pPr>
        <w:pStyle w:val="Heading3"/>
        <w:tabs>
          <w:tab w:val="clear" w:pos="720"/>
          <w:tab w:val="num" w:pos="993"/>
        </w:tabs>
        <w:ind w:left="993" w:hanging="993"/>
      </w:pPr>
      <w:r w:rsidRPr="00C60AD1">
        <w:t>The Petitioner has sought the final truing up of expenditure and revenue for FY 20</w:t>
      </w:r>
      <w:r w:rsidR="00FE416E" w:rsidRPr="00C60AD1">
        <w:t>1</w:t>
      </w:r>
      <w:r w:rsidR="005F1C7E">
        <w:t>3</w:t>
      </w:r>
      <w:r w:rsidR="00FE416E" w:rsidRPr="00C60AD1">
        <w:t>-1</w:t>
      </w:r>
      <w:r w:rsidR="005F1C7E">
        <w:t>4</w:t>
      </w:r>
      <w:r w:rsidRPr="00C60AD1">
        <w:t xml:space="preserve"> based on actual expenditure and revenue as per audited accounts. In this section, the Commission has analysed all the elements of actual revenue and expenses for FY 20</w:t>
      </w:r>
      <w:r w:rsidR="00FE416E" w:rsidRPr="00C60AD1">
        <w:t>1</w:t>
      </w:r>
      <w:r w:rsidR="005F1C7E">
        <w:t>3</w:t>
      </w:r>
      <w:r w:rsidR="00FE416E" w:rsidRPr="00C60AD1">
        <w:t>-1</w:t>
      </w:r>
      <w:r w:rsidR="005F1C7E">
        <w:t>4</w:t>
      </w:r>
      <w:r w:rsidRPr="00C60AD1">
        <w:t xml:space="preserve"> and has undertaken the truing up of expenses and revenue after prudence check on the data made available by the Petitioner. </w:t>
      </w:r>
    </w:p>
    <w:p w:rsidR="008B0C65" w:rsidRDefault="008B0C65" w:rsidP="008B0C65">
      <w:pPr>
        <w:pStyle w:val="Heading3"/>
        <w:numPr>
          <w:ilvl w:val="0"/>
          <w:numId w:val="0"/>
        </w:numPr>
        <w:tabs>
          <w:tab w:val="clear" w:pos="720"/>
        </w:tabs>
        <w:ind w:left="993"/>
      </w:pPr>
    </w:p>
    <w:p w:rsidR="003147B8" w:rsidRPr="00C60AD1" w:rsidRDefault="003147B8" w:rsidP="00C60AD1">
      <w:pPr>
        <w:pStyle w:val="Heading2"/>
        <w:rPr>
          <w:rFonts w:cs="Calibri"/>
          <w:szCs w:val="26"/>
          <w:lang w:val="en-US"/>
        </w:rPr>
      </w:pPr>
      <w:bookmarkStart w:id="177" w:name="_Toc356912997"/>
      <w:bookmarkStart w:id="178" w:name="_Toc457355474"/>
      <w:r w:rsidRPr="00C60AD1">
        <w:rPr>
          <w:rFonts w:cs="Calibri"/>
          <w:szCs w:val="26"/>
          <w:lang w:val="en-US"/>
        </w:rPr>
        <w:t>POWER PURCHASE EXPENSES</w:t>
      </w:r>
      <w:bookmarkEnd w:id="177"/>
      <w:bookmarkEnd w:id="178"/>
    </w:p>
    <w:p w:rsidR="003147B8" w:rsidRPr="007B2677" w:rsidRDefault="00372C45" w:rsidP="00C60AD1">
      <w:pPr>
        <w:pStyle w:val="Heading3"/>
        <w:tabs>
          <w:tab w:val="clear" w:pos="720"/>
          <w:tab w:val="num" w:pos="993"/>
        </w:tabs>
        <w:ind w:left="993" w:hanging="993"/>
      </w:pPr>
      <w:r w:rsidRPr="007B2677">
        <w:t>The Commission, in the Tariff Order for FY 201</w:t>
      </w:r>
      <w:r w:rsidR="003C6905" w:rsidRPr="007B2677">
        <w:t>3</w:t>
      </w:r>
      <w:r w:rsidRPr="007B2677">
        <w:t>-1</w:t>
      </w:r>
      <w:r w:rsidR="003C6905" w:rsidRPr="007B2677">
        <w:t>4</w:t>
      </w:r>
      <w:r w:rsidRPr="007B2677">
        <w:t xml:space="preserve">, had approved the power purchase quantum of </w:t>
      </w:r>
      <w:r w:rsidR="008B0C65" w:rsidRPr="008B0C65">
        <w:t>84,632</w:t>
      </w:r>
      <w:r w:rsidR="003C6905" w:rsidRPr="007B2677">
        <w:t>.00</w:t>
      </w:r>
      <w:r w:rsidRPr="007B2677">
        <w:t xml:space="preserve"> MU and total power purchase expenses of Rs. </w:t>
      </w:r>
      <w:r w:rsidR="008B0C65" w:rsidRPr="008B0C65">
        <w:t>31,456.00</w:t>
      </w:r>
      <w:r w:rsidRPr="007B2677">
        <w:t xml:space="preserve"> Crore at UPPCL level. The Petitioner, in its True-up Petition, has submitted that the actual power purchase expenses for FY 201</w:t>
      </w:r>
      <w:r w:rsidR="003C6905" w:rsidRPr="007B2677">
        <w:t>3</w:t>
      </w:r>
      <w:r w:rsidRPr="007B2677">
        <w:t>-1</w:t>
      </w:r>
      <w:r w:rsidR="003C6905" w:rsidRPr="007B2677">
        <w:t>4</w:t>
      </w:r>
      <w:r w:rsidRPr="007B2677">
        <w:t xml:space="preserve"> are Rs. </w:t>
      </w:r>
      <w:r w:rsidR="003C6905" w:rsidRPr="007B2677">
        <w:t xml:space="preserve">33,233.64 </w:t>
      </w:r>
      <w:r w:rsidRPr="007B2677">
        <w:t xml:space="preserve">Crore towards power procurement of </w:t>
      </w:r>
      <w:r w:rsidR="003C6905" w:rsidRPr="007B2677">
        <w:t>84,251.84</w:t>
      </w:r>
      <w:r w:rsidRPr="007B2677">
        <w:t xml:space="preserve"> MU at UPPCL level. </w:t>
      </w:r>
    </w:p>
    <w:p w:rsidR="003147B8" w:rsidRPr="00C60AD1" w:rsidRDefault="003147B8" w:rsidP="00C60AD1">
      <w:pPr>
        <w:pStyle w:val="Heading3"/>
        <w:tabs>
          <w:tab w:val="clear" w:pos="720"/>
          <w:tab w:val="num" w:pos="993"/>
        </w:tabs>
        <w:ind w:left="993" w:hanging="993"/>
      </w:pPr>
      <w:r w:rsidRPr="00C60AD1">
        <w:t xml:space="preserve">The Petitioner submitted that it has considered the following philosophy for computing the allowable power purchase cost: </w:t>
      </w:r>
    </w:p>
    <w:p w:rsidR="003147B8" w:rsidRPr="00C60AD1" w:rsidRDefault="003147B8" w:rsidP="00C60AD1">
      <w:pPr>
        <w:pStyle w:val="Heading3"/>
        <w:numPr>
          <w:ilvl w:val="2"/>
          <w:numId w:val="10"/>
        </w:numPr>
        <w:tabs>
          <w:tab w:val="clear" w:pos="720"/>
          <w:tab w:val="clear" w:pos="936"/>
          <w:tab w:val="num" w:pos="1350"/>
        </w:tabs>
        <w:ind w:left="1440" w:hanging="306"/>
      </w:pPr>
      <w:r w:rsidRPr="00C60AD1">
        <w:t xml:space="preserve">The allowable power purchase input has been calculated by grossing up the actual energy </w:t>
      </w:r>
      <w:r w:rsidR="009C16CF" w:rsidRPr="00C60AD1">
        <w:t>received at the Discom end by the approved / actual transmission losses, whichever is lower.</w:t>
      </w:r>
    </w:p>
    <w:p w:rsidR="003147B8" w:rsidRPr="00C60AD1" w:rsidRDefault="003147B8" w:rsidP="00C60AD1">
      <w:pPr>
        <w:pStyle w:val="Heading3"/>
        <w:numPr>
          <w:ilvl w:val="2"/>
          <w:numId w:val="10"/>
        </w:numPr>
        <w:tabs>
          <w:tab w:val="clear" w:pos="720"/>
          <w:tab w:val="clear" w:pos="936"/>
          <w:tab w:val="num" w:pos="1350"/>
        </w:tabs>
        <w:ind w:left="1440" w:hanging="306"/>
      </w:pPr>
      <w:r w:rsidRPr="00C60AD1">
        <w:t xml:space="preserve">The allowable power purchase cost has been computed by multiplying the </w:t>
      </w:r>
      <w:r w:rsidR="009C16CF" w:rsidRPr="00C60AD1">
        <w:rPr>
          <w:rFonts w:cs="Calibri"/>
          <w:lang w:eastAsia="es-ES"/>
        </w:rPr>
        <w:t xml:space="preserve">revised bulk supply Tariff </w:t>
      </w:r>
      <w:r w:rsidR="00041F52">
        <w:rPr>
          <w:rFonts w:cs="Calibri"/>
          <w:lang w:eastAsia="es-ES"/>
        </w:rPr>
        <w:t>with a</w:t>
      </w:r>
      <w:r w:rsidR="0034207C">
        <w:rPr>
          <w:rFonts w:cs="Calibri"/>
          <w:lang w:eastAsia="es-ES"/>
        </w:rPr>
        <w:t xml:space="preserve">llowable power purchase input </w:t>
      </w:r>
      <w:r w:rsidR="009C16CF" w:rsidRPr="00C60AD1">
        <w:rPr>
          <w:rFonts w:cs="Calibri"/>
          <w:lang w:eastAsia="es-ES"/>
        </w:rPr>
        <w:t>to derive the allowable power purchase cost for truing up.</w:t>
      </w:r>
    </w:p>
    <w:p w:rsidR="003147B8" w:rsidRPr="00C60AD1" w:rsidRDefault="003147B8" w:rsidP="00C60AD1">
      <w:pPr>
        <w:pStyle w:val="Heading3"/>
        <w:tabs>
          <w:tab w:val="clear" w:pos="720"/>
          <w:tab w:val="num" w:pos="993"/>
        </w:tabs>
        <w:ind w:left="993" w:hanging="993"/>
      </w:pPr>
      <w:r w:rsidRPr="00C60AD1">
        <w:t>As per the above philosophy, the Bulk Supply Tariff as worked out by the Petitioner is shown in the Table below:</w:t>
      </w:r>
    </w:p>
    <w:p w:rsidR="00FA3863" w:rsidRPr="00C60AD1" w:rsidRDefault="009C16CF" w:rsidP="00C60AD1">
      <w:pPr>
        <w:tabs>
          <w:tab w:val="left" w:pos="2113"/>
        </w:tabs>
        <w:spacing w:before="0"/>
        <w:rPr>
          <w:rFonts w:cs="Calibri"/>
          <w:b/>
          <w:sz w:val="22"/>
          <w:szCs w:val="22"/>
          <w:lang w:val="en-US"/>
        </w:rPr>
      </w:pPr>
      <w:r w:rsidRPr="00C60AD1">
        <w:rPr>
          <w:rFonts w:cs="Calibri"/>
          <w:b/>
          <w:sz w:val="22"/>
          <w:szCs w:val="22"/>
          <w:lang w:val="en-US"/>
        </w:rPr>
        <w:tab/>
      </w:r>
    </w:p>
    <w:p w:rsidR="003147B8" w:rsidRPr="00895193" w:rsidRDefault="00372C45" w:rsidP="00C60AD1">
      <w:pPr>
        <w:spacing w:before="0"/>
        <w:jc w:val="center"/>
        <w:rPr>
          <w:sz w:val="22"/>
          <w:szCs w:val="22"/>
          <w:lang w:val="en-US"/>
        </w:rPr>
      </w:pPr>
      <w:bookmarkStart w:id="179" w:name="_Toc457355602"/>
      <w:r w:rsidRPr="00895193">
        <w:rPr>
          <w:rFonts w:cs="Calibri"/>
          <w:b/>
          <w:sz w:val="22"/>
          <w:szCs w:val="22"/>
          <w:lang w:val="en-US"/>
        </w:rPr>
        <w:t xml:space="preserve">Table </w:t>
      </w:r>
      <w:r w:rsidR="004A2D9E" w:rsidRPr="00895193">
        <w:rPr>
          <w:rFonts w:cs="Calibri"/>
          <w:b/>
          <w:sz w:val="22"/>
          <w:szCs w:val="22"/>
          <w:lang w:val="en-US"/>
        </w:rPr>
        <w:fldChar w:fldCharType="begin"/>
      </w:r>
      <w:r w:rsidRPr="00895193">
        <w:rPr>
          <w:rFonts w:cs="Calibri"/>
          <w:b/>
          <w:sz w:val="22"/>
          <w:szCs w:val="22"/>
          <w:lang w:val="en-US"/>
        </w:rPr>
        <w:instrText xml:space="preserve"> STYLEREF 1 \s </w:instrText>
      </w:r>
      <w:r w:rsidR="004A2D9E" w:rsidRPr="00895193">
        <w:rPr>
          <w:rFonts w:cs="Calibri"/>
          <w:b/>
          <w:sz w:val="22"/>
          <w:szCs w:val="22"/>
          <w:lang w:val="en-US"/>
        </w:rPr>
        <w:fldChar w:fldCharType="separate"/>
      </w:r>
      <w:r w:rsidR="0011185B">
        <w:rPr>
          <w:rFonts w:cs="Calibri"/>
          <w:b/>
          <w:noProof/>
          <w:sz w:val="22"/>
          <w:szCs w:val="22"/>
          <w:lang w:val="en-US"/>
        </w:rPr>
        <w:t>4</w:t>
      </w:r>
      <w:r w:rsidR="004A2D9E" w:rsidRPr="00895193">
        <w:rPr>
          <w:rFonts w:cs="Calibri"/>
          <w:b/>
          <w:sz w:val="22"/>
          <w:szCs w:val="22"/>
          <w:lang w:val="en-US"/>
        </w:rPr>
        <w:fldChar w:fldCharType="end"/>
      </w:r>
      <w:r w:rsidRPr="00895193">
        <w:rPr>
          <w:rFonts w:cs="Calibri"/>
          <w:b/>
          <w:sz w:val="22"/>
          <w:szCs w:val="22"/>
          <w:lang w:val="en-US"/>
        </w:rPr>
        <w:noBreakHyphen/>
      </w:r>
      <w:r w:rsidR="004A2D9E" w:rsidRPr="00895193">
        <w:rPr>
          <w:rFonts w:cs="Calibri"/>
          <w:b/>
          <w:sz w:val="22"/>
          <w:szCs w:val="22"/>
          <w:lang w:val="en-US"/>
        </w:rPr>
        <w:fldChar w:fldCharType="begin"/>
      </w:r>
      <w:r w:rsidRPr="00895193">
        <w:rPr>
          <w:rFonts w:cs="Calibri"/>
          <w:b/>
          <w:sz w:val="22"/>
          <w:szCs w:val="22"/>
          <w:lang w:val="en-US"/>
        </w:rPr>
        <w:instrText xml:space="preserve"> SEQ Table \* ARABIC \s 1 </w:instrText>
      </w:r>
      <w:r w:rsidR="004A2D9E" w:rsidRPr="00895193">
        <w:rPr>
          <w:rFonts w:cs="Calibri"/>
          <w:b/>
          <w:sz w:val="22"/>
          <w:szCs w:val="22"/>
          <w:lang w:val="en-US"/>
        </w:rPr>
        <w:fldChar w:fldCharType="separate"/>
      </w:r>
      <w:r w:rsidR="0011185B">
        <w:rPr>
          <w:rFonts w:cs="Calibri"/>
          <w:b/>
          <w:noProof/>
          <w:sz w:val="22"/>
          <w:szCs w:val="22"/>
          <w:lang w:val="en-US"/>
        </w:rPr>
        <w:t>1</w:t>
      </w:r>
      <w:r w:rsidR="004A2D9E" w:rsidRPr="00895193">
        <w:rPr>
          <w:rFonts w:cs="Calibri"/>
          <w:b/>
          <w:sz w:val="22"/>
          <w:szCs w:val="22"/>
          <w:lang w:val="en-US"/>
        </w:rPr>
        <w:fldChar w:fldCharType="end"/>
      </w:r>
      <w:r w:rsidRPr="00895193">
        <w:rPr>
          <w:rFonts w:cs="Calibri"/>
          <w:b/>
          <w:sz w:val="22"/>
          <w:szCs w:val="22"/>
          <w:lang w:val="en-US"/>
        </w:rPr>
        <w:t>: BULK SUPPLY TARIFF AS COMPUTED BY THE PETITIONER FOR FY 201</w:t>
      </w:r>
      <w:r w:rsidR="008B0C65" w:rsidRPr="008B0C65">
        <w:rPr>
          <w:rFonts w:cs="Calibri"/>
          <w:b/>
          <w:sz w:val="22"/>
          <w:szCs w:val="22"/>
          <w:lang w:val="en-US"/>
        </w:rPr>
        <w:t>3</w:t>
      </w:r>
      <w:r w:rsidRPr="00895193">
        <w:rPr>
          <w:rFonts w:cs="Calibri"/>
          <w:b/>
          <w:sz w:val="22"/>
          <w:szCs w:val="22"/>
          <w:lang w:val="en-US"/>
        </w:rPr>
        <w:t>-1</w:t>
      </w:r>
      <w:r w:rsidR="008B0C65" w:rsidRPr="008B0C65">
        <w:rPr>
          <w:rFonts w:cs="Calibri"/>
          <w:b/>
          <w:sz w:val="22"/>
          <w:szCs w:val="22"/>
          <w:lang w:val="en-US"/>
        </w:rPr>
        <w:t>4</w:t>
      </w:r>
      <w:bookmarkEnd w:id="179"/>
    </w:p>
    <w:tbl>
      <w:tblPr>
        <w:tblW w:w="407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807"/>
        <w:gridCol w:w="1081"/>
        <w:gridCol w:w="1865"/>
      </w:tblGrid>
      <w:tr w:rsidR="005F1B9A" w:rsidRPr="00C578FD" w:rsidTr="00064271">
        <w:trPr>
          <w:trHeight w:val="509"/>
          <w:tblHeader/>
          <w:jc w:val="center"/>
        </w:trPr>
        <w:tc>
          <w:tcPr>
            <w:tcW w:w="3100"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Particulars</w:t>
            </w:r>
          </w:p>
        </w:tc>
        <w:tc>
          <w:tcPr>
            <w:tcW w:w="697"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Unit</w:t>
            </w:r>
          </w:p>
        </w:tc>
        <w:tc>
          <w:tcPr>
            <w:tcW w:w="1203" w:type="pct"/>
            <w:shd w:val="clear" w:color="auto" w:fill="DBE5F1" w:themeFill="accent1" w:themeFillTint="33"/>
            <w:hideMark/>
          </w:tcPr>
          <w:p w:rsidR="003267CD" w:rsidRDefault="00027D0D">
            <w:pPr>
              <w:jc w:val="center"/>
              <w:rPr>
                <w:rFonts w:asciiTheme="minorHAnsi" w:hAnsiTheme="minorHAnsi"/>
                <w:b/>
                <w:sz w:val="22"/>
              </w:rPr>
            </w:pPr>
            <w:r w:rsidRPr="00027D0D">
              <w:rPr>
                <w:rFonts w:asciiTheme="minorHAnsi" w:hAnsiTheme="minorHAnsi"/>
                <w:b/>
                <w:sz w:val="22"/>
              </w:rPr>
              <w:t>True-up Petition</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Power Purchase</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84,251.84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4,431.01</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Transmission Loss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5.26%</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Energy available at Discom End</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MU</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79,820.83</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Allowable Power Purchase Cost at Discom end (including PGCIL Charges)</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color w:val="000000"/>
                <w:sz w:val="22"/>
                <w:szCs w:val="18"/>
                <w:lang w:val="en-IN" w:eastAsia="en-IN"/>
              </w:rPr>
            </w:pPr>
            <w:r w:rsidRPr="00027D0D">
              <w:rPr>
                <w:rFonts w:asciiTheme="minorHAnsi" w:hAnsiTheme="minorHAnsi" w:cs="Calibri"/>
                <w:color w:val="000000"/>
                <w:sz w:val="22"/>
                <w:lang w:val="en-IN" w:eastAsia="en-IN"/>
              </w:rPr>
              <w:t>Rs</w:t>
            </w:r>
            <w:r w:rsidR="00064271">
              <w:rPr>
                <w:rFonts w:asciiTheme="minorHAnsi" w:hAnsiTheme="minorHAnsi" w:cs="Calibri"/>
                <w:color w:val="000000"/>
                <w:sz w:val="22"/>
                <w:lang w:val="en-IN" w:eastAsia="en-IN"/>
              </w:rPr>
              <w:t>.</w:t>
            </w:r>
            <w:r w:rsidRPr="00027D0D">
              <w:rPr>
                <w:rFonts w:asciiTheme="minorHAnsi" w:hAnsiTheme="minorHAnsi" w:cs="Calibri"/>
                <w:color w:val="000000"/>
                <w:sz w:val="22"/>
                <w:lang w:val="en-IN" w:eastAsia="en-IN"/>
              </w:rPr>
              <w:t xml:space="preserve"> Crore</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color w:val="000000"/>
                <w:sz w:val="22"/>
                <w:lang w:val="en-IN" w:eastAsia="en-IN"/>
              </w:rPr>
            </w:pPr>
            <w:r w:rsidRPr="00027D0D">
              <w:rPr>
                <w:rFonts w:asciiTheme="minorHAnsi" w:hAnsiTheme="minorHAnsi" w:cs="Calibri"/>
                <w:color w:val="000000"/>
                <w:sz w:val="22"/>
                <w:lang w:val="en-IN" w:eastAsia="en-IN"/>
              </w:rPr>
              <w:t>33,233.64</w:t>
            </w:r>
          </w:p>
        </w:tc>
      </w:tr>
      <w:tr w:rsidR="00D83074" w:rsidRPr="00C578FD" w:rsidTr="0000772C">
        <w:trPr>
          <w:trHeight w:val="255"/>
          <w:jc w:val="center"/>
        </w:trPr>
        <w:tc>
          <w:tcPr>
            <w:tcW w:w="3100" w:type="pct"/>
            <w:shd w:val="clear" w:color="000000" w:fill="FFFFFF"/>
            <w:vAlign w:val="center"/>
            <w:hideMark/>
          </w:tcPr>
          <w:p w:rsidR="003267CD" w:rsidRDefault="00027D0D">
            <w:pPr>
              <w:spacing w:before="0" w:line="240" w:lineRule="auto"/>
              <w:jc w:val="lef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Power Purchase Cost per unit at Discom end (BST)</w:t>
            </w:r>
          </w:p>
        </w:tc>
        <w:tc>
          <w:tcPr>
            <w:tcW w:w="697" w:type="pct"/>
            <w:shd w:val="clear" w:color="000000" w:fill="FFFFFF"/>
            <w:vAlign w:val="center"/>
            <w:hideMark/>
          </w:tcPr>
          <w:p w:rsidR="007132A6" w:rsidRDefault="00027D0D" w:rsidP="007132A6">
            <w:pPr>
              <w:spacing w:before="0" w:line="240" w:lineRule="auto"/>
              <w:jc w:val="center"/>
              <w:rPr>
                <w:rFonts w:asciiTheme="minorHAnsi" w:hAnsiTheme="minorHAnsi" w:cs="Calibri"/>
                <w:b/>
                <w:color w:val="000000"/>
                <w:sz w:val="22"/>
                <w:szCs w:val="18"/>
                <w:lang w:val="en-IN" w:eastAsia="en-IN"/>
              </w:rPr>
            </w:pPr>
            <w:r w:rsidRPr="00027D0D">
              <w:rPr>
                <w:rFonts w:asciiTheme="minorHAnsi" w:hAnsiTheme="minorHAnsi" w:cs="Calibri"/>
                <w:b/>
                <w:color w:val="000000"/>
                <w:sz w:val="22"/>
                <w:lang w:val="en-IN" w:eastAsia="en-IN"/>
              </w:rPr>
              <w:t>Rs/kWh</w:t>
            </w:r>
          </w:p>
        </w:tc>
        <w:tc>
          <w:tcPr>
            <w:tcW w:w="1203" w:type="pct"/>
            <w:shd w:val="clear" w:color="000000" w:fill="FFFFFF"/>
            <w:vAlign w:val="center"/>
            <w:hideMark/>
          </w:tcPr>
          <w:p w:rsidR="003267CD" w:rsidRDefault="00027D0D">
            <w:pPr>
              <w:spacing w:before="0" w:line="240" w:lineRule="auto"/>
              <w:jc w:val="right"/>
              <w:rPr>
                <w:rFonts w:asciiTheme="minorHAnsi" w:hAnsiTheme="minorHAnsi" w:cs="Calibri"/>
                <w:b/>
                <w:color w:val="000000"/>
                <w:sz w:val="22"/>
                <w:lang w:val="en-IN" w:eastAsia="en-IN"/>
              </w:rPr>
            </w:pPr>
            <w:r w:rsidRPr="00027D0D">
              <w:rPr>
                <w:rFonts w:asciiTheme="minorHAnsi" w:hAnsiTheme="minorHAnsi" w:cs="Calibri"/>
                <w:b/>
                <w:color w:val="000000"/>
                <w:sz w:val="22"/>
                <w:lang w:val="en-IN" w:eastAsia="en-IN"/>
              </w:rPr>
              <w:t>4.16</w:t>
            </w:r>
          </w:p>
        </w:tc>
      </w:tr>
    </w:tbl>
    <w:p w:rsidR="00F70DA9" w:rsidRPr="00115282" w:rsidRDefault="007320D7" w:rsidP="00C60AD1">
      <w:pPr>
        <w:pStyle w:val="Heading3"/>
        <w:tabs>
          <w:tab w:val="clear" w:pos="720"/>
          <w:tab w:val="num" w:pos="993"/>
        </w:tabs>
        <w:ind w:left="993" w:hanging="993"/>
      </w:pPr>
      <w:r w:rsidRPr="00C60AD1">
        <w:lastRenderedPageBreak/>
        <w:t xml:space="preserve">The Commission has computed the BST based on the same philosophy as adopted in its Order dated </w:t>
      </w:r>
      <w:r w:rsidR="00046D48">
        <w:t>June 18, 2015</w:t>
      </w:r>
      <w:r w:rsidRPr="00C60AD1">
        <w:t xml:space="preserve">. </w:t>
      </w:r>
      <w:r w:rsidR="00B86C22" w:rsidRPr="006F1C8A">
        <w:t>The Commission asked the Petitioner to submit the breakup of the Transmission Losses between Intra-State and Inter-State. The Petitioner submitted the Intra-State transmission loss to be 4.</w:t>
      </w:r>
      <w:r w:rsidR="008B0C65" w:rsidRPr="008B0C65">
        <w:t>10</w:t>
      </w:r>
      <w:r w:rsidR="00B86C22" w:rsidRPr="006F1C8A">
        <w:t xml:space="preserve">% </w:t>
      </w:r>
      <w:r w:rsidR="006C4D08">
        <w:t xml:space="preserve">and </w:t>
      </w:r>
      <w:r w:rsidR="006C4D08" w:rsidRPr="006F1C8A">
        <w:t>Int</w:t>
      </w:r>
      <w:r w:rsidR="006C4D08">
        <w:t>e</w:t>
      </w:r>
      <w:r w:rsidR="006C4D08" w:rsidRPr="006F1C8A">
        <w:t xml:space="preserve">r-State transmission loss to be </w:t>
      </w:r>
      <w:r w:rsidR="006C4D08">
        <w:t>3.97</w:t>
      </w:r>
      <w:r w:rsidR="006C4D08" w:rsidRPr="006F1C8A">
        <w:t xml:space="preserve">% </w:t>
      </w:r>
      <w:r w:rsidR="00B86C22" w:rsidRPr="006F1C8A">
        <w:t>for FY 201</w:t>
      </w:r>
      <w:r w:rsidR="006F1C8A">
        <w:t>3</w:t>
      </w:r>
      <w:r w:rsidR="00B86C22" w:rsidRPr="006F1C8A">
        <w:t>-1</w:t>
      </w:r>
      <w:r w:rsidR="006F1C8A">
        <w:t>4</w:t>
      </w:r>
      <w:r w:rsidR="00B86C22" w:rsidRPr="006F1C8A">
        <w:t xml:space="preserve">. </w:t>
      </w:r>
      <w:r w:rsidR="00C879D1" w:rsidRPr="00115282">
        <w:t>Further, in reply to the query raised by the Commission regarding bifurcated details of power purchase cost and PGCIL charges for FY 201</w:t>
      </w:r>
      <w:r w:rsidR="008B0C65" w:rsidRPr="008B0C65">
        <w:t>3</w:t>
      </w:r>
      <w:r w:rsidR="00C879D1" w:rsidRPr="00115282">
        <w:t>-1</w:t>
      </w:r>
      <w:r w:rsidR="008B0C65" w:rsidRPr="008B0C65">
        <w:t>4</w:t>
      </w:r>
      <w:r w:rsidR="00C879D1" w:rsidRPr="00115282">
        <w:t>, the Petitioner submitted the following detail</w:t>
      </w:r>
      <w:r w:rsidR="00A30A72">
        <w:t>s</w:t>
      </w:r>
      <w:r w:rsidR="00C879D1" w:rsidRPr="00115282">
        <w:t>.</w:t>
      </w:r>
    </w:p>
    <w:p w:rsidR="009D4C92" w:rsidRPr="00C60AD1" w:rsidRDefault="009D4C92" w:rsidP="00C60AD1">
      <w:pPr>
        <w:spacing w:before="0"/>
        <w:jc w:val="center"/>
        <w:rPr>
          <w:rFonts w:cs="Calibri"/>
          <w:b/>
          <w:sz w:val="22"/>
          <w:szCs w:val="22"/>
          <w:lang w:val="en-US"/>
        </w:rPr>
      </w:pPr>
    </w:p>
    <w:p w:rsidR="009D4C92" w:rsidRPr="00115282" w:rsidRDefault="009D4C92" w:rsidP="00C60AD1">
      <w:pPr>
        <w:spacing w:before="0"/>
        <w:jc w:val="center"/>
        <w:rPr>
          <w:sz w:val="22"/>
          <w:szCs w:val="22"/>
          <w:lang w:val="en-US"/>
        </w:rPr>
      </w:pPr>
      <w:bookmarkStart w:id="180" w:name="_Toc457355603"/>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2</w:t>
      </w:r>
      <w:r w:rsidR="004A2D9E" w:rsidRPr="00C60AD1">
        <w:rPr>
          <w:rFonts w:cs="Calibri"/>
          <w:b/>
          <w:sz w:val="22"/>
          <w:szCs w:val="22"/>
          <w:lang w:val="en-US"/>
        </w:rPr>
        <w:fldChar w:fldCharType="end"/>
      </w:r>
      <w:r w:rsidR="00C879D1" w:rsidRPr="00115282">
        <w:rPr>
          <w:rFonts w:cs="Calibri"/>
          <w:b/>
          <w:sz w:val="22"/>
          <w:szCs w:val="22"/>
          <w:lang w:val="en-US"/>
        </w:rPr>
        <w:t>: DETAILS OF POWER PURCHASE COST AND PGCIL CHARGES SUBMITTED BY THE PETITIONER FOR FY 201</w:t>
      </w:r>
      <w:r w:rsidR="008B0C65" w:rsidRPr="008B0C65">
        <w:rPr>
          <w:rFonts w:cs="Calibri"/>
          <w:b/>
          <w:sz w:val="22"/>
          <w:szCs w:val="22"/>
          <w:lang w:val="en-US"/>
        </w:rPr>
        <w:t>3</w:t>
      </w:r>
      <w:r w:rsidR="00C879D1" w:rsidRPr="00115282">
        <w:rPr>
          <w:rFonts w:cs="Calibri"/>
          <w:b/>
          <w:sz w:val="22"/>
          <w:szCs w:val="22"/>
          <w:lang w:val="en-US"/>
        </w:rPr>
        <w:t>-1</w:t>
      </w:r>
      <w:r w:rsidR="008B0C65" w:rsidRPr="008B0C65">
        <w:rPr>
          <w:rFonts w:cs="Calibri"/>
          <w:b/>
          <w:sz w:val="22"/>
          <w:szCs w:val="22"/>
          <w:lang w:val="en-US"/>
        </w:rPr>
        <w:t>4</w:t>
      </w:r>
      <w:bookmarkEnd w:id="180"/>
    </w:p>
    <w:tbl>
      <w:tblPr>
        <w:tblStyle w:val="TableGrid"/>
        <w:tblW w:w="0" w:type="auto"/>
        <w:jc w:val="center"/>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100"/>
        <w:gridCol w:w="3528"/>
      </w:tblGrid>
      <w:tr w:rsidR="0027635D" w:rsidRPr="00B661DC" w:rsidTr="00B661DC">
        <w:trPr>
          <w:trHeight w:val="351"/>
          <w:jc w:val="center"/>
        </w:trPr>
        <w:tc>
          <w:tcPr>
            <w:tcW w:w="4100"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3528" w:type="dxa"/>
            <w:shd w:val="clear" w:color="auto" w:fill="DBE5F1" w:themeFill="accent1" w:themeFillTint="33"/>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Amount (Rs. Crore)</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Power Purchase Cost</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31,956.62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color w:val="000000"/>
                <w:sz w:val="22"/>
              </w:rPr>
            </w:pPr>
            <w:r w:rsidRPr="00027D0D">
              <w:rPr>
                <w:rFonts w:asciiTheme="minorHAnsi" w:hAnsiTheme="minorHAnsi"/>
                <w:color w:val="000000"/>
                <w:sz w:val="22"/>
              </w:rPr>
              <w:t>PGCIL Charges</w:t>
            </w:r>
          </w:p>
        </w:tc>
        <w:tc>
          <w:tcPr>
            <w:tcW w:w="3528" w:type="dxa"/>
            <w:vAlign w:val="center"/>
          </w:tcPr>
          <w:p w:rsidR="003267CD" w:rsidRDefault="00027D0D">
            <w:pPr>
              <w:spacing w:before="0" w:line="240" w:lineRule="auto"/>
              <w:jc w:val="right"/>
              <w:rPr>
                <w:rFonts w:asciiTheme="minorHAnsi" w:hAnsiTheme="minorHAnsi"/>
                <w:color w:val="000000"/>
                <w:sz w:val="22"/>
              </w:rPr>
            </w:pPr>
            <w:r w:rsidRPr="00027D0D">
              <w:rPr>
                <w:rFonts w:asciiTheme="minorHAnsi" w:hAnsiTheme="minorHAnsi"/>
                <w:color w:val="000000"/>
                <w:sz w:val="22"/>
                <w:lang w:val="en-IN" w:eastAsia="en-IN"/>
              </w:rPr>
              <w:t>1,277.02</w:t>
            </w:r>
          </w:p>
        </w:tc>
      </w:tr>
      <w:tr w:rsidR="00115282" w:rsidRPr="00B661DC" w:rsidTr="00B661DC">
        <w:trPr>
          <w:trHeight w:val="351"/>
          <w:jc w:val="center"/>
        </w:trPr>
        <w:tc>
          <w:tcPr>
            <w:tcW w:w="4100" w:type="dxa"/>
            <w:vAlign w:val="center"/>
          </w:tcPr>
          <w:p w:rsidR="003267CD" w:rsidRDefault="00027D0D">
            <w:pPr>
              <w:spacing w:before="0" w:line="240" w:lineRule="auto"/>
              <w:rPr>
                <w:rFonts w:asciiTheme="minorHAnsi" w:hAnsiTheme="minorHAnsi"/>
                <w:b/>
                <w:sz w:val="22"/>
              </w:rPr>
            </w:pPr>
            <w:r w:rsidRPr="00027D0D">
              <w:rPr>
                <w:rFonts w:asciiTheme="minorHAnsi" w:hAnsiTheme="minorHAnsi"/>
                <w:b/>
                <w:sz w:val="22"/>
              </w:rPr>
              <w:t>Total Power Purchase Cost</w:t>
            </w:r>
          </w:p>
        </w:tc>
        <w:tc>
          <w:tcPr>
            <w:tcW w:w="3528" w:type="dxa"/>
            <w:vAlign w:val="center"/>
          </w:tcPr>
          <w:p w:rsidR="003267CD" w:rsidRDefault="00027D0D">
            <w:pPr>
              <w:spacing w:before="0" w:line="240" w:lineRule="auto"/>
              <w:jc w:val="right"/>
              <w:rPr>
                <w:rFonts w:asciiTheme="minorHAnsi" w:hAnsiTheme="minorHAnsi"/>
                <w:b/>
                <w:sz w:val="22"/>
              </w:rPr>
            </w:pPr>
            <w:r w:rsidRPr="00027D0D">
              <w:rPr>
                <w:rFonts w:asciiTheme="minorHAnsi" w:hAnsiTheme="minorHAnsi"/>
                <w:b/>
                <w:bCs/>
                <w:color w:val="000000"/>
                <w:sz w:val="22"/>
                <w:lang w:val="en-IN" w:eastAsia="en-IN"/>
              </w:rPr>
              <w:t>33,233.64</w:t>
            </w:r>
          </w:p>
        </w:tc>
      </w:tr>
    </w:tbl>
    <w:p w:rsidR="006B17F5" w:rsidRPr="00C60AD1" w:rsidRDefault="006B17F5" w:rsidP="00B661DC">
      <w:pPr>
        <w:pStyle w:val="Heading3"/>
        <w:numPr>
          <w:ilvl w:val="0"/>
          <w:numId w:val="0"/>
        </w:numPr>
        <w:tabs>
          <w:tab w:val="clear" w:pos="720"/>
        </w:tabs>
        <w:spacing w:before="0" w:after="240" w:line="240" w:lineRule="auto"/>
        <w:ind w:left="993"/>
        <w:jc w:val="left"/>
      </w:pPr>
    </w:p>
    <w:p w:rsidR="00F70DA9" w:rsidRPr="00C60AD1" w:rsidRDefault="008A1A72" w:rsidP="00C60AD1">
      <w:pPr>
        <w:pStyle w:val="Heading3"/>
        <w:tabs>
          <w:tab w:val="clear" w:pos="720"/>
          <w:tab w:val="num" w:pos="993"/>
        </w:tabs>
        <w:ind w:left="993" w:hanging="993"/>
      </w:pPr>
      <w:r w:rsidRPr="00C60AD1">
        <w:t xml:space="preserve">The Petitioner </w:t>
      </w:r>
      <w:r w:rsidR="004846BA" w:rsidRPr="00C60AD1">
        <w:t xml:space="preserve">submitted that it has calculated the allowable power purchase input at Discom end by grossing up the actual energy sales by the approved distribution loss </w:t>
      </w:r>
      <w:r w:rsidR="00971930" w:rsidRPr="00C60AD1">
        <w:t xml:space="preserve">target or actual Distribution losses, </w:t>
      </w:r>
      <w:r w:rsidR="004846BA" w:rsidRPr="00C60AD1">
        <w:t>whichever is lower. Thereafter, the allowable power purchase input has been multiplied by the Trued</w:t>
      </w:r>
      <w:r w:rsidR="0095029E">
        <w:t xml:space="preserve"> </w:t>
      </w:r>
      <w:r w:rsidR="004846BA" w:rsidRPr="00C60AD1">
        <w:t>up Bulk Supply rate to derive the allowable power purchase cost for FY 201</w:t>
      </w:r>
      <w:r w:rsidR="005F6EFB">
        <w:t>3</w:t>
      </w:r>
      <w:r w:rsidR="004846BA" w:rsidRPr="00C60AD1">
        <w:t>-</w:t>
      </w:r>
      <w:r w:rsidR="005F6EFB">
        <w:t>14</w:t>
      </w:r>
      <w:r w:rsidR="009261EF">
        <w:t xml:space="preserve"> </w:t>
      </w:r>
      <w:r w:rsidR="007320D7" w:rsidRPr="00C60AD1">
        <w:t>as shown in the Table below:</w:t>
      </w:r>
    </w:p>
    <w:p w:rsidR="00971930" w:rsidRPr="00C60AD1" w:rsidRDefault="00971930" w:rsidP="00C60AD1">
      <w:pPr>
        <w:spacing w:before="0"/>
        <w:jc w:val="center"/>
        <w:rPr>
          <w:b/>
          <w:sz w:val="22"/>
          <w:szCs w:val="22"/>
          <w:lang w:val="en-US"/>
        </w:rPr>
      </w:pPr>
    </w:p>
    <w:p w:rsidR="003147B8" w:rsidRPr="00C60AD1" w:rsidRDefault="007320D7" w:rsidP="00C60AD1">
      <w:pPr>
        <w:spacing w:before="0"/>
        <w:jc w:val="center"/>
        <w:rPr>
          <w:b/>
          <w:sz w:val="22"/>
          <w:szCs w:val="22"/>
          <w:lang w:val="en-US"/>
        </w:rPr>
      </w:pPr>
      <w:bookmarkStart w:id="181" w:name="_Toc457355604"/>
      <w:r w:rsidRPr="00C60AD1">
        <w:rPr>
          <w:b/>
          <w:sz w:val="22"/>
          <w:szCs w:val="22"/>
          <w:lang w:val="en-US"/>
        </w:rPr>
        <w:t xml:space="preserve">Table </w:t>
      </w:r>
      <w:r w:rsidR="004A2D9E" w:rsidRPr="00C60AD1">
        <w:rPr>
          <w:b/>
          <w:sz w:val="22"/>
          <w:szCs w:val="22"/>
          <w:lang w:val="en-US"/>
        </w:rPr>
        <w:fldChar w:fldCharType="begin"/>
      </w:r>
      <w:r w:rsidR="00B94C76" w:rsidRPr="00C60AD1">
        <w:rPr>
          <w:b/>
          <w:sz w:val="22"/>
          <w:szCs w:val="22"/>
          <w:lang w:val="en-US"/>
        </w:rPr>
        <w:instrText xml:space="preserve"> STYLEREF 1 \s </w:instrText>
      </w:r>
      <w:r w:rsidR="004A2D9E" w:rsidRPr="00C60AD1">
        <w:rPr>
          <w:b/>
          <w:sz w:val="22"/>
          <w:szCs w:val="22"/>
          <w:lang w:val="en-US"/>
        </w:rPr>
        <w:fldChar w:fldCharType="separate"/>
      </w:r>
      <w:r w:rsidR="0011185B">
        <w:rPr>
          <w:b/>
          <w:noProof/>
          <w:sz w:val="22"/>
          <w:szCs w:val="22"/>
          <w:lang w:val="en-US"/>
        </w:rPr>
        <w:t>4</w:t>
      </w:r>
      <w:r w:rsidR="004A2D9E" w:rsidRPr="00C60AD1">
        <w:rPr>
          <w:b/>
          <w:sz w:val="22"/>
          <w:szCs w:val="22"/>
          <w:lang w:val="en-US"/>
        </w:rPr>
        <w:fldChar w:fldCharType="end"/>
      </w:r>
      <w:r w:rsidRPr="00C60AD1">
        <w:rPr>
          <w:b/>
          <w:sz w:val="22"/>
          <w:szCs w:val="22"/>
          <w:lang w:val="en-US"/>
        </w:rPr>
        <w:noBreakHyphen/>
      </w:r>
      <w:r w:rsidR="004A2D9E" w:rsidRPr="00C60AD1">
        <w:rPr>
          <w:b/>
          <w:sz w:val="22"/>
          <w:szCs w:val="22"/>
          <w:lang w:val="en-US"/>
        </w:rPr>
        <w:fldChar w:fldCharType="begin"/>
      </w:r>
      <w:r w:rsidR="00B94C76" w:rsidRPr="00C60AD1">
        <w:rPr>
          <w:b/>
          <w:sz w:val="22"/>
          <w:szCs w:val="22"/>
          <w:lang w:val="en-US"/>
        </w:rPr>
        <w:instrText xml:space="preserve"> SEQ Table \* ARABIC \s 1 </w:instrText>
      </w:r>
      <w:r w:rsidR="004A2D9E" w:rsidRPr="00C60AD1">
        <w:rPr>
          <w:b/>
          <w:sz w:val="22"/>
          <w:szCs w:val="22"/>
          <w:lang w:val="en-US"/>
        </w:rPr>
        <w:fldChar w:fldCharType="separate"/>
      </w:r>
      <w:r w:rsidR="0011185B">
        <w:rPr>
          <w:b/>
          <w:noProof/>
          <w:sz w:val="22"/>
          <w:szCs w:val="22"/>
          <w:lang w:val="en-US"/>
        </w:rPr>
        <w:t>3</w:t>
      </w:r>
      <w:r w:rsidR="004A2D9E" w:rsidRPr="00C60AD1">
        <w:rPr>
          <w:b/>
          <w:sz w:val="22"/>
          <w:szCs w:val="22"/>
          <w:lang w:val="en-US"/>
        </w:rPr>
        <w:fldChar w:fldCharType="end"/>
      </w:r>
      <w:r w:rsidRPr="00C60AD1">
        <w:rPr>
          <w:b/>
          <w:sz w:val="22"/>
          <w:szCs w:val="22"/>
          <w:lang w:val="en-US"/>
        </w:rPr>
        <w:t>: POWER PURCHASE COST AS COMPUTED BY PETITIONER FOR FY 20</w:t>
      </w:r>
      <w:r w:rsidR="00BF22AB" w:rsidRPr="00C60AD1">
        <w:rPr>
          <w:b/>
          <w:sz w:val="22"/>
          <w:szCs w:val="22"/>
          <w:lang w:val="en-US"/>
        </w:rPr>
        <w:t>1</w:t>
      </w:r>
      <w:r w:rsidR="00A26780">
        <w:rPr>
          <w:b/>
          <w:sz w:val="22"/>
          <w:szCs w:val="22"/>
          <w:lang w:val="en-US"/>
        </w:rPr>
        <w:t>3</w:t>
      </w:r>
      <w:r w:rsidR="00BF22AB" w:rsidRPr="00C60AD1">
        <w:rPr>
          <w:b/>
          <w:sz w:val="22"/>
          <w:szCs w:val="22"/>
          <w:lang w:val="en-US"/>
        </w:rPr>
        <w:t>-1</w:t>
      </w:r>
      <w:r w:rsidR="00A26780">
        <w:rPr>
          <w:b/>
          <w:sz w:val="22"/>
          <w:szCs w:val="22"/>
          <w:lang w:val="en-US"/>
        </w:rPr>
        <w:t>4</w:t>
      </w:r>
      <w:bookmarkEnd w:id="181"/>
    </w:p>
    <w:tbl>
      <w:tblPr>
        <w:tblW w:w="0" w:type="auto"/>
        <w:jc w:val="center"/>
        <w:tblInd w:w="26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098"/>
        <w:gridCol w:w="1262"/>
        <w:gridCol w:w="2498"/>
      </w:tblGrid>
      <w:tr w:rsidR="00DA6A79" w:rsidRPr="00C60AD1" w:rsidTr="009A43DB">
        <w:trPr>
          <w:trHeight w:val="292"/>
          <w:tblHeader/>
          <w:jc w:val="center"/>
        </w:trPr>
        <w:tc>
          <w:tcPr>
            <w:tcW w:w="3098"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Particulars</w:t>
            </w:r>
          </w:p>
        </w:tc>
        <w:tc>
          <w:tcPr>
            <w:tcW w:w="1262"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Unit</w:t>
            </w:r>
          </w:p>
        </w:tc>
        <w:tc>
          <w:tcPr>
            <w:tcW w:w="2498" w:type="dxa"/>
            <w:shd w:val="clear" w:color="auto" w:fill="DBE5F1" w:themeFill="accent1" w:themeFillTint="33"/>
            <w:hideMark/>
          </w:tcPr>
          <w:p w:rsidR="00EF2554" w:rsidRPr="00EF2554" w:rsidRDefault="00027D0D">
            <w:pPr>
              <w:tabs>
                <w:tab w:val="left" w:pos="1260"/>
              </w:tabs>
              <w:spacing w:before="0" w:line="240" w:lineRule="auto"/>
              <w:jc w:val="center"/>
              <w:rPr>
                <w:rFonts w:asciiTheme="minorHAnsi" w:hAnsiTheme="minorHAnsi" w:cstheme="minorHAnsi"/>
                <w:b/>
                <w:sz w:val="22"/>
                <w:szCs w:val="22"/>
              </w:rPr>
            </w:pPr>
            <w:r w:rsidRPr="00027D0D">
              <w:rPr>
                <w:rFonts w:asciiTheme="minorHAnsi" w:hAnsiTheme="minorHAnsi" w:cstheme="minorHAnsi"/>
                <w:b/>
                <w:sz w:val="22"/>
                <w:szCs w:val="22"/>
              </w:rPr>
              <w:t>True-up Petition</w:t>
            </w:r>
          </w:p>
        </w:tc>
      </w:tr>
      <w:tr w:rsidR="006D192F" w:rsidRPr="00C60AD1" w:rsidTr="009A43DB">
        <w:trPr>
          <w:trHeight w:val="300"/>
          <w:jc w:val="center"/>
        </w:trPr>
        <w:tc>
          <w:tcPr>
            <w:tcW w:w="3098" w:type="dxa"/>
            <w:shd w:val="clear" w:color="auto" w:fill="auto"/>
            <w:noWrap/>
            <w:vAlign w:val="center"/>
            <w:hideMark/>
          </w:tcPr>
          <w:p w:rsidR="003267CD" w:rsidRDefault="00027D0D">
            <w:pPr>
              <w:spacing w:before="0" w:line="240" w:lineRule="auto"/>
              <w:jc w:val="left"/>
              <w:rPr>
                <w:rFonts w:asciiTheme="minorHAnsi" w:hAnsiTheme="minorHAnsi" w:cs="Calibri"/>
                <w:sz w:val="22"/>
                <w:lang w:val="en-IN" w:eastAsia="en-IN"/>
              </w:rPr>
            </w:pPr>
            <w:r w:rsidRPr="00027D0D">
              <w:rPr>
                <w:rFonts w:asciiTheme="minorHAnsi" w:hAnsiTheme="minorHAnsi"/>
                <w:sz w:val="22"/>
              </w:rPr>
              <w:t>Power Purchase</w:t>
            </w:r>
          </w:p>
        </w:tc>
        <w:tc>
          <w:tcPr>
            <w:tcW w:w="1262"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MU</w:t>
            </w:r>
          </w:p>
        </w:tc>
        <w:tc>
          <w:tcPr>
            <w:tcW w:w="2498" w:type="dxa"/>
            <w:shd w:val="clear" w:color="auto" w:fill="auto"/>
            <w:hideMark/>
          </w:tcPr>
          <w:p w:rsidR="00EF2554" w:rsidRPr="0000772C" w:rsidRDefault="009A43DB">
            <w:pPr>
              <w:spacing w:before="0" w:line="240" w:lineRule="auto"/>
              <w:jc w:val="right"/>
              <w:rPr>
                <w:rFonts w:asciiTheme="minorHAnsi" w:hAnsiTheme="minorHAnsi"/>
                <w:sz w:val="22"/>
                <w:szCs w:val="22"/>
              </w:rPr>
            </w:pPr>
            <w:r>
              <w:rPr>
                <w:rFonts w:asciiTheme="minorHAnsi" w:hAnsiTheme="minorHAnsi" w:cs="Calibri"/>
                <w:sz w:val="22"/>
                <w:szCs w:val="22"/>
              </w:rPr>
              <w:t>3,554.39</w:t>
            </w:r>
          </w:p>
        </w:tc>
      </w:tr>
      <w:tr w:rsidR="006D192F" w:rsidRPr="00C60AD1" w:rsidTr="009A43DB">
        <w:trPr>
          <w:trHeight w:val="300"/>
          <w:jc w:val="center"/>
        </w:trPr>
        <w:tc>
          <w:tcPr>
            <w:tcW w:w="3098" w:type="dxa"/>
            <w:shd w:val="clear" w:color="auto" w:fill="auto"/>
            <w:noWrap/>
            <w:vAlign w:val="center"/>
            <w:hideMark/>
          </w:tcPr>
          <w:p w:rsidR="003267CD" w:rsidRDefault="00027D0D">
            <w:pPr>
              <w:tabs>
                <w:tab w:val="left" w:pos="1260"/>
              </w:tabs>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Sales</w:t>
            </w:r>
          </w:p>
        </w:tc>
        <w:tc>
          <w:tcPr>
            <w:tcW w:w="1262"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MU</w:t>
            </w:r>
          </w:p>
        </w:tc>
        <w:tc>
          <w:tcPr>
            <w:tcW w:w="2498" w:type="dxa"/>
            <w:shd w:val="clear" w:color="auto" w:fill="auto"/>
            <w:vAlign w:val="center"/>
            <w:hideMark/>
          </w:tcPr>
          <w:p w:rsidR="003267CD" w:rsidRPr="0000772C" w:rsidRDefault="009A43DB">
            <w:pPr>
              <w:spacing w:before="0" w:line="240" w:lineRule="auto"/>
              <w:jc w:val="right"/>
              <w:rPr>
                <w:sz w:val="22"/>
                <w:szCs w:val="22"/>
              </w:rPr>
            </w:pPr>
            <w:r>
              <w:rPr>
                <w:rFonts w:cs="Calibri"/>
                <w:sz w:val="22"/>
                <w:szCs w:val="22"/>
              </w:rPr>
              <w:t>2,458.09</w:t>
            </w:r>
          </w:p>
        </w:tc>
      </w:tr>
      <w:tr w:rsidR="006D192F" w:rsidRPr="00C60AD1" w:rsidTr="009A43DB">
        <w:trPr>
          <w:trHeight w:val="300"/>
          <w:jc w:val="center"/>
        </w:trPr>
        <w:tc>
          <w:tcPr>
            <w:tcW w:w="309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Distribution Loss Target</w:t>
            </w:r>
          </w:p>
        </w:tc>
        <w:tc>
          <w:tcPr>
            <w:tcW w:w="1262"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w:t>
            </w:r>
          </w:p>
        </w:tc>
        <w:tc>
          <w:tcPr>
            <w:tcW w:w="2498" w:type="dxa"/>
            <w:shd w:val="clear" w:color="auto" w:fill="auto"/>
            <w:vAlign w:val="center"/>
            <w:hideMark/>
          </w:tcPr>
          <w:p w:rsidR="003267CD" w:rsidRPr="0000772C" w:rsidRDefault="009A43DB">
            <w:pPr>
              <w:spacing w:before="0" w:line="240" w:lineRule="auto"/>
              <w:jc w:val="right"/>
              <w:rPr>
                <w:sz w:val="22"/>
                <w:szCs w:val="22"/>
              </w:rPr>
            </w:pPr>
            <w:r>
              <w:rPr>
                <w:rFonts w:cs="Calibri"/>
                <w:sz w:val="22"/>
                <w:szCs w:val="22"/>
              </w:rPr>
              <w:t>23.00</w:t>
            </w:r>
          </w:p>
        </w:tc>
      </w:tr>
      <w:tr w:rsidR="006D192F" w:rsidRPr="00C60AD1" w:rsidTr="009A43DB">
        <w:trPr>
          <w:trHeight w:val="300"/>
          <w:jc w:val="center"/>
        </w:trPr>
        <w:tc>
          <w:tcPr>
            <w:tcW w:w="309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Allowable Power Purchase</w:t>
            </w:r>
          </w:p>
        </w:tc>
        <w:tc>
          <w:tcPr>
            <w:tcW w:w="1262" w:type="dxa"/>
            <w:shd w:val="clear" w:color="000000" w:fill="FFFFFF"/>
            <w:vAlign w:val="center"/>
            <w:hideMark/>
          </w:tcPr>
          <w:p w:rsidR="003267CD" w:rsidRPr="0000772C" w:rsidRDefault="007132A6">
            <w:pPr>
              <w:spacing w:before="0" w:line="240" w:lineRule="auto"/>
              <w:jc w:val="center"/>
              <w:rPr>
                <w:rFonts w:cs="Calibri"/>
                <w:sz w:val="22"/>
                <w:szCs w:val="22"/>
                <w:lang w:val="en-IN" w:eastAsia="en-IN"/>
              </w:rPr>
            </w:pPr>
            <w:r w:rsidRPr="007132A6">
              <w:rPr>
                <w:sz w:val="22"/>
                <w:szCs w:val="22"/>
              </w:rPr>
              <w:t>MU</w:t>
            </w:r>
          </w:p>
        </w:tc>
        <w:tc>
          <w:tcPr>
            <w:tcW w:w="2498" w:type="dxa"/>
            <w:shd w:val="clear" w:color="auto" w:fill="auto"/>
            <w:vAlign w:val="center"/>
            <w:hideMark/>
          </w:tcPr>
          <w:p w:rsidR="00EB1479" w:rsidRPr="0000772C" w:rsidRDefault="009A43DB">
            <w:pPr>
              <w:spacing w:before="0" w:line="240" w:lineRule="auto"/>
              <w:jc w:val="right"/>
              <w:rPr>
                <w:sz w:val="22"/>
                <w:szCs w:val="22"/>
              </w:rPr>
            </w:pPr>
            <w:r>
              <w:rPr>
                <w:rFonts w:cs="Calibri"/>
                <w:sz w:val="22"/>
                <w:szCs w:val="22"/>
              </w:rPr>
              <w:t>3,192.33</w:t>
            </w:r>
          </w:p>
        </w:tc>
      </w:tr>
      <w:tr w:rsidR="006D192F" w:rsidRPr="00694C5D" w:rsidTr="009A43DB">
        <w:trPr>
          <w:trHeight w:val="300"/>
          <w:jc w:val="center"/>
        </w:trPr>
        <w:tc>
          <w:tcPr>
            <w:tcW w:w="3098" w:type="dxa"/>
            <w:shd w:val="clear" w:color="auto" w:fill="auto"/>
            <w:noWrap/>
            <w:vAlign w:val="center"/>
            <w:hideMark/>
          </w:tcPr>
          <w:p w:rsidR="003267CD" w:rsidRDefault="00027D0D">
            <w:pPr>
              <w:spacing w:before="0" w:line="240" w:lineRule="auto"/>
              <w:rPr>
                <w:rFonts w:asciiTheme="minorHAnsi" w:hAnsiTheme="minorHAnsi" w:cs="Calibri"/>
                <w:color w:val="000000"/>
                <w:sz w:val="22"/>
                <w:szCs w:val="22"/>
                <w:lang w:val="en-IN" w:eastAsia="en-IN"/>
              </w:rPr>
            </w:pPr>
            <w:r w:rsidRPr="00027D0D">
              <w:rPr>
                <w:rFonts w:asciiTheme="minorHAnsi" w:hAnsiTheme="minorHAnsi"/>
                <w:color w:val="000000"/>
                <w:sz w:val="22"/>
                <w:szCs w:val="22"/>
              </w:rPr>
              <w:t>Trued up Bulk Supply Tariff</w:t>
            </w:r>
          </w:p>
        </w:tc>
        <w:tc>
          <w:tcPr>
            <w:tcW w:w="1262" w:type="dxa"/>
            <w:shd w:val="clear" w:color="000000" w:fill="FFFFFF"/>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sz w:val="22"/>
                <w:szCs w:val="22"/>
              </w:rPr>
              <w:t>Rs / kWh</w:t>
            </w:r>
          </w:p>
        </w:tc>
        <w:tc>
          <w:tcPr>
            <w:tcW w:w="2498" w:type="dxa"/>
            <w:shd w:val="clear" w:color="auto" w:fill="auto"/>
            <w:vAlign w:val="center"/>
            <w:hideMark/>
          </w:tcPr>
          <w:p w:rsidR="003267CD" w:rsidRPr="0000772C" w:rsidRDefault="009A43DB">
            <w:pPr>
              <w:spacing w:before="0" w:line="240" w:lineRule="auto"/>
              <w:jc w:val="right"/>
              <w:rPr>
                <w:rFonts w:asciiTheme="minorHAnsi" w:hAnsiTheme="minorHAnsi"/>
                <w:sz w:val="22"/>
                <w:szCs w:val="22"/>
              </w:rPr>
            </w:pPr>
            <w:r>
              <w:rPr>
                <w:rFonts w:asciiTheme="minorHAnsi" w:hAnsiTheme="minorHAnsi" w:cs="Calibri"/>
                <w:sz w:val="22"/>
                <w:szCs w:val="22"/>
              </w:rPr>
              <w:t>4.16</w:t>
            </w:r>
          </w:p>
        </w:tc>
      </w:tr>
      <w:tr w:rsidR="006D192F" w:rsidRPr="00694C5D" w:rsidTr="009A43DB">
        <w:trPr>
          <w:trHeight w:val="300"/>
          <w:jc w:val="center"/>
        </w:trPr>
        <w:tc>
          <w:tcPr>
            <w:tcW w:w="3098" w:type="dxa"/>
            <w:shd w:val="clear" w:color="auto" w:fill="auto"/>
            <w:noWrap/>
            <w:vAlign w:val="center"/>
            <w:hideMark/>
          </w:tcPr>
          <w:p w:rsidR="003267CD" w:rsidRDefault="00027D0D">
            <w:pPr>
              <w:spacing w:before="0" w:line="240" w:lineRule="auto"/>
              <w:rPr>
                <w:rFonts w:asciiTheme="minorHAnsi" w:hAnsiTheme="minorHAnsi" w:cs="Calibri"/>
                <w:b/>
                <w:bCs/>
                <w:color w:val="000000"/>
                <w:sz w:val="22"/>
                <w:szCs w:val="22"/>
                <w:lang w:val="en-IN" w:eastAsia="en-IN"/>
              </w:rPr>
            </w:pPr>
            <w:r w:rsidRPr="00027D0D">
              <w:rPr>
                <w:rFonts w:asciiTheme="minorHAnsi" w:hAnsiTheme="minorHAnsi"/>
                <w:b/>
                <w:bCs/>
                <w:color w:val="000000"/>
                <w:sz w:val="22"/>
                <w:szCs w:val="22"/>
              </w:rPr>
              <w:t>Allowable Power Purchase Cost</w:t>
            </w:r>
          </w:p>
        </w:tc>
        <w:tc>
          <w:tcPr>
            <w:tcW w:w="1262" w:type="dxa"/>
            <w:shd w:val="clear" w:color="auto" w:fill="auto"/>
            <w:vAlign w:val="center"/>
            <w:hideMark/>
          </w:tcPr>
          <w:p w:rsidR="003267CD" w:rsidRPr="0000772C" w:rsidRDefault="00027D0D">
            <w:pPr>
              <w:spacing w:before="0" w:line="240" w:lineRule="auto"/>
              <w:jc w:val="center"/>
              <w:rPr>
                <w:rFonts w:asciiTheme="minorHAnsi" w:hAnsiTheme="minorHAnsi" w:cs="Calibri"/>
                <w:sz w:val="22"/>
                <w:szCs w:val="22"/>
                <w:lang w:val="en-IN" w:eastAsia="en-IN"/>
              </w:rPr>
            </w:pPr>
            <w:r w:rsidRPr="0000772C">
              <w:rPr>
                <w:rFonts w:asciiTheme="minorHAnsi" w:hAnsiTheme="minorHAnsi"/>
                <w:b/>
                <w:bCs/>
                <w:sz w:val="22"/>
                <w:szCs w:val="22"/>
              </w:rPr>
              <w:t>Rs</w:t>
            </w:r>
            <w:r w:rsidR="00257998">
              <w:rPr>
                <w:rFonts w:asciiTheme="minorHAnsi" w:hAnsiTheme="minorHAnsi"/>
                <w:b/>
                <w:bCs/>
                <w:sz w:val="22"/>
                <w:szCs w:val="22"/>
              </w:rPr>
              <w:t>.</w:t>
            </w:r>
            <w:r w:rsidRPr="0000772C">
              <w:rPr>
                <w:rFonts w:asciiTheme="minorHAnsi" w:hAnsiTheme="minorHAnsi"/>
                <w:b/>
                <w:bCs/>
                <w:sz w:val="22"/>
                <w:szCs w:val="22"/>
              </w:rPr>
              <w:t xml:space="preserve"> Crore</w:t>
            </w:r>
          </w:p>
        </w:tc>
        <w:tc>
          <w:tcPr>
            <w:tcW w:w="2498" w:type="dxa"/>
            <w:shd w:val="clear" w:color="auto" w:fill="auto"/>
            <w:vAlign w:val="center"/>
            <w:hideMark/>
          </w:tcPr>
          <w:p w:rsidR="003267CD" w:rsidRPr="0000772C" w:rsidRDefault="009A43DB">
            <w:pPr>
              <w:spacing w:before="0" w:line="240" w:lineRule="auto"/>
              <w:jc w:val="right"/>
              <w:rPr>
                <w:rFonts w:asciiTheme="minorHAnsi" w:hAnsiTheme="minorHAnsi"/>
                <w:b/>
                <w:bCs/>
                <w:sz w:val="22"/>
                <w:szCs w:val="22"/>
              </w:rPr>
            </w:pPr>
            <w:r>
              <w:rPr>
                <w:rFonts w:asciiTheme="minorHAnsi" w:hAnsiTheme="minorHAnsi" w:cs="Calibri"/>
                <w:b/>
                <w:bCs/>
                <w:sz w:val="22"/>
                <w:szCs w:val="22"/>
              </w:rPr>
              <w:t>1,329.13</w:t>
            </w:r>
          </w:p>
        </w:tc>
      </w:tr>
    </w:tbl>
    <w:p w:rsidR="003267CD" w:rsidRDefault="003267CD">
      <w:pPr>
        <w:pStyle w:val="Heading3"/>
        <w:numPr>
          <w:ilvl w:val="0"/>
          <w:numId w:val="0"/>
        </w:numPr>
        <w:tabs>
          <w:tab w:val="clear" w:pos="720"/>
        </w:tabs>
        <w:spacing w:before="0"/>
        <w:ind w:left="993"/>
        <w:rPr>
          <w:lang w:val="en-IN"/>
        </w:rPr>
      </w:pPr>
    </w:p>
    <w:p w:rsidR="00F70DA9" w:rsidRPr="00C60AD1" w:rsidRDefault="0022393E" w:rsidP="00C60AD1">
      <w:pPr>
        <w:pStyle w:val="Heading3"/>
        <w:tabs>
          <w:tab w:val="clear" w:pos="720"/>
          <w:tab w:val="num" w:pos="993"/>
        </w:tabs>
        <w:ind w:left="993" w:hanging="993"/>
        <w:rPr>
          <w:lang w:val="en-IN"/>
        </w:rPr>
      </w:pPr>
      <w:r w:rsidRPr="00C60AD1">
        <w:t xml:space="preserve">The Commission has been considering Distribution losses as controllable parameter and thereupon the power purchase cost consequent to under-achievement of Distribution loss is disallowed. </w:t>
      </w:r>
      <w:r w:rsidR="00B828DB" w:rsidRPr="00C60AD1">
        <w:t>For t</w:t>
      </w:r>
      <w:r w:rsidRPr="00C60AD1">
        <w:t>ruing up of ARR for FY 201</w:t>
      </w:r>
      <w:r w:rsidR="007230B1">
        <w:t>3</w:t>
      </w:r>
      <w:r w:rsidRPr="00C60AD1">
        <w:t>-1</w:t>
      </w:r>
      <w:r w:rsidR="007230B1">
        <w:t>4</w:t>
      </w:r>
      <w:r w:rsidR="00B828DB" w:rsidRPr="00C60AD1">
        <w:t xml:space="preserve"> the</w:t>
      </w:r>
      <w:r w:rsidR="00B828DB" w:rsidRPr="00C60AD1">
        <w:rPr>
          <w:lang w:val="en-US"/>
        </w:rPr>
        <w:t xml:space="preserve"> allowable power purchase quantum has been computed by grossing up the actual energy sales by the approved </w:t>
      </w:r>
      <w:r w:rsidR="00235101" w:rsidRPr="00C60AD1">
        <w:rPr>
          <w:lang w:val="en-US"/>
        </w:rPr>
        <w:t>d</w:t>
      </w:r>
      <w:r w:rsidR="00B828DB" w:rsidRPr="00C60AD1">
        <w:rPr>
          <w:lang w:val="en-US"/>
        </w:rPr>
        <w:t xml:space="preserve">istribution loss target </w:t>
      </w:r>
      <w:r w:rsidR="00235101" w:rsidRPr="00C60AD1">
        <w:rPr>
          <w:lang w:val="en-US"/>
        </w:rPr>
        <w:t>or a</w:t>
      </w:r>
      <w:r w:rsidR="00B828DB" w:rsidRPr="00C60AD1">
        <w:rPr>
          <w:lang w:val="en-US"/>
        </w:rPr>
        <w:t xml:space="preserve">ctual </w:t>
      </w:r>
      <w:r w:rsidR="00235101" w:rsidRPr="00C60AD1">
        <w:rPr>
          <w:lang w:val="en-US"/>
        </w:rPr>
        <w:t>l</w:t>
      </w:r>
      <w:r w:rsidR="00B828DB" w:rsidRPr="00C60AD1">
        <w:rPr>
          <w:lang w:val="en-US"/>
        </w:rPr>
        <w:t xml:space="preserve">oss </w:t>
      </w:r>
      <w:r w:rsidR="00235101" w:rsidRPr="00C60AD1">
        <w:rPr>
          <w:lang w:val="en-US"/>
        </w:rPr>
        <w:t>l</w:t>
      </w:r>
      <w:r w:rsidR="00B828DB" w:rsidRPr="00C60AD1">
        <w:rPr>
          <w:lang w:val="en-US"/>
        </w:rPr>
        <w:t>evel whichever is lower</w:t>
      </w:r>
      <w:r w:rsidR="00B828DB" w:rsidRPr="00C60AD1">
        <w:rPr>
          <w:lang w:val="en-IN"/>
        </w:rPr>
        <w:t xml:space="preserve">. </w:t>
      </w:r>
      <w:r w:rsidR="00B828DB" w:rsidRPr="00C60AD1">
        <w:rPr>
          <w:lang w:val="en-US"/>
        </w:rPr>
        <w:t xml:space="preserve">The power purchase cost is then computed by considering the allowable power purchase </w:t>
      </w:r>
      <w:r w:rsidR="00B828DB" w:rsidRPr="00C60AD1">
        <w:rPr>
          <w:lang w:val="en-US"/>
        </w:rPr>
        <w:lastRenderedPageBreak/>
        <w:t xml:space="preserve">thus </w:t>
      </w:r>
      <w:r w:rsidR="00235101" w:rsidRPr="00C60AD1">
        <w:rPr>
          <w:lang w:val="en-US"/>
        </w:rPr>
        <w:t xml:space="preserve">derived </w:t>
      </w:r>
      <w:r w:rsidR="00B828DB" w:rsidRPr="00C60AD1">
        <w:rPr>
          <w:lang w:val="en-US"/>
        </w:rPr>
        <w:t>and the bulk supply tariff computed at Discoms periphery which is in line with the approach followed by the Commission in its earlier Orders.</w:t>
      </w:r>
    </w:p>
    <w:p w:rsidR="00023318" w:rsidRDefault="0022393E" w:rsidP="00023318">
      <w:pPr>
        <w:pStyle w:val="Heading3"/>
        <w:tabs>
          <w:tab w:val="clear" w:pos="720"/>
          <w:tab w:val="left" w:pos="993"/>
        </w:tabs>
        <w:spacing w:after="240"/>
        <w:ind w:left="993" w:hanging="993"/>
        <w:rPr>
          <w:lang w:val="en-US"/>
        </w:rPr>
      </w:pPr>
      <w:r w:rsidRPr="00C60AD1">
        <w:rPr>
          <w:lang w:val="en-US"/>
        </w:rPr>
        <w:t xml:space="preserve">Regulation 4.2 (11) of Distribution Tariff Regulations, 2006 specifies as below: </w:t>
      </w:r>
    </w:p>
    <w:p w:rsidR="00C77C0E" w:rsidRPr="00C60AD1" w:rsidRDefault="0022393E" w:rsidP="00C60AD1">
      <w:pPr>
        <w:ind w:left="1440"/>
        <w:rPr>
          <w:i/>
          <w:lang w:val="en-US"/>
        </w:rPr>
      </w:pPr>
      <w:r w:rsidRPr="00C60AD1">
        <w:rPr>
          <w:i/>
          <w:lang w:val="en-US"/>
        </w:rPr>
        <w:t>“4.2 Power Purchase Cost:</w:t>
      </w:r>
    </w:p>
    <w:p w:rsidR="00C77C0E" w:rsidRPr="00C60AD1" w:rsidRDefault="0022393E" w:rsidP="00C60AD1">
      <w:pPr>
        <w:ind w:left="1440"/>
        <w:rPr>
          <w:i/>
        </w:rPr>
      </w:pPr>
      <w:r w:rsidRPr="00C60AD1">
        <w:rPr>
          <w:i/>
          <w:lang w:val="en-US"/>
        </w:rPr>
        <w:t>11. In the regime of Availability Based Tariff (ABT), the cost of power purchase through UI shall be allowed to be passed through in tariff of the subsequent year subject to</w:t>
      </w:r>
      <w:r w:rsidR="00C77C0E" w:rsidRPr="00C60AD1">
        <w:rPr>
          <w:i/>
        </w:rPr>
        <w:t xml:space="preserve"> the following conditions: </w:t>
      </w:r>
    </w:p>
    <w:p w:rsidR="00C77C0E" w:rsidRPr="00C60AD1" w:rsidRDefault="00C77C0E" w:rsidP="00C60AD1">
      <w:pPr>
        <w:ind w:left="1440"/>
        <w:rPr>
          <w:i/>
        </w:rPr>
      </w:pPr>
      <w:r w:rsidRPr="00C60AD1">
        <w:rPr>
          <w:i/>
        </w:rPr>
        <w:t>a) The average rate for power purchased through UI should not exceed the maximum rate for power purchased under the Merit Order of the licensee as approved by the Commission.</w:t>
      </w:r>
    </w:p>
    <w:p w:rsidR="00C77C0E" w:rsidRPr="00C60AD1" w:rsidRDefault="00C77C0E" w:rsidP="00C60AD1">
      <w:pPr>
        <w:ind w:left="1440"/>
        <w:rPr>
          <w:i/>
        </w:rPr>
      </w:pPr>
      <w:r w:rsidRPr="00C60AD1">
        <w:rPr>
          <w:i/>
        </w:rPr>
        <w:t>b) The total cost of electricity units purchased through UI shall be restricted to 10% of total power purchase cost approved by the Commission.</w:t>
      </w:r>
    </w:p>
    <w:p w:rsidR="00C77C0E" w:rsidRPr="00C60AD1" w:rsidRDefault="00C77C0E" w:rsidP="00C60AD1">
      <w:pPr>
        <w:ind w:left="1440"/>
        <w:rPr>
          <w:i/>
        </w:rPr>
      </w:pPr>
      <w:r w:rsidRPr="00C60AD1">
        <w:rPr>
          <w:i/>
        </w:rPr>
        <w:t>Provided that where the average rate for power purchased under UI exceeds the maximum specified rate of power purchase under the Merit Order of the licensee, the cost of such power purchase shall be allowed to be passed through in tariffs of the subsequent year at the maximum rate for power purchase under the Merit Order of the licensee as approved by the Commission whether the ceiling limit of 10% as stated in 11 (b) above has reached or not.“</w:t>
      </w:r>
    </w:p>
    <w:p w:rsidR="003147B8" w:rsidRPr="00C33200" w:rsidRDefault="00C77C0E" w:rsidP="00C60AD1">
      <w:pPr>
        <w:pStyle w:val="Heading3"/>
        <w:tabs>
          <w:tab w:val="clear" w:pos="720"/>
        </w:tabs>
        <w:spacing w:after="240"/>
        <w:ind w:left="993" w:hanging="993"/>
      </w:pPr>
      <w:r w:rsidRPr="00C60AD1">
        <w:t xml:space="preserve">The </w:t>
      </w:r>
      <w:r w:rsidR="006901E8" w:rsidRPr="00275418">
        <w:t>Commission has obtained the rates and energy procured through unscheduled interchange (UI). It has been observed that the Petitioner for FY 2013-14 has sold 398.16 MUs through UI at an average</w:t>
      </w:r>
      <w:r w:rsidR="00DA4D14" w:rsidRPr="00C33200">
        <w:t xml:space="preserve"> rate of Rs. 4.28 per kWh. In view of the above, the Commission has allowed the power sold through UI.</w:t>
      </w:r>
    </w:p>
    <w:p w:rsidR="00F70DA9" w:rsidRPr="009B0CFC" w:rsidRDefault="00C879D1" w:rsidP="00C60AD1">
      <w:pPr>
        <w:pStyle w:val="Heading3"/>
        <w:tabs>
          <w:tab w:val="clear" w:pos="720"/>
          <w:tab w:val="left" w:pos="993"/>
        </w:tabs>
        <w:spacing w:after="240"/>
        <w:ind w:left="993" w:hanging="993"/>
        <w:rPr>
          <w:lang w:val="en-IN"/>
        </w:rPr>
      </w:pPr>
      <w:bookmarkStart w:id="182" w:name="_Toc419623675"/>
      <w:bookmarkStart w:id="183" w:name="_Toc419641604"/>
      <w:bookmarkStart w:id="184" w:name="_Toc420005516"/>
      <w:bookmarkStart w:id="185" w:name="_Toc420016225"/>
      <w:bookmarkStart w:id="186" w:name="_Toc420016269"/>
      <w:bookmarkEnd w:id="182"/>
      <w:bookmarkEnd w:id="183"/>
      <w:bookmarkEnd w:id="184"/>
      <w:bookmarkEnd w:id="185"/>
      <w:bookmarkEnd w:id="186"/>
      <w:r w:rsidRPr="009B0CFC">
        <w:rPr>
          <w:lang w:val="en-US"/>
        </w:rPr>
        <w:t xml:space="preserve">The Petitioner has claimed Rs. </w:t>
      </w:r>
      <w:r w:rsidR="00257998">
        <w:rPr>
          <w:lang w:val="en-US"/>
        </w:rPr>
        <w:t>7.22</w:t>
      </w:r>
      <w:r w:rsidRPr="009B0CFC">
        <w:rPr>
          <w:lang w:val="en-US"/>
        </w:rPr>
        <w:t xml:space="preserve"> Crore towards allocation of O&amp;M Expenses of UPPCL. In reply to the query raised by the Commission regarding computation of arriving at the above mentioned amount of Rs. </w:t>
      </w:r>
      <w:r w:rsidR="00257998">
        <w:rPr>
          <w:lang w:val="en-US"/>
        </w:rPr>
        <w:t>7.22</w:t>
      </w:r>
      <w:r w:rsidRPr="009B0CFC">
        <w:rPr>
          <w:lang w:val="en-US"/>
        </w:rPr>
        <w:t xml:space="preserve"> Crore, the Petitioner submitted the following details:</w:t>
      </w:r>
    </w:p>
    <w:p w:rsidR="00F70DA9" w:rsidRPr="009B0CFC" w:rsidRDefault="00C879D1" w:rsidP="00C60AD1">
      <w:pPr>
        <w:spacing w:before="0" w:line="240" w:lineRule="auto"/>
        <w:jc w:val="center"/>
        <w:rPr>
          <w:rFonts w:cstheme="minorHAnsi"/>
          <w:b/>
        </w:rPr>
      </w:pPr>
      <w:bookmarkStart w:id="187" w:name="_Toc457355605"/>
      <w:r w:rsidRPr="009B0CFC">
        <w:rPr>
          <w:b/>
          <w:sz w:val="22"/>
          <w:szCs w:val="22"/>
          <w:lang w:val="en-US"/>
        </w:rPr>
        <w:t xml:space="preserve">Table </w:t>
      </w:r>
      <w:r w:rsidR="004A2D9E" w:rsidRPr="009B0CFC">
        <w:rPr>
          <w:b/>
          <w:sz w:val="22"/>
          <w:szCs w:val="22"/>
          <w:lang w:val="en-US"/>
        </w:rPr>
        <w:fldChar w:fldCharType="begin"/>
      </w:r>
      <w:r w:rsidR="00B65F83">
        <w:rPr>
          <w:b/>
          <w:sz w:val="22"/>
          <w:szCs w:val="22"/>
          <w:lang w:val="en-US"/>
        </w:rPr>
        <w:instrText xml:space="preserve"> STYLEREF 1 \s </w:instrText>
      </w:r>
      <w:r w:rsidR="004A2D9E" w:rsidRPr="009B0CFC">
        <w:rPr>
          <w:b/>
          <w:sz w:val="22"/>
          <w:szCs w:val="22"/>
          <w:lang w:val="en-US"/>
        </w:rPr>
        <w:fldChar w:fldCharType="separate"/>
      </w:r>
      <w:r w:rsidR="0011185B">
        <w:rPr>
          <w:b/>
          <w:noProof/>
          <w:sz w:val="22"/>
          <w:szCs w:val="22"/>
          <w:lang w:val="en-US"/>
        </w:rPr>
        <w:t>4</w:t>
      </w:r>
      <w:r w:rsidR="004A2D9E" w:rsidRPr="009B0CFC">
        <w:rPr>
          <w:b/>
          <w:sz w:val="22"/>
          <w:szCs w:val="22"/>
          <w:lang w:val="en-US"/>
        </w:rPr>
        <w:fldChar w:fldCharType="end"/>
      </w:r>
      <w:r w:rsidRPr="009B0CFC">
        <w:rPr>
          <w:b/>
          <w:sz w:val="22"/>
          <w:szCs w:val="22"/>
          <w:lang w:val="en-US"/>
        </w:rPr>
        <w:noBreakHyphen/>
      </w:r>
      <w:r w:rsidR="004A2D9E" w:rsidRPr="009B0CFC">
        <w:rPr>
          <w:b/>
          <w:sz w:val="22"/>
          <w:szCs w:val="22"/>
          <w:lang w:val="en-US"/>
        </w:rPr>
        <w:fldChar w:fldCharType="begin"/>
      </w:r>
      <w:r w:rsidR="00B65F83">
        <w:rPr>
          <w:b/>
          <w:sz w:val="22"/>
          <w:szCs w:val="22"/>
          <w:lang w:val="en-US"/>
        </w:rPr>
        <w:instrText xml:space="preserve"> SEQ Table \* ARABIC \s 1 </w:instrText>
      </w:r>
      <w:r w:rsidR="004A2D9E" w:rsidRPr="009B0CFC">
        <w:rPr>
          <w:b/>
          <w:sz w:val="22"/>
          <w:szCs w:val="22"/>
          <w:lang w:val="en-US"/>
        </w:rPr>
        <w:fldChar w:fldCharType="separate"/>
      </w:r>
      <w:r w:rsidR="0011185B">
        <w:rPr>
          <w:b/>
          <w:noProof/>
          <w:sz w:val="22"/>
          <w:szCs w:val="22"/>
          <w:lang w:val="en-US"/>
        </w:rPr>
        <w:t>4</w:t>
      </w:r>
      <w:r w:rsidR="004A2D9E" w:rsidRPr="009B0CFC">
        <w:rPr>
          <w:b/>
          <w:sz w:val="22"/>
          <w:szCs w:val="22"/>
          <w:lang w:val="en-US"/>
        </w:rPr>
        <w:fldChar w:fldCharType="end"/>
      </w:r>
      <w:r w:rsidRPr="009B0CFC">
        <w:rPr>
          <w:b/>
          <w:sz w:val="22"/>
          <w:szCs w:val="22"/>
          <w:lang w:val="en-US"/>
        </w:rPr>
        <w:t>:   COMPUTATION OF O&amp;M EXPENSES OF UPPCL AS SUBMITTED BY PETITIONER FOR FY 201</w:t>
      </w:r>
      <w:r w:rsidR="009B0CFC">
        <w:rPr>
          <w:b/>
          <w:sz w:val="22"/>
          <w:szCs w:val="22"/>
          <w:lang w:val="en-US"/>
        </w:rPr>
        <w:t>3</w:t>
      </w:r>
      <w:r w:rsidRPr="009B0CFC">
        <w:rPr>
          <w:b/>
          <w:sz w:val="22"/>
          <w:szCs w:val="22"/>
          <w:lang w:val="en-US"/>
        </w:rPr>
        <w:t>-1</w:t>
      </w:r>
      <w:r w:rsidR="009B0CFC">
        <w:rPr>
          <w:b/>
          <w:sz w:val="22"/>
          <w:szCs w:val="22"/>
          <w:lang w:val="en-US"/>
        </w:rPr>
        <w:t>4</w:t>
      </w:r>
      <w:r w:rsidR="009A789B">
        <w:rPr>
          <w:b/>
          <w:sz w:val="22"/>
          <w:szCs w:val="22"/>
          <w:lang w:val="en-US"/>
        </w:rPr>
        <w:t xml:space="preserve"> (Rs. Crore)</w:t>
      </w:r>
      <w:bookmarkEnd w:id="187"/>
    </w:p>
    <w:tbl>
      <w:tblPr>
        <w:tblW w:w="5255" w:type="dxa"/>
        <w:jc w:val="center"/>
        <w:tblInd w:w="83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827"/>
        <w:gridCol w:w="1428"/>
      </w:tblGrid>
      <w:tr w:rsidR="00B16EAD" w:rsidRPr="001E51EA" w:rsidTr="00646E80">
        <w:trPr>
          <w:trHeight w:val="450"/>
          <w:tblHeader/>
          <w:jc w:val="center"/>
        </w:trPr>
        <w:tc>
          <w:tcPr>
            <w:tcW w:w="3827" w:type="dxa"/>
            <w:shd w:val="clear" w:color="000000" w:fill="DBE5F1"/>
            <w:hideMark/>
          </w:tcPr>
          <w:p w:rsidR="003267CD" w:rsidRDefault="00027D0D">
            <w:pPr>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1428" w:type="dxa"/>
            <w:shd w:val="clear" w:color="000000" w:fill="DBE5F1"/>
          </w:tcPr>
          <w:p w:rsidR="00023318" w:rsidRDefault="00027D0D" w:rsidP="00023318">
            <w:pPr>
              <w:spacing w:before="0" w:line="240" w:lineRule="auto"/>
              <w:jc w:val="center"/>
              <w:rPr>
                <w:rFonts w:asciiTheme="minorHAnsi" w:hAnsiTheme="minorHAnsi"/>
                <w:b/>
                <w:color w:val="000000"/>
                <w:sz w:val="22"/>
              </w:rPr>
            </w:pPr>
            <w:r w:rsidRPr="00027D0D">
              <w:rPr>
                <w:rFonts w:asciiTheme="minorHAnsi" w:hAnsiTheme="minorHAnsi"/>
                <w:b/>
                <w:color w:val="000000"/>
                <w:sz w:val="22"/>
              </w:rPr>
              <w:t>FY 2013-14</w:t>
            </w:r>
          </w:p>
          <w:p w:rsidR="00023318" w:rsidRDefault="00027D0D" w:rsidP="00023318">
            <w:pPr>
              <w:spacing w:before="0" w:line="240" w:lineRule="auto"/>
              <w:jc w:val="center"/>
              <w:rPr>
                <w:rFonts w:asciiTheme="minorHAnsi" w:hAnsiTheme="minorHAnsi"/>
                <w:b/>
                <w:sz w:val="22"/>
                <w:lang w:val="en-IN" w:eastAsia="en-IN"/>
              </w:rPr>
            </w:pPr>
            <w:r w:rsidRPr="00027D0D">
              <w:rPr>
                <w:rFonts w:asciiTheme="minorHAnsi" w:hAnsiTheme="minorHAnsi"/>
                <w:b/>
                <w:color w:val="000000"/>
                <w:sz w:val="22"/>
              </w:rPr>
              <w:t>(Audited)</w:t>
            </w:r>
          </w:p>
        </w:tc>
      </w:tr>
      <w:tr w:rsidR="00C5622C" w:rsidRPr="001E51EA" w:rsidTr="001E51EA">
        <w:trPr>
          <w:trHeight w:val="412"/>
          <w:jc w:val="center"/>
        </w:trPr>
        <w:tc>
          <w:tcPr>
            <w:tcW w:w="3827" w:type="dxa"/>
            <w:shd w:val="clear" w:color="auto" w:fill="auto"/>
            <w:vAlign w:val="center"/>
            <w:hideMark/>
          </w:tcPr>
          <w:p w:rsidR="003267CD" w:rsidRDefault="00027D0D">
            <w:pPr>
              <w:spacing w:before="0" w:line="240" w:lineRule="auto"/>
              <w:rPr>
                <w:rFonts w:asciiTheme="minorHAnsi" w:hAnsiTheme="minorHAnsi"/>
                <w:sz w:val="22"/>
                <w:lang w:val="en-IN"/>
              </w:rPr>
            </w:pPr>
            <w:r w:rsidRPr="00027D0D">
              <w:rPr>
                <w:rFonts w:asciiTheme="minorHAnsi" w:hAnsiTheme="minorHAnsi"/>
                <w:sz w:val="22"/>
              </w:rPr>
              <w:t>Employee Benefit Expenses</w:t>
            </w:r>
          </w:p>
        </w:tc>
        <w:tc>
          <w:tcPr>
            <w:tcW w:w="1428" w:type="dxa"/>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138.48</w:t>
            </w:r>
          </w:p>
        </w:tc>
      </w:tr>
      <w:tr w:rsidR="00C5622C" w:rsidRPr="001E51EA" w:rsidTr="001E51EA">
        <w:trPr>
          <w:trHeight w:val="300"/>
          <w:jc w:val="center"/>
        </w:trPr>
        <w:tc>
          <w:tcPr>
            <w:tcW w:w="3827" w:type="dxa"/>
            <w:shd w:val="clear" w:color="auto" w:fill="auto"/>
            <w:vAlign w:val="center"/>
            <w:hideMark/>
          </w:tcPr>
          <w:p w:rsidR="003267CD" w:rsidRDefault="00027D0D">
            <w:pPr>
              <w:spacing w:before="0" w:line="240" w:lineRule="auto"/>
              <w:rPr>
                <w:rFonts w:asciiTheme="minorHAnsi" w:hAnsiTheme="minorHAnsi"/>
                <w:sz w:val="22"/>
              </w:rPr>
            </w:pPr>
            <w:r w:rsidRPr="00027D0D">
              <w:rPr>
                <w:rFonts w:asciiTheme="minorHAnsi" w:hAnsiTheme="minorHAnsi"/>
                <w:sz w:val="22"/>
              </w:rPr>
              <w:t>Administrative, General and Other Expenses</w:t>
            </w:r>
          </w:p>
        </w:tc>
        <w:tc>
          <w:tcPr>
            <w:tcW w:w="1428" w:type="dxa"/>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19.23</w:t>
            </w:r>
          </w:p>
        </w:tc>
      </w:tr>
      <w:tr w:rsidR="00C5622C" w:rsidRPr="001E51EA" w:rsidTr="001E51EA">
        <w:trPr>
          <w:trHeight w:val="300"/>
          <w:jc w:val="center"/>
        </w:trPr>
        <w:tc>
          <w:tcPr>
            <w:tcW w:w="3827" w:type="dxa"/>
            <w:shd w:val="clear" w:color="auto" w:fill="auto"/>
            <w:vAlign w:val="center"/>
            <w:hideMark/>
          </w:tcPr>
          <w:p w:rsidR="003267CD" w:rsidRDefault="00027D0D">
            <w:pPr>
              <w:spacing w:before="0" w:line="240" w:lineRule="auto"/>
              <w:rPr>
                <w:rFonts w:asciiTheme="minorHAnsi" w:hAnsiTheme="minorHAnsi"/>
                <w:b/>
                <w:sz w:val="22"/>
              </w:rPr>
            </w:pPr>
            <w:r w:rsidRPr="00027D0D">
              <w:rPr>
                <w:rFonts w:asciiTheme="minorHAnsi" w:hAnsiTheme="minorHAnsi"/>
                <w:b/>
                <w:sz w:val="22"/>
              </w:rPr>
              <w:lastRenderedPageBreak/>
              <w:t>Total O&amp;M Expenses</w:t>
            </w:r>
          </w:p>
        </w:tc>
        <w:tc>
          <w:tcPr>
            <w:tcW w:w="1428" w:type="dxa"/>
            <w:vAlign w:val="center"/>
          </w:tcPr>
          <w:p w:rsidR="003267CD" w:rsidRDefault="00027D0D">
            <w:pPr>
              <w:spacing w:before="0" w:line="240" w:lineRule="auto"/>
              <w:jc w:val="right"/>
              <w:rPr>
                <w:rFonts w:asciiTheme="minorHAnsi" w:hAnsiTheme="minorHAnsi"/>
                <w:b/>
                <w:sz w:val="22"/>
              </w:rPr>
            </w:pPr>
            <w:r w:rsidRPr="00027D0D">
              <w:rPr>
                <w:rFonts w:asciiTheme="minorHAnsi" w:hAnsiTheme="minorHAnsi"/>
                <w:b/>
                <w:sz w:val="22"/>
              </w:rPr>
              <w:t>157.71</w:t>
            </w:r>
          </w:p>
        </w:tc>
      </w:tr>
    </w:tbl>
    <w:p w:rsidR="00EF2554" w:rsidRDefault="00EF2554">
      <w:pPr>
        <w:spacing w:before="0"/>
        <w:jc w:val="center"/>
        <w:rPr>
          <w:b/>
          <w:sz w:val="22"/>
          <w:szCs w:val="22"/>
          <w:lang w:val="en-US"/>
        </w:rPr>
      </w:pPr>
    </w:p>
    <w:p w:rsidR="003A3BA4" w:rsidRDefault="00B65F83">
      <w:pPr>
        <w:spacing w:before="0"/>
        <w:jc w:val="center"/>
        <w:rPr>
          <w:b/>
          <w:sz w:val="22"/>
          <w:szCs w:val="22"/>
          <w:lang w:val="en-US"/>
        </w:rPr>
      </w:pPr>
      <w:bookmarkStart w:id="188" w:name="_Toc457355606"/>
      <w:r>
        <w:rPr>
          <w:b/>
          <w:sz w:val="22"/>
          <w:szCs w:val="22"/>
          <w:lang w:val="en-US"/>
        </w:rPr>
        <w:t xml:space="preserve">Table </w:t>
      </w:r>
      <w:r w:rsidR="004A2D9E" w:rsidRPr="009B0CFC">
        <w:rPr>
          <w:b/>
          <w:sz w:val="22"/>
          <w:szCs w:val="22"/>
          <w:lang w:val="en-US"/>
        </w:rPr>
        <w:fldChar w:fldCharType="begin"/>
      </w:r>
      <w:r>
        <w:rPr>
          <w:b/>
          <w:sz w:val="22"/>
          <w:szCs w:val="22"/>
          <w:lang w:val="en-US"/>
        </w:rPr>
        <w:instrText xml:space="preserve"> STYLEREF 1 \s </w:instrText>
      </w:r>
      <w:r w:rsidR="004A2D9E" w:rsidRPr="009B0CFC">
        <w:rPr>
          <w:b/>
          <w:sz w:val="22"/>
          <w:szCs w:val="22"/>
          <w:lang w:val="en-US"/>
        </w:rPr>
        <w:fldChar w:fldCharType="separate"/>
      </w:r>
      <w:r w:rsidR="0011185B">
        <w:rPr>
          <w:b/>
          <w:noProof/>
          <w:sz w:val="22"/>
          <w:szCs w:val="22"/>
          <w:lang w:val="en-US"/>
        </w:rPr>
        <w:t>4</w:t>
      </w:r>
      <w:r w:rsidR="004A2D9E" w:rsidRPr="009B0CFC">
        <w:rPr>
          <w:b/>
          <w:sz w:val="22"/>
          <w:szCs w:val="22"/>
          <w:lang w:val="en-US"/>
        </w:rPr>
        <w:fldChar w:fldCharType="end"/>
      </w:r>
      <w:r w:rsidR="00B16EAD" w:rsidRPr="009B0CFC">
        <w:rPr>
          <w:b/>
          <w:sz w:val="22"/>
          <w:szCs w:val="22"/>
          <w:lang w:val="en-US"/>
        </w:rPr>
        <w:noBreakHyphen/>
      </w:r>
      <w:r w:rsidR="004A2D9E" w:rsidRPr="009B0CFC">
        <w:rPr>
          <w:b/>
          <w:sz w:val="22"/>
          <w:szCs w:val="22"/>
          <w:lang w:val="en-US"/>
        </w:rPr>
        <w:fldChar w:fldCharType="begin"/>
      </w:r>
      <w:r>
        <w:rPr>
          <w:b/>
          <w:sz w:val="22"/>
          <w:szCs w:val="22"/>
          <w:lang w:val="en-US"/>
        </w:rPr>
        <w:instrText xml:space="preserve"> SEQ Table \* ARABIC \s 1 </w:instrText>
      </w:r>
      <w:r w:rsidR="004A2D9E" w:rsidRPr="009B0CFC">
        <w:rPr>
          <w:b/>
          <w:sz w:val="22"/>
          <w:szCs w:val="22"/>
          <w:lang w:val="en-US"/>
        </w:rPr>
        <w:fldChar w:fldCharType="separate"/>
      </w:r>
      <w:r w:rsidR="0011185B">
        <w:rPr>
          <w:b/>
          <w:noProof/>
          <w:sz w:val="22"/>
          <w:szCs w:val="22"/>
          <w:lang w:val="en-US"/>
        </w:rPr>
        <w:t>5</w:t>
      </w:r>
      <w:r w:rsidR="004A2D9E" w:rsidRPr="009B0CFC">
        <w:rPr>
          <w:b/>
          <w:sz w:val="22"/>
          <w:szCs w:val="22"/>
          <w:lang w:val="en-US"/>
        </w:rPr>
        <w:fldChar w:fldCharType="end"/>
      </w:r>
      <w:r w:rsidR="00B16EAD" w:rsidRPr="009B0CFC">
        <w:rPr>
          <w:b/>
          <w:sz w:val="22"/>
          <w:szCs w:val="22"/>
          <w:lang w:val="en-US"/>
        </w:rPr>
        <w:t xml:space="preserve">: </w:t>
      </w:r>
      <w:r w:rsidR="00C879D1" w:rsidRPr="009B0CFC">
        <w:rPr>
          <w:b/>
          <w:sz w:val="22"/>
          <w:szCs w:val="22"/>
          <w:lang w:val="en-US"/>
        </w:rPr>
        <w:t>ALLOCATION OF O&amp;M EXPENSES IN THE RATIO OF INPUT ENERGY AS SUBMITTED BY PETITIONER FOR FY 201</w:t>
      </w:r>
      <w:r w:rsidR="00C5622C">
        <w:rPr>
          <w:b/>
          <w:sz w:val="22"/>
          <w:szCs w:val="22"/>
          <w:lang w:val="en-US"/>
        </w:rPr>
        <w:t>3</w:t>
      </w:r>
      <w:r w:rsidR="00C879D1" w:rsidRPr="009B0CFC">
        <w:rPr>
          <w:b/>
          <w:sz w:val="22"/>
          <w:szCs w:val="22"/>
          <w:lang w:val="en-US"/>
        </w:rPr>
        <w:t>-1</w:t>
      </w:r>
      <w:r w:rsidR="00C5622C">
        <w:rPr>
          <w:b/>
          <w:sz w:val="22"/>
          <w:szCs w:val="22"/>
          <w:lang w:val="en-US"/>
        </w:rPr>
        <w:t>4</w:t>
      </w:r>
      <w:bookmarkEnd w:id="188"/>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83"/>
        <w:gridCol w:w="1133"/>
        <w:gridCol w:w="1132"/>
        <w:gridCol w:w="1132"/>
        <w:gridCol w:w="1132"/>
        <w:gridCol w:w="1014"/>
        <w:gridCol w:w="921"/>
        <w:gridCol w:w="1168"/>
      </w:tblGrid>
      <w:tr w:rsidR="004F2C5E" w:rsidRPr="00895929" w:rsidTr="00B34A5D">
        <w:trPr>
          <w:trHeight w:val="489"/>
          <w:tblHeader/>
          <w:jc w:val="center"/>
        </w:trPr>
        <w:tc>
          <w:tcPr>
            <w:tcW w:w="989"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Particulars</w:t>
            </w:r>
          </w:p>
        </w:tc>
        <w:tc>
          <w:tcPr>
            <w:tcW w:w="595"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DVVNL</w:t>
            </w:r>
          </w:p>
        </w:tc>
        <w:tc>
          <w:tcPr>
            <w:tcW w:w="595"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MVVNL</w:t>
            </w:r>
          </w:p>
        </w:tc>
        <w:tc>
          <w:tcPr>
            <w:tcW w:w="595"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PVVNL</w:t>
            </w:r>
          </w:p>
        </w:tc>
        <w:tc>
          <w:tcPr>
            <w:tcW w:w="595"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PuVVNL</w:t>
            </w:r>
          </w:p>
        </w:tc>
        <w:tc>
          <w:tcPr>
            <w:tcW w:w="533"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KESCO</w:t>
            </w:r>
          </w:p>
        </w:tc>
        <w:tc>
          <w:tcPr>
            <w:tcW w:w="484"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NPCL</w:t>
            </w:r>
          </w:p>
        </w:tc>
        <w:tc>
          <w:tcPr>
            <w:tcW w:w="614" w:type="pct"/>
            <w:shd w:val="clear" w:color="auto" w:fill="DBE5F1" w:themeFill="accent1" w:themeFillTint="33"/>
            <w:hideMark/>
          </w:tcPr>
          <w:p w:rsidR="00B05011" w:rsidRDefault="00027D0D">
            <w:pPr>
              <w:spacing w:before="0" w:line="240" w:lineRule="auto"/>
              <w:jc w:val="center"/>
              <w:rPr>
                <w:rFonts w:asciiTheme="minorHAnsi" w:hAnsiTheme="minorHAnsi"/>
                <w:b/>
                <w:sz w:val="22"/>
                <w:szCs w:val="22"/>
                <w:lang w:val="en-IN" w:eastAsia="en-IN"/>
              </w:rPr>
            </w:pPr>
            <w:r w:rsidRPr="00027D0D">
              <w:rPr>
                <w:rFonts w:asciiTheme="minorHAnsi" w:hAnsiTheme="minorHAnsi"/>
                <w:b/>
                <w:sz w:val="22"/>
                <w:szCs w:val="22"/>
                <w:lang w:val="en-IN" w:eastAsia="en-IN"/>
              </w:rPr>
              <w:t>Total</w:t>
            </w:r>
          </w:p>
        </w:tc>
      </w:tr>
      <w:tr w:rsidR="004F2C5E" w:rsidRPr="00895929" w:rsidTr="00694C5D">
        <w:trPr>
          <w:trHeight w:val="489"/>
          <w:jc w:val="center"/>
        </w:trPr>
        <w:tc>
          <w:tcPr>
            <w:tcW w:w="989" w:type="pct"/>
            <w:shd w:val="clear" w:color="auto" w:fill="auto"/>
            <w:noWrap/>
            <w:vAlign w:val="center"/>
            <w:hideMark/>
          </w:tcPr>
          <w:p w:rsidR="00B05011"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Input energy (MU)</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18,436.63</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14,252.93</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24,098.90</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16,928.91</w:t>
            </w:r>
          </w:p>
        </w:tc>
        <w:tc>
          <w:tcPr>
            <w:tcW w:w="533"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3,554.39</w:t>
            </w:r>
          </w:p>
        </w:tc>
        <w:tc>
          <w:tcPr>
            <w:tcW w:w="484"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314.36</w:t>
            </w:r>
          </w:p>
        </w:tc>
        <w:tc>
          <w:tcPr>
            <w:tcW w:w="614"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color w:val="000000"/>
                <w:sz w:val="22"/>
                <w:lang w:val="en-IN" w:eastAsia="en-IN"/>
              </w:rPr>
              <w:t>77,586.12</w:t>
            </w:r>
          </w:p>
        </w:tc>
      </w:tr>
      <w:tr w:rsidR="004F2C5E" w:rsidRPr="00895929" w:rsidTr="00694C5D">
        <w:trPr>
          <w:trHeight w:val="353"/>
          <w:jc w:val="center"/>
        </w:trPr>
        <w:tc>
          <w:tcPr>
            <w:tcW w:w="4386" w:type="pct"/>
            <w:gridSpan w:val="7"/>
            <w:shd w:val="clear" w:color="auto" w:fill="auto"/>
            <w:noWrap/>
            <w:vAlign w:val="center"/>
            <w:hideMark/>
          </w:tcPr>
          <w:p w:rsidR="00B05011"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Total O&amp;M Expenses – UPPCL as per audited account of FY 2013-14</w:t>
            </w:r>
            <w:r w:rsidR="009A789B">
              <w:rPr>
                <w:rFonts w:asciiTheme="minorHAnsi" w:hAnsiTheme="minorHAnsi"/>
                <w:sz w:val="22"/>
                <w:lang w:val="en-IN" w:eastAsia="en-IN"/>
              </w:rPr>
              <w:t xml:space="preserve"> (Rs. Crore)</w:t>
            </w:r>
          </w:p>
        </w:tc>
        <w:tc>
          <w:tcPr>
            <w:tcW w:w="614"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157.71</w:t>
            </w:r>
          </w:p>
        </w:tc>
      </w:tr>
      <w:tr w:rsidR="004F2C5E" w:rsidRPr="00895929" w:rsidTr="00694C5D">
        <w:trPr>
          <w:trHeight w:val="489"/>
          <w:jc w:val="center"/>
        </w:trPr>
        <w:tc>
          <w:tcPr>
            <w:tcW w:w="989" w:type="pct"/>
            <w:shd w:val="clear" w:color="auto" w:fill="auto"/>
            <w:noWrap/>
            <w:vAlign w:val="center"/>
            <w:hideMark/>
          </w:tcPr>
          <w:p w:rsidR="00B05011" w:rsidRDefault="00027D0D">
            <w:pPr>
              <w:spacing w:before="0" w:line="240" w:lineRule="auto"/>
              <w:rPr>
                <w:rFonts w:asciiTheme="minorHAnsi" w:hAnsiTheme="minorHAnsi"/>
                <w:sz w:val="22"/>
                <w:lang w:val="en-IN" w:eastAsia="en-IN"/>
              </w:rPr>
            </w:pPr>
            <w:r w:rsidRPr="00027D0D">
              <w:rPr>
                <w:rFonts w:asciiTheme="minorHAnsi" w:hAnsiTheme="minorHAnsi"/>
                <w:sz w:val="22"/>
                <w:lang w:val="en-IN" w:eastAsia="en-IN"/>
              </w:rPr>
              <w:t>Allocation of O&amp;M</w:t>
            </w:r>
          </w:p>
          <w:p w:rsidR="00513A19" w:rsidRDefault="00513A19">
            <w:pPr>
              <w:spacing w:before="0" w:line="240" w:lineRule="auto"/>
              <w:rPr>
                <w:rFonts w:asciiTheme="minorHAnsi" w:hAnsiTheme="minorHAnsi"/>
                <w:sz w:val="22"/>
                <w:lang w:val="en-IN" w:eastAsia="en-IN"/>
              </w:rPr>
            </w:pPr>
            <w:r>
              <w:rPr>
                <w:rFonts w:asciiTheme="minorHAnsi" w:hAnsiTheme="minorHAnsi"/>
                <w:sz w:val="22"/>
                <w:lang w:val="en-IN" w:eastAsia="en-IN"/>
              </w:rPr>
              <w:t>(Rs. Crore)</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37.48</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28.97</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48.98</w:t>
            </w:r>
          </w:p>
        </w:tc>
        <w:tc>
          <w:tcPr>
            <w:tcW w:w="595"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34.41</w:t>
            </w:r>
          </w:p>
        </w:tc>
        <w:tc>
          <w:tcPr>
            <w:tcW w:w="533"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7.22</w:t>
            </w:r>
          </w:p>
        </w:tc>
        <w:tc>
          <w:tcPr>
            <w:tcW w:w="484"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0.64</w:t>
            </w:r>
          </w:p>
        </w:tc>
        <w:tc>
          <w:tcPr>
            <w:tcW w:w="614" w:type="pct"/>
            <w:shd w:val="clear" w:color="auto" w:fill="auto"/>
            <w:noWrap/>
            <w:vAlign w:val="center"/>
            <w:hideMark/>
          </w:tcPr>
          <w:p w:rsidR="00B05011" w:rsidRDefault="00027D0D">
            <w:pPr>
              <w:spacing w:before="0" w:line="240" w:lineRule="auto"/>
              <w:jc w:val="right"/>
              <w:rPr>
                <w:rFonts w:asciiTheme="minorHAnsi" w:hAnsiTheme="minorHAnsi"/>
                <w:sz w:val="22"/>
                <w:lang w:val="en-IN" w:eastAsia="en-IN"/>
              </w:rPr>
            </w:pPr>
            <w:r w:rsidRPr="00027D0D">
              <w:rPr>
                <w:rFonts w:asciiTheme="minorHAnsi" w:hAnsiTheme="minorHAnsi"/>
                <w:bCs/>
                <w:color w:val="000000"/>
                <w:sz w:val="22"/>
                <w:lang w:val="en-IN" w:eastAsia="en-IN"/>
              </w:rPr>
              <w:t>157.71</w:t>
            </w:r>
          </w:p>
        </w:tc>
      </w:tr>
    </w:tbl>
    <w:p w:rsidR="007B43DD" w:rsidRDefault="007B43DD">
      <w:pPr>
        <w:spacing w:before="0"/>
        <w:rPr>
          <w:rFonts w:cstheme="minorHAnsi"/>
          <w:b/>
        </w:rPr>
      </w:pPr>
    </w:p>
    <w:p w:rsidR="0024084F" w:rsidRPr="003C5651" w:rsidRDefault="008B0C65" w:rsidP="00C60AD1">
      <w:pPr>
        <w:pStyle w:val="Heading3"/>
        <w:tabs>
          <w:tab w:val="clear" w:pos="720"/>
        </w:tabs>
        <w:spacing w:after="240"/>
        <w:ind w:left="993" w:hanging="993"/>
      </w:pPr>
      <w:bookmarkStart w:id="189" w:name="_Toc419623678"/>
      <w:bookmarkStart w:id="190" w:name="_Toc419641606"/>
      <w:bookmarkStart w:id="191" w:name="_Toc420005518"/>
      <w:bookmarkStart w:id="192" w:name="_Toc420016227"/>
      <w:bookmarkStart w:id="193" w:name="_Toc420016271"/>
      <w:bookmarkStart w:id="194" w:name="_Toc420196305"/>
      <w:bookmarkStart w:id="195" w:name="_Toc420196387"/>
      <w:bookmarkStart w:id="196" w:name="_Toc420197557"/>
      <w:bookmarkStart w:id="197" w:name="_Ref419628155"/>
      <w:bookmarkStart w:id="198" w:name="_Ref396208734"/>
      <w:bookmarkEnd w:id="189"/>
      <w:bookmarkEnd w:id="190"/>
      <w:bookmarkEnd w:id="191"/>
      <w:bookmarkEnd w:id="192"/>
      <w:bookmarkEnd w:id="193"/>
      <w:bookmarkEnd w:id="194"/>
      <w:bookmarkEnd w:id="195"/>
      <w:bookmarkEnd w:id="196"/>
      <w:r w:rsidRPr="008B0C65">
        <w:t xml:space="preserve">The Commission has verified the above amount from the Audited Accounts of UPPCL and has allowed such expenses based on actual for FY 2013-14. As the above expenses have been incurred by UPPCL, which is mostly for procuring the power for the Discoms, the above expenses for the purpose of Truing up has been considered as a part of Bulk Supply Tariff. It may further be noted that the procurement of power is the responsibility of the Distribution Licensee for which the Commission allows considerable amount of O&amp;M Expenses and interest on working capital to the Licensee. The Commission has allowed such expenses </w:t>
      </w:r>
      <w:r w:rsidRPr="008B0C65">
        <w:rPr>
          <w:lang w:val="en-US"/>
        </w:rPr>
        <w:t xml:space="preserve">during Truing-up of FY 2008-09 to FY 2011-12. </w:t>
      </w:r>
      <w:r w:rsidRPr="008B0C65">
        <w:t>However, in the Order dated October 1, 2014, the Commission has directed the Licensee that from FY 2014-15 onwards it should manage such O&amp;M Expenses for procuring the power from the O&amp;M Expenses allowed to it.</w:t>
      </w:r>
      <w:bookmarkEnd w:id="197"/>
    </w:p>
    <w:bookmarkEnd w:id="198"/>
    <w:p w:rsidR="003147B8" w:rsidRPr="00C60AD1" w:rsidRDefault="007320D7" w:rsidP="00C60AD1">
      <w:pPr>
        <w:pStyle w:val="Heading3"/>
        <w:tabs>
          <w:tab w:val="clear" w:pos="720"/>
        </w:tabs>
        <w:spacing w:after="240"/>
        <w:ind w:left="993" w:hanging="993"/>
      </w:pPr>
      <w:r w:rsidRPr="00C60AD1">
        <w:t>The Table below summarises the energy balance, power purchase quantum and cost submitted by the Petitioner and as approved by the Commission at UPPCL level and the Bulk Supply Tariff for FY 20</w:t>
      </w:r>
      <w:r w:rsidR="00445A66" w:rsidRPr="00C60AD1">
        <w:t>1</w:t>
      </w:r>
      <w:r w:rsidR="00553545">
        <w:t>3</w:t>
      </w:r>
      <w:r w:rsidR="00445A66" w:rsidRPr="00C60AD1">
        <w:t>-1</w:t>
      </w:r>
      <w:r w:rsidR="00FA1020">
        <w:t>4</w:t>
      </w:r>
      <w:r w:rsidRPr="00C60AD1">
        <w:t xml:space="preserve">: </w:t>
      </w:r>
    </w:p>
    <w:p w:rsidR="00D3623B" w:rsidRPr="00C60AD1" w:rsidRDefault="00D3623B" w:rsidP="00C60AD1">
      <w:pPr>
        <w:spacing w:before="0" w:line="240" w:lineRule="auto"/>
        <w:jc w:val="left"/>
        <w:rPr>
          <w:b/>
          <w:sz w:val="22"/>
          <w:szCs w:val="22"/>
          <w:lang w:val="en-US"/>
        </w:rPr>
      </w:pPr>
    </w:p>
    <w:p w:rsidR="006042EA" w:rsidRPr="00C60AD1" w:rsidRDefault="006042EA" w:rsidP="00C60AD1">
      <w:pPr>
        <w:spacing w:before="0" w:line="240" w:lineRule="auto"/>
        <w:jc w:val="left"/>
        <w:rPr>
          <w:b/>
          <w:sz w:val="22"/>
          <w:szCs w:val="22"/>
          <w:lang w:val="en-US"/>
        </w:rPr>
      </w:pPr>
      <w:r w:rsidRPr="00C60AD1">
        <w:rPr>
          <w:b/>
          <w:sz w:val="22"/>
          <w:szCs w:val="22"/>
          <w:lang w:val="en-US"/>
        </w:rPr>
        <w:br w:type="page"/>
      </w:r>
    </w:p>
    <w:p w:rsidR="003147B8" w:rsidRPr="00C60AD1" w:rsidRDefault="007320D7" w:rsidP="00C60AD1">
      <w:pPr>
        <w:spacing w:before="0"/>
        <w:jc w:val="center"/>
        <w:rPr>
          <w:b/>
          <w:sz w:val="22"/>
          <w:szCs w:val="22"/>
          <w:lang w:val="en-US"/>
        </w:rPr>
      </w:pPr>
      <w:bookmarkStart w:id="199" w:name="_Toc457355607"/>
      <w:r w:rsidRPr="00C60AD1">
        <w:rPr>
          <w:b/>
          <w:sz w:val="22"/>
          <w:szCs w:val="22"/>
          <w:lang w:val="en-US"/>
        </w:rPr>
        <w:lastRenderedPageBreak/>
        <w:t xml:space="preserve">Table </w:t>
      </w:r>
      <w:r w:rsidR="004A2D9E" w:rsidRPr="00C60AD1">
        <w:rPr>
          <w:b/>
          <w:sz w:val="22"/>
          <w:szCs w:val="22"/>
          <w:lang w:val="en-US"/>
        </w:rPr>
        <w:fldChar w:fldCharType="begin"/>
      </w:r>
      <w:r w:rsidRPr="00C60AD1">
        <w:rPr>
          <w:b/>
          <w:sz w:val="22"/>
          <w:szCs w:val="22"/>
          <w:lang w:val="en-US"/>
        </w:rPr>
        <w:instrText xml:space="preserve"> STYLEREF 1 \s </w:instrText>
      </w:r>
      <w:r w:rsidR="004A2D9E" w:rsidRPr="00C60AD1">
        <w:rPr>
          <w:b/>
          <w:sz w:val="22"/>
          <w:szCs w:val="22"/>
          <w:lang w:val="en-US"/>
        </w:rPr>
        <w:fldChar w:fldCharType="separate"/>
      </w:r>
      <w:r w:rsidR="0011185B">
        <w:rPr>
          <w:b/>
          <w:noProof/>
          <w:sz w:val="22"/>
          <w:szCs w:val="22"/>
          <w:lang w:val="en-US"/>
        </w:rPr>
        <w:t>4</w:t>
      </w:r>
      <w:r w:rsidR="004A2D9E" w:rsidRPr="00C60AD1">
        <w:rPr>
          <w:b/>
          <w:sz w:val="22"/>
          <w:szCs w:val="22"/>
          <w:lang w:val="en-US"/>
        </w:rPr>
        <w:fldChar w:fldCharType="end"/>
      </w:r>
      <w:r w:rsidRPr="00C60AD1">
        <w:rPr>
          <w:b/>
          <w:sz w:val="22"/>
          <w:szCs w:val="22"/>
          <w:lang w:val="en-US"/>
        </w:rPr>
        <w:noBreakHyphen/>
      </w:r>
      <w:r w:rsidR="004A2D9E" w:rsidRPr="00C60AD1">
        <w:rPr>
          <w:b/>
          <w:sz w:val="22"/>
          <w:szCs w:val="22"/>
          <w:lang w:val="en-US"/>
        </w:rPr>
        <w:fldChar w:fldCharType="begin"/>
      </w:r>
      <w:r w:rsidRPr="00C60AD1">
        <w:rPr>
          <w:b/>
          <w:sz w:val="22"/>
          <w:szCs w:val="22"/>
          <w:lang w:val="en-US"/>
        </w:rPr>
        <w:instrText xml:space="preserve"> SEQ Table \* ARABIC \s 1 </w:instrText>
      </w:r>
      <w:r w:rsidR="004A2D9E" w:rsidRPr="00C60AD1">
        <w:rPr>
          <w:b/>
          <w:sz w:val="22"/>
          <w:szCs w:val="22"/>
          <w:lang w:val="en-US"/>
        </w:rPr>
        <w:fldChar w:fldCharType="separate"/>
      </w:r>
      <w:r w:rsidR="0011185B">
        <w:rPr>
          <w:b/>
          <w:noProof/>
          <w:sz w:val="22"/>
          <w:szCs w:val="22"/>
          <w:lang w:val="en-US"/>
        </w:rPr>
        <w:t>6</w:t>
      </w:r>
      <w:r w:rsidR="004A2D9E" w:rsidRPr="00C60AD1">
        <w:rPr>
          <w:b/>
          <w:sz w:val="22"/>
          <w:szCs w:val="22"/>
          <w:lang w:val="en-US"/>
        </w:rPr>
        <w:fldChar w:fldCharType="end"/>
      </w:r>
      <w:r w:rsidRPr="00C60AD1">
        <w:rPr>
          <w:b/>
          <w:sz w:val="22"/>
          <w:szCs w:val="22"/>
          <w:lang w:val="en-US"/>
        </w:rPr>
        <w:t>: ENERGY BALANCE AND BULK SUPPLY TARIFF APPROVED FOR FY 20</w:t>
      </w:r>
      <w:r w:rsidR="00445A66" w:rsidRPr="00C60AD1">
        <w:rPr>
          <w:b/>
          <w:sz w:val="22"/>
          <w:szCs w:val="22"/>
          <w:lang w:val="en-US"/>
        </w:rPr>
        <w:t>1</w:t>
      </w:r>
      <w:r w:rsidR="006F5A71">
        <w:rPr>
          <w:b/>
          <w:sz w:val="22"/>
          <w:szCs w:val="22"/>
          <w:lang w:val="en-US"/>
        </w:rPr>
        <w:t>3</w:t>
      </w:r>
      <w:r w:rsidR="00445A66" w:rsidRPr="00C60AD1">
        <w:rPr>
          <w:b/>
          <w:sz w:val="22"/>
          <w:szCs w:val="22"/>
          <w:lang w:val="en-US"/>
        </w:rPr>
        <w:t>-1</w:t>
      </w:r>
      <w:r w:rsidR="006F5A71">
        <w:rPr>
          <w:b/>
          <w:sz w:val="22"/>
          <w:szCs w:val="22"/>
          <w:lang w:val="en-US"/>
        </w:rPr>
        <w:t>4</w:t>
      </w:r>
      <w:bookmarkEnd w:id="199"/>
    </w:p>
    <w:tbl>
      <w:tblPr>
        <w:tblW w:w="4754" w:type="pct"/>
        <w:tblInd w:w="4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151"/>
        <w:gridCol w:w="1078"/>
        <w:gridCol w:w="1261"/>
        <w:gridCol w:w="1259"/>
        <w:gridCol w:w="1113"/>
        <w:gridCol w:w="1185"/>
      </w:tblGrid>
      <w:tr w:rsidR="00164598" w:rsidRPr="00750815" w:rsidTr="00895929">
        <w:trPr>
          <w:trHeight w:val="891"/>
        </w:trPr>
        <w:tc>
          <w:tcPr>
            <w:tcW w:w="1741"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Particulars</w:t>
            </w:r>
          </w:p>
        </w:tc>
        <w:tc>
          <w:tcPr>
            <w:tcW w:w="596"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Unit</w:t>
            </w:r>
          </w:p>
        </w:tc>
        <w:tc>
          <w:tcPr>
            <w:tcW w:w="697"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Tariff Order</w:t>
            </w:r>
          </w:p>
        </w:tc>
        <w:tc>
          <w:tcPr>
            <w:tcW w:w="696" w:type="pct"/>
            <w:shd w:val="clear" w:color="auto" w:fill="DBE5F1" w:themeFill="accent1" w:themeFillTint="33"/>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Petition</w:t>
            </w:r>
          </w:p>
        </w:tc>
        <w:tc>
          <w:tcPr>
            <w:tcW w:w="615" w:type="pct"/>
            <w:shd w:val="clear" w:color="auto" w:fill="DBE5F1" w:themeFill="accent1" w:themeFillTint="33"/>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Actual</w:t>
            </w:r>
          </w:p>
        </w:tc>
        <w:tc>
          <w:tcPr>
            <w:tcW w:w="655" w:type="pct"/>
            <w:shd w:val="clear" w:color="auto" w:fill="DBE5F1" w:themeFill="accent1" w:themeFillTint="33"/>
            <w:noWrap/>
            <w:hideMark/>
          </w:tcPr>
          <w:p w:rsidR="008B0C65" w:rsidRDefault="00F650CD" w:rsidP="00B34A5D">
            <w:pPr>
              <w:spacing w:before="0" w:line="240" w:lineRule="auto"/>
              <w:jc w:val="center"/>
              <w:rPr>
                <w:rFonts w:asciiTheme="minorHAnsi" w:hAnsiTheme="minorHAnsi"/>
                <w:b/>
                <w:sz w:val="22"/>
                <w:szCs w:val="22"/>
                <w:lang w:val="en-IN" w:eastAsia="en-IN"/>
              </w:rPr>
            </w:pPr>
            <w:r>
              <w:rPr>
                <w:rFonts w:asciiTheme="minorHAnsi" w:hAnsiTheme="minorHAnsi"/>
                <w:b/>
                <w:sz w:val="22"/>
                <w:szCs w:val="22"/>
                <w:lang w:val="en-IN" w:eastAsia="en-IN"/>
              </w:rPr>
              <w:t xml:space="preserve">Approved upon Truing </w:t>
            </w:r>
            <w:r w:rsidR="00C60F78">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C22ADB" w:rsidRPr="00750815" w:rsidTr="00C22ADB">
        <w:trPr>
          <w:trHeight w:val="300"/>
        </w:trPr>
        <w:tc>
          <w:tcPr>
            <w:tcW w:w="1741" w:type="pct"/>
            <w:shd w:val="clear" w:color="000000" w:fill="FFFFFF"/>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w:t>
            </w:r>
          </w:p>
        </w:tc>
        <w:tc>
          <w:tcPr>
            <w:tcW w:w="596" w:type="pct"/>
            <w:shd w:val="clear" w:color="000000" w:fill="FFFFFF"/>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84,632.00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84,251.84 </w:t>
            </w:r>
          </w:p>
        </w:tc>
        <w:tc>
          <w:tcPr>
            <w:tcW w:w="655" w:type="pct"/>
            <w:shd w:val="clear" w:color="000000" w:fill="FFFFFF"/>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83,870.96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1,397.00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1,390.72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3,344.80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3,329.68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Inter-State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1.65%</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3.97%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3,054.00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3,040.28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3,320.92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2,955.16 </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Intra-State Transmission Losses</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4.10%</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3.67%</w:t>
            </w:r>
          </w:p>
        </w:tc>
      </w:tr>
      <w:tr w:rsidR="00C22ADB" w:rsidRPr="00750815" w:rsidTr="00C22ADB">
        <w:trPr>
          <w:trHeight w:val="300"/>
        </w:trPr>
        <w:tc>
          <w:tcPr>
            <w:tcW w:w="1741" w:type="pct"/>
            <w:shd w:val="clear" w:color="auto" w:fill="auto"/>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Energy available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MU</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80,181.00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79,820.83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77,586.12 </w:t>
            </w:r>
          </w:p>
        </w:tc>
      </w:tr>
      <w:tr w:rsidR="00F779E0" w:rsidRPr="00750815" w:rsidTr="009C2D68">
        <w:trPr>
          <w:trHeight w:val="300"/>
        </w:trPr>
        <w:tc>
          <w:tcPr>
            <w:tcW w:w="1741" w:type="pct"/>
            <w:shd w:val="clear" w:color="auto" w:fill="auto"/>
            <w:vAlign w:val="center"/>
            <w:hideMark/>
          </w:tcPr>
          <w:p w:rsidR="00F779E0" w:rsidRDefault="00F779E0"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(including PGCIL charges)</w:t>
            </w:r>
          </w:p>
        </w:tc>
        <w:tc>
          <w:tcPr>
            <w:tcW w:w="596" w:type="pct"/>
            <w:shd w:val="clear" w:color="auto" w:fill="auto"/>
            <w:noWrap/>
            <w:vAlign w:val="center"/>
            <w:hideMark/>
          </w:tcPr>
          <w:p w:rsidR="00F779E0" w:rsidRDefault="00F779E0"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 Crore</w:t>
            </w:r>
          </w:p>
        </w:tc>
        <w:tc>
          <w:tcPr>
            <w:tcW w:w="697" w:type="pct"/>
            <w:shd w:val="clear" w:color="auto" w:fill="auto"/>
            <w:noWrap/>
            <w:vAlign w:val="center"/>
            <w:hideMark/>
          </w:tcPr>
          <w:p w:rsidR="00F779E0" w:rsidRDefault="00F779E0">
            <w:pPr>
              <w:jc w:val="right"/>
              <w:rPr>
                <w:rFonts w:asciiTheme="minorHAnsi" w:hAnsiTheme="minorHAnsi"/>
                <w:sz w:val="22"/>
              </w:rPr>
            </w:pPr>
            <w:r w:rsidRPr="00027D0D">
              <w:rPr>
                <w:rFonts w:asciiTheme="minorHAnsi" w:hAnsiTheme="minorHAnsi"/>
                <w:sz w:val="22"/>
              </w:rPr>
              <w:t xml:space="preserve">31,456.00 </w:t>
            </w:r>
          </w:p>
        </w:tc>
        <w:tc>
          <w:tcPr>
            <w:tcW w:w="696" w:type="pct"/>
            <w:shd w:val="clear" w:color="auto" w:fill="auto"/>
            <w:noWrap/>
            <w:vAlign w:val="center"/>
            <w:hideMark/>
          </w:tcPr>
          <w:p w:rsidR="00F779E0" w:rsidRDefault="00F779E0">
            <w:pPr>
              <w:jc w:val="right"/>
              <w:rPr>
                <w:rFonts w:asciiTheme="minorHAnsi" w:hAnsiTheme="minorHAnsi"/>
                <w:sz w:val="22"/>
              </w:rPr>
            </w:pPr>
            <w:r w:rsidRPr="00027D0D">
              <w:rPr>
                <w:rFonts w:asciiTheme="minorHAnsi" w:hAnsiTheme="minorHAnsi"/>
                <w:sz w:val="22"/>
              </w:rPr>
              <w:t xml:space="preserve">33,233.64 </w:t>
            </w:r>
          </w:p>
        </w:tc>
        <w:tc>
          <w:tcPr>
            <w:tcW w:w="615" w:type="pct"/>
            <w:vAlign w:val="center"/>
          </w:tcPr>
          <w:p w:rsidR="00F779E0" w:rsidRDefault="00F779E0">
            <w:pPr>
              <w:jc w:val="right"/>
              <w:rPr>
                <w:rFonts w:asciiTheme="minorHAnsi" w:hAnsiTheme="minorHAnsi"/>
                <w:sz w:val="22"/>
              </w:rPr>
            </w:pPr>
            <w:r w:rsidRPr="00027D0D">
              <w:rPr>
                <w:rFonts w:asciiTheme="minorHAnsi" w:hAnsiTheme="minorHAnsi"/>
                <w:sz w:val="22"/>
              </w:rPr>
              <w:t xml:space="preserve">33,233.64 </w:t>
            </w:r>
          </w:p>
        </w:tc>
        <w:tc>
          <w:tcPr>
            <w:tcW w:w="655" w:type="pct"/>
            <w:shd w:val="clear" w:color="auto" w:fill="auto"/>
            <w:noWrap/>
            <w:vAlign w:val="center"/>
            <w:hideMark/>
          </w:tcPr>
          <w:p w:rsidR="00F779E0" w:rsidRDefault="00F779E0">
            <w:pPr>
              <w:jc w:val="right"/>
              <w:rPr>
                <w:rFonts w:asciiTheme="minorHAnsi" w:hAnsiTheme="minorHAnsi"/>
                <w:sz w:val="22"/>
              </w:rPr>
            </w:pPr>
            <w:r w:rsidRPr="00027D0D">
              <w:rPr>
                <w:rFonts w:asciiTheme="minorHAnsi" w:hAnsiTheme="minorHAnsi"/>
                <w:sz w:val="22"/>
              </w:rPr>
              <w:t xml:space="preserve">33,233.64 </w:t>
            </w:r>
          </w:p>
        </w:tc>
      </w:tr>
      <w:tr w:rsidR="00C22ADB" w:rsidRPr="00750815" w:rsidTr="009C2D68">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3.72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3.94 </w:t>
            </w:r>
          </w:p>
        </w:tc>
      </w:tr>
      <w:tr w:rsidR="00C22ADB" w:rsidRPr="00750815" w:rsidTr="009C2D68">
        <w:trPr>
          <w:trHeight w:val="18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O&amp;M Expenses of UPPCL</w:t>
            </w:r>
          </w:p>
        </w:tc>
        <w:tc>
          <w:tcPr>
            <w:tcW w:w="596" w:type="pct"/>
            <w:shd w:val="clear" w:color="auto" w:fill="auto"/>
            <w:noWrap/>
            <w:vAlign w:val="center"/>
            <w:hideMark/>
          </w:tcPr>
          <w:p w:rsidR="003267CD" w:rsidRDefault="00F650CD">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96"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w:t>
            </w:r>
          </w:p>
        </w:tc>
        <w:tc>
          <w:tcPr>
            <w:tcW w:w="615" w:type="pct"/>
            <w:vAlign w:val="center"/>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 xml:space="preserve">157.71 </w:t>
            </w:r>
          </w:p>
        </w:tc>
        <w:tc>
          <w:tcPr>
            <w:tcW w:w="655" w:type="pct"/>
            <w:shd w:val="clear" w:color="auto" w:fill="auto"/>
            <w:noWrap/>
            <w:vAlign w:val="center"/>
            <w:hideMark/>
          </w:tcPr>
          <w:p w:rsidR="003267CD" w:rsidRDefault="00027D0D">
            <w:pPr>
              <w:spacing w:before="0" w:line="240" w:lineRule="auto"/>
              <w:jc w:val="right"/>
              <w:rPr>
                <w:rFonts w:asciiTheme="minorHAnsi" w:hAnsiTheme="minorHAnsi"/>
                <w:sz w:val="22"/>
              </w:rPr>
            </w:pPr>
            <w:r w:rsidRPr="00027D0D">
              <w:rPr>
                <w:rFonts w:asciiTheme="minorHAnsi" w:hAnsiTheme="minorHAnsi"/>
                <w:sz w:val="22"/>
              </w:rPr>
              <w:t>157.71</w:t>
            </w:r>
          </w:p>
        </w:tc>
      </w:tr>
      <w:tr w:rsidR="00C22ADB" w:rsidRPr="00750815" w:rsidTr="00C22ADB">
        <w:trPr>
          <w:trHeight w:val="300"/>
        </w:trPr>
        <w:tc>
          <w:tcPr>
            <w:tcW w:w="1741" w:type="pct"/>
            <w:shd w:val="clear" w:color="auto" w:fill="auto"/>
            <w:vAlign w:val="center"/>
            <w:hideMark/>
          </w:tcPr>
          <w:p w:rsidR="003267CD" w:rsidRDefault="00F650CD">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Allowable Power Purchase Cost at Discom end</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 xml:space="preserve"> Crore</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33,241.11</w:t>
            </w:r>
          </w:p>
        </w:tc>
      </w:tr>
      <w:tr w:rsidR="00C22ADB" w:rsidRPr="00750815" w:rsidTr="00C22ADB">
        <w:trPr>
          <w:trHeight w:val="315"/>
        </w:trPr>
        <w:tc>
          <w:tcPr>
            <w:tcW w:w="1741" w:type="pct"/>
            <w:shd w:val="clear" w:color="auto" w:fill="auto"/>
            <w:noWrap/>
            <w:vAlign w:val="center"/>
            <w:hideMark/>
          </w:tcPr>
          <w:p w:rsidR="008B0C65" w:rsidRDefault="00F650CD" w:rsidP="008B0C65">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Power Purchase Cost per unit at Discom end (BST)</w:t>
            </w:r>
          </w:p>
        </w:tc>
        <w:tc>
          <w:tcPr>
            <w:tcW w:w="596" w:type="pct"/>
            <w:shd w:val="clear" w:color="auto" w:fill="auto"/>
            <w:noWrap/>
            <w:vAlign w:val="center"/>
            <w:hideMark/>
          </w:tcPr>
          <w:p w:rsidR="008B0C65" w:rsidRDefault="00F650CD" w:rsidP="008B0C65">
            <w:pPr>
              <w:spacing w:before="0" w:line="240" w:lineRule="auto"/>
              <w:jc w:val="center"/>
              <w:rPr>
                <w:rFonts w:asciiTheme="minorHAnsi" w:hAnsiTheme="minorHAnsi"/>
                <w:sz w:val="22"/>
                <w:szCs w:val="22"/>
                <w:lang w:val="en-IN" w:eastAsia="en-IN"/>
              </w:rPr>
            </w:pPr>
            <w:r>
              <w:rPr>
                <w:rFonts w:asciiTheme="minorHAnsi" w:hAnsiTheme="minorHAnsi"/>
                <w:sz w:val="22"/>
                <w:szCs w:val="22"/>
                <w:lang w:val="en-IN" w:eastAsia="en-IN"/>
              </w:rPr>
              <w:t>Rs</w:t>
            </w:r>
            <w:r w:rsidR="00C22ADB">
              <w:rPr>
                <w:rFonts w:asciiTheme="minorHAnsi" w:hAnsiTheme="minorHAnsi"/>
                <w:sz w:val="22"/>
                <w:szCs w:val="22"/>
                <w:lang w:val="en-IN" w:eastAsia="en-IN"/>
              </w:rPr>
              <w:t>.</w:t>
            </w:r>
            <w:r>
              <w:rPr>
                <w:rFonts w:asciiTheme="minorHAnsi" w:hAnsiTheme="minorHAnsi"/>
                <w:sz w:val="22"/>
                <w:szCs w:val="22"/>
                <w:lang w:val="en-IN" w:eastAsia="en-IN"/>
              </w:rPr>
              <w:t>/kWh</w:t>
            </w:r>
          </w:p>
        </w:tc>
        <w:tc>
          <w:tcPr>
            <w:tcW w:w="697"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3.92 </w:t>
            </w:r>
          </w:p>
        </w:tc>
        <w:tc>
          <w:tcPr>
            <w:tcW w:w="696"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4.16 </w:t>
            </w:r>
          </w:p>
        </w:tc>
        <w:tc>
          <w:tcPr>
            <w:tcW w:w="615" w:type="pct"/>
            <w:vAlign w:val="center"/>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4.30 </w:t>
            </w:r>
          </w:p>
        </w:tc>
        <w:tc>
          <w:tcPr>
            <w:tcW w:w="655" w:type="pct"/>
            <w:shd w:val="clear" w:color="auto" w:fill="auto"/>
            <w:noWrap/>
            <w:vAlign w:val="center"/>
            <w:hideMark/>
          </w:tcPr>
          <w:p w:rsidR="008B0C65" w:rsidRPr="00526644" w:rsidRDefault="00027D0D" w:rsidP="008B0C65">
            <w:pPr>
              <w:spacing w:before="0" w:line="240" w:lineRule="auto"/>
              <w:jc w:val="right"/>
              <w:rPr>
                <w:rFonts w:asciiTheme="minorHAnsi" w:hAnsiTheme="minorHAnsi"/>
                <w:sz w:val="22"/>
                <w:szCs w:val="22"/>
                <w:lang w:val="en-IN" w:eastAsia="en-IN"/>
              </w:rPr>
            </w:pPr>
            <w:r w:rsidRPr="00027D0D">
              <w:rPr>
                <w:rFonts w:asciiTheme="minorHAnsi" w:hAnsiTheme="minorHAnsi"/>
                <w:color w:val="000000"/>
                <w:sz w:val="22"/>
                <w:szCs w:val="22"/>
              </w:rPr>
              <w:t xml:space="preserve">4.28 </w:t>
            </w:r>
          </w:p>
        </w:tc>
      </w:tr>
    </w:tbl>
    <w:p w:rsidR="00F70DA9" w:rsidRPr="00C60AD1" w:rsidRDefault="00F70DA9" w:rsidP="00C60AD1">
      <w:pPr>
        <w:pStyle w:val="Heading3"/>
        <w:numPr>
          <w:ilvl w:val="0"/>
          <w:numId w:val="0"/>
        </w:numPr>
        <w:tabs>
          <w:tab w:val="clear" w:pos="720"/>
        </w:tabs>
        <w:spacing w:before="0" w:after="240"/>
        <w:ind w:left="993"/>
      </w:pPr>
    </w:p>
    <w:p w:rsidR="00435E25" w:rsidRPr="0034757D" w:rsidRDefault="008B0C65" w:rsidP="00C60AD1">
      <w:pPr>
        <w:pStyle w:val="Heading3"/>
        <w:tabs>
          <w:tab w:val="clear" w:pos="720"/>
          <w:tab w:val="left" w:pos="993"/>
        </w:tabs>
        <w:spacing w:after="240"/>
        <w:ind w:left="993" w:hanging="993"/>
      </w:pPr>
      <w:r w:rsidRPr="008B0C65">
        <w:t xml:space="preserve">It can be seen from the above that, the Petitioner has claimed the BST as Rs. 4.16 / kWh which does not include the impact of O&amp;M expenses of UPPCL as it has claimed these expenses separately. Thus, considering the impact of O&amp;M expenses of UPPCL </w:t>
      </w:r>
      <w:r w:rsidR="0034757D">
        <w:t xml:space="preserve">and actual expense incurred, </w:t>
      </w:r>
      <w:r w:rsidRPr="008B0C65">
        <w:t xml:space="preserve">the BST works out to be Rs. 4.30 / kWh, against which while undertaking the Truing up of FY 2013-14, the Commission has allowed the BST as Rs. 4.28 / kWh. </w:t>
      </w:r>
    </w:p>
    <w:p w:rsidR="002A759A" w:rsidRPr="00DF25CC" w:rsidRDefault="00B86C22" w:rsidP="00C60AD1">
      <w:pPr>
        <w:pStyle w:val="Heading3"/>
        <w:tabs>
          <w:tab w:val="clear" w:pos="720"/>
          <w:tab w:val="left" w:pos="993"/>
        </w:tabs>
        <w:spacing w:after="240"/>
        <w:ind w:left="993" w:hanging="993"/>
      </w:pPr>
      <w:r w:rsidRPr="00DF25CC">
        <w:t>It can be further observed that the BST approved by the Commission in Tariff Order for FY 201</w:t>
      </w:r>
      <w:r w:rsidR="00DF25CC">
        <w:t>3</w:t>
      </w:r>
      <w:r w:rsidRPr="00DF25CC">
        <w:t>-1</w:t>
      </w:r>
      <w:r w:rsidR="00DF25CC">
        <w:t>4</w:t>
      </w:r>
      <w:r w:rsidRPr="00DF25CC">
        <w:t xml:space="preserve"> was Rs. 3.</w:t>
      </w:r>
      <w:r w:rsidR="00DF25CC">
        <w:t>92</w:t>
      </w:r>
      <w:r w:rsidRPr="00DF25CC">
        <w:t xml:space="preserve"> / kWh. However, the BST claimed by the Distribution Licensees is Rs. 4.</w:t>
      </w:r>
      <w:r w:rsidR="00DF25CC">
        <w:t>16</w:t>
      </w:r>
      <w:r w:rsidRPr="00DF25CC">
        <w:t xml:space="preserve"> / kWh based on the power purchase cost incurred at UPPCL level in FY 201</w:t>
      </w:r>
      <w:r w:rsidR="008A71CC">
        <w:t>3</w:t>
      </w:r>
      <w:r w:rsidRPr="00DF25CC">
        <w:t>-1</w:t>
      </w:r>
      <w:r w:rsidR="008A71CC">
        <w:t>4</w:t>
      </w:r>
      <w:r w:rsidRPr="00DF25CC">
        <w:t xml:space="preserve">. </w:t>
      </w:r>
      <w:r w:rsidR="008B0C65" w:rsidRPr="008B0C65">
        <w:t>It is noted that the Distribution Licensees book the cost of power purchase in their Audited Accounts as per the BST approved by the Commission, while UPPCL procure power at the actual rates from the Generating Companies. Further, the Licensees during Truing up of FY 2013</w:t>
      </w:r>
      <w:r w:rsidR="005A65C5">
        <w:t>-14</w:t>
      </w:r>
      <w:r w:rsidR="008B0C65" w:rsidRPr="008B0C65">
        <w:t xml:space="preserve"> have claimed the power purchase cost higher than the cost incurred as per their audited accounts, which is due to the fact that the actual power purchase cost incurred by UPPCL while procuring power from the generating companies is more than the power purchase cost paid by the Licensees to UPPCL, which is as per the BST approved by the Commission. </w:t>
      </w:r>
      <w:r w:rsidR="008B0C65" w:rsidRPr="008B0C65">
        <w:rPr>
          <w:b/>
        </w:rPr>
        <w:t xml:space="preserve">Thus, in order to have greater clarity the Commission directs the </w:t>
      </w:r>
      <w:r w:rsidR="008B0C65" w:rsidRPr="008B0C65">
        <w:rPr>
          <w:b/>
        </w:rPr>
        <w:lastRenderedPageBreak/>
        <w:t xml:space="preserve">Licensees that, from </w:t>
      </w:r>
      <w:r w:rsidR="00695B8B">
        <w:rPr>
          <w:b/>
        </w:rPr>
        <w:t xml:space="preserve">truing up of </w:t>
      </w:r>
      <w:r w:rsidR="008B0C65" w:rsidRPr="008B0C65">
        <w:rPr>
          <w:b/>
        </w:rPr>
        <w:t xml:space="preserve">FY </w:t>
      </w:r>
      <w:r w:rsidR="00695B8B" w:rsidRPr="008B0C65">
        <w:rPr>
          <w:b/>
        </w:rPr>
        <w:t>201</w:t>
      </w:r>
      <w:r w:rsidR="00695B8B">
        <w:rPr>
          <w:b/>
        </w:rPr>
        <w:t>4</w:t>
      </w:r>
      <w:r w:rsidR="008B0C65" w:rsidRPr="008B0C65">
        <w:rPr>
          <w:b/>
        </w:rPr>
        <w:t>-</w:t>
      </w:r>
      <w:r w:rsidR="00695B8B" w:rsidRPr="008B0C65">
        <w:rPr>
          <w:b/>
        </w:rPr>
        <w:t>1</w:t>
      </w:r>
      <w:r w:rsidR="00695B8B">
        <w:rPr>
          <w:b/>
        </w:rPr>
        <w:t>5</w:t>
      </w:r>
      <w:r w:rsidR="00301F8D">
        <w:rPr>
          <w:b/>
        </w:rPr>
        <w:t xml:space="preserve"> and </w:t>
      </w:r>
      <w:r w:rsidR="008B0C65" w:rsidRPr="008B0C65">
        <w:rPr>
          <w:b/>
        </w:rPr>
        <w:t>onwards it should clearly depict the total power purchase cost incurred at UPPCL level based on actual power purchase cost, total power purchase cost billed by the UPPCL to the Distribution Licensees and power cost payable to UPPCL in its true-up petitions for future years.</w:t>
      </w:r>
    </w:p>
    <w:p w:rsidR="00F70DA9" w:rsidRPr="00C60AD1" w:rsidRDefault="00435E25" w:rsidP="00C60AD1">
      <w:pPr>
        <w:pStyle w:val="Heading3"/>
        <w:tabs>
          <w:tab w:val="clear" w:pos="720"/>
          <w:tab w:val="left" w:pos="993"/>
        </w:tabs>
        <w:spacing w:after="240"/>
        <w:ind w:left="993" w:hanging="993"/>
      </w:pPr>
      <w:r w:rsidRPr="00C60AD1">
        <w:rPr>
          <w:lang w:val="en-US"/>
        </w:rPr>
        <w:t>Further, a</w:t>
      </w:r>
      <w:r w:rsidR="0094431B" w:rsidRPr="00C60AD1">
        <w:rPr>
          <w:lang w:val="en-US"/>
        </w:rPr>
        <w:t>llowable power purchase quantum has been</w:t>
      </w:r>
      <w:r w:rsidR="000A4645">
        <w:rPr>
          <w:lang w:val="en-US"/>
        </w:rPr>
        <w:t xml:space="preserve"> </w:t>
      </w:r>
      <w:r w:rsidR="0094431B" w:rsidRPr="00C60AD1">
        <w:rPr>
          <w:lang w:val="en-US"/>
        </w:rPr>
        <w:t>computed by grossing up the actual energy sal</w:t>
      </w:r>
      <w:r w:rsidR="008A1A72" w:rsidRPr="00C60AD1">
        <w:rPr>
          <w:lang w:val="en-US"/>
        </w:rPr>
        <w:t>es by the approved Distribution loss target / Actual Loss Level (whichever is lower)</w:t>
      </w:r>
      <w:r w:rsidR="008961C4" w:rsidRPr="00C60AD1">
        <w:rPr>
          <w:lang w:val="en-US"/>
        </w:rPr>
        <w:t xml:space="preserve"> for FY 201</w:t>
      </w:r>
      <w:r w:rsidR="00E414EC">
        <w:rPr>
          <w:lang w:val="en-US"/>
        </w:rPr>
        <w:t>3</w:t>
      </w:r>
      <w:r w:rsidR="008961C4" w:rsidRPr="00C60AD1">
        <w:rPr>
          <w:lang w:val="en-US"/>
        </w:rPr>
        <w:t>-1</w:t>
      </w:r>
      <w:r w:rsidR="00E414EC">
        <w:rPr>
          <w:lang w:val="en-US"/>
        </w:rPr>
        <w:t>4</w:t>
      </w:r>
      <w:r w:rsidR="0022393E" w:rsidRPr="00C60AD1">
        <w:rPr>
          <w:lang w:val="en-IN"/>
        </w:rPr>
        <w:t>.</w:t>
      </w:r>
      <w:r w:rsidR="00257998">
        <w:rPr>
          <w:lang w:val="en-IN"/>
        </w:rPr>
        <w:t xml:space="preserve"> </w:t>
      </w:r>
      <w:r w:rsidR="0094431B" w:rsidRPr="00C60AD1">
        <w:rPr>
          <w:lang w:val="en-US"/>
        </w:rPr>
        <w:t xml:space="preserve">The power purchase cost is then computed by considering the allowable power purchase thus obtained and the bulk supply tariff computed at Discoms periphery in line with the approach followed by the Commission in </w:t>
      </w:r>
      <w:r w:rsidR="008961C4" w:rsidRPr="00C60AD1">
        <w:rPr>
          <w:lang w:val="en-US"/>
        </w:rPr>
        <w:t xml:space="preserve">its earlier </w:t>
      </w:r>
      <w:r w:rsidR="0094431B" w:rsidRPr="00C60AD1">
        <w:rPr>
          <w:lang w:val="en-US"/>
        </w:rPr>
        <w:t>Orders.</w:t>
      </w:r>
      <w:r w:rsidR="007320D7" w:rsidRPr="00C60AD1">
        <w:t xml:space="preserve"> Accordingly, the Table below provides the allowable power purchase cost for the Licensee for FY 20</w:t>
      </w:r>
      <w:r w:rsidR="003F6897" w:rsidRPr="00C60AD1">
        <w:t>1</w:t>
      </w:r>
      <w:r w:rsidR="00417F5F">
        <w:t>3</w:t>
      </w:r>
      <w:r w:rsidR="003F6897" w:rsidRPr="00C60AD1">
        <w:t>-1</w:t>
      </w:r>
      <w:r w:rsidR="00417F5F">
        <w:t>4</w:t>
      </w:r>
      <w:r w:rsidR="007320D7" w:rsidRPr="00C60AD1">
        <w:t>:</w:t>
      </w:r>
    </w:p>
    <w:p w:rsidR="003147B8" w:rsidRPr="00C60AD1" w:rsidRDefault="00EA0B95" w:rsidP="00C60AD1">
      <w:pPr>
        <w:spacing w:before="0"/>
        <w:jc w:val="center"/>
        <w:rPr>
          <w:b/>
          <w:sz w:val="22"/>
          <w:szCs w:val="22"/>
          <w:lang w:val="en-US"/>
        </w:rPr>
      </w:pPr>
      <w:bookmarkStart w:id="200" w:name="_Toc457355608"/>
      <w:r w:rsidRPr="00C60AD1">
        <w:rPr>
          <w:b/>
          <w:sz w:val="22"/>
          <w:szCs w:val="22"/>
          <w:lang w:val="en-US"/>
        </w:rPr>
        <w:t xml:space="preserve">Table </w:t>
      </w:r>
      <w:r w:rsidR="004A2D9E" w:rsidRPr="00C60AD1">
        <w:rPr>
          <w:b/>
          <w:sz w:val="22"/>
          <w:szCs w:val="22"/>
          <w:lang w:val="en-US"/>
        </w:rPr>
        <w:fldChar w:fldCharType="begin"/>
      </w:r>
      <w:r w:rsidR="00741FC9" w:rsidRPr="00C60AD1">
        <w:rPr>
          <w:b/>
          <w:sz w:val="22"/>
          <w:szCs w:val="22"/>
          <w:lang w:val="en-US"/>
        </w:rPr>
        <w:instrText xml:space="preserve"> STYLEREF 1 \s </w:instrText>
      </w:r>
      <w:r w:rsidR="004A2D9E" w:rsidRPr="00C60AD1">
        <w:rPr>
          <w:b/>
          <w:sz w:val="22"/>
          <w:szCs w:val="22"/>
          <w:lang w:val="en-US"/>
        </w:rPr>
        <w:fldChar w:fldCharType="separate"/>
      </w:r>
      <w:r w:rsidR="0011185B">
        <w:rPr>
          <w:b/>
          <w:noProof/>
          <w:sz w:val="22"/>
          <w:szCs w:val="22"/>
          <w:lang w:val="en-US"/>
        </w:rPr>
        <w:t>4</w:t>
      </w:r>
      <w:r w:rsidR="004A2D9E" w:rsidRPr="00C60AD1">
        <w:rPr>
          <w:b/>
          <w:sz w:val="22"/>
          <w:szCs w:val="22"/>
          <w:lang w:val="en-US"/>
        </w:rPr>
        <w:fldChar w:fldCharType="end"/>
      </w:r>
      <w:r w:rsidRPr="00C60AD1">
        <w:rPr>
          <w:b/>
          <w:sz w:val="22"/>
          <w:szCs w:val="22"/>
          <w:lang w:val="en-US"/>
        </w:rPr>
        <w:noBreakHyphen/>
      </w:r>
      <w:r w:rsidR="004A2D9E" w:rsidRPr="00C60AD1">
        <w:rPr>
          <w:b/>
          <w:sz w:val="22"/>
          <w:szCs w:val="22"/>
          <w:lang w:val="en-US"/>
        </w:rPr>
        <w:fldChar w:fldCharType="begin"/>
      </w:r>
      <w:r w:rsidR="00741FC9" w:rsidRPr="00C60AD1">
        <w:rPr>
          <w:b/>
          <w:sz w:val="22"/>
          <w:szCs w:val="22"/>
          <w:lang w:val="en-US"/>
        </w:rPr>
        <w:instrText xml:space="preserve"> SEQ Table \* ARABIC \s 1 </w:instrText>
      </w:r>
      <w:r w:rsidR="004A2D9E" w:rsidRPr="00C60AD1">
        <w:rPr>
          <w:b/>
          <w:sz w:val="22"/>
          <w:szCs w:val="22"/>
          <w:lang w:val="en-US"/>
        </w:rPr>
        <w:fldChar w:fldCharType="separate"/>
      </w:r>
      <w:r w:rsidR="0011185B">
        <w:rPr>
          <w:b/>
          <w:noProof/>
          <w:sz w:val="22"/>
          <w:szCs w:val="22"/>
          <w:lang w:val="en-US"/>
        </w:rPr>
        <w:t>7</w:t>
      </w:r>
      <w:r w:rsidR="004A2D9E" w:rsidRPr="00C60AD1">
        <w:rPr>
          <w:b/>
          <w:sz w:val="22"/>
          <w:szCs w:val="22"/>
          <w:lang w:val="en-US"/>
        </w:rPr>
        <w:fldChar w:fldCharType="end"/>
      </w:r>
      <w:r w:rsidRPr="00C60AD1">
        <w:rPr>
          <w:b/>
          <w:sz w:val="22"/>
          <w:szCs w:val="22"/>
          <w:lang w:val="en-US"/>
        </w:rPr>
        <w:t>: ALLOWABLE POWER PURCHASE COST FOR FY 201</w:t>
      </w:r>
      <w:r w:rsidR="00417F5F">
        <w:rPr>
          <w:b/>
          <w:sz w:val="22"/>
          <w:szCs w:val="22"/>
          <w:lang w:val="en-US"/>
        </w:rPr>
        <w:t>3</w:t>
      </w:r>
      <w:r w:rsidRPr="00C60AD1">
        <w:rPr>
          <w:b/>
          <w:sz w:val="22"/>
          <w:szCs w:val="22"/>
          <w:lang w:val="en-US"/>
        </w:rPr>
        <w:t>-1</w:t>
      </w:r>
      <w:r w:rsidR="00417F5F">
        <w:rPr>
          <w:b/>
          <w:sz w:val="22"/>
          <w:szCs w:val="22"/>
          <w:lang w:val="en-US"/>
        </w:rPr>
        <w:t>4</w:t>
      </w:r>
      <w:bookmarkEnd w:id="200"/>
    </w:p>
    <w:tbl>
      <w:tblPr>
        <w:tblW w:w="941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35"/>
        <w:gridCol w:w="1539"/>
        <w:gridCol w:w="1819"/>
        <w:gridCol w:w="1819"/>
      </w:tblGrid>
      <w:tr w:rsidR="003147B8" w:rsidRPr="00AA3501" w:rsidTr="004F012E">
        <w:trPr>
          <w:trHeight w:val="300"/>
          <w:tblHeader/>
        </w:trPr>
        <w:tc>
          <w:tcPr>
            <w:tcW w:w="4235" w:type="dxa"/>
            <w:shd w:val="clear" w:color="000000" w:fill="DBE5F1"/>
            <w:hideMark/>
          </w:tcPr>
          <w:p w:rsidR="007B43DD"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Particulars</w:t>
            </w:r>
          </w:p>
        </w:tc>
        <w:tc>
          <w:tcPr>
            <w:tcW w:w="1539" w:type="dxa"/>
            <w:shd w:val="clear" w:color="000000" w:fill="DBE5F1"/>
            <w:hideMark/>
          </w:tcPr>
          <w:p w:rsidR="007B43DD"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 xml:space="preserve">Approved in </w:t>
            </w:r>
            <w:r w:rsidR="00EF2554">
              <w:rPr>
                <w:rFonts w:asciiTheme="minorHAnsi" w:hAnsiTheme="minorHAnsi"/>
                <w:b/>
                <w:sz w:val="22"/>
                <w:szCs w:val="22"/>
                <w:lang w:val="en-IN" w:eastAsia="en-IN"/>
              </w:rPr>
              <w:t>Tariff Order</w:t>
            </w:r>
          </w:p>
        </w:tc>
        <w:tc>
          <w:tcPr>
            <w:tcW w:w="1819" w:type="dxa"/>
            <w:shd w:val="clear" w:color="000000" w:fill="DBE5F1"/>
            <w:hideMark/>
          </w:tcPr>
          <w:p w:rsidR="007B43DD" w:rsidRDefault="00027D0D">
            <w:pPr>
              <w:spacing w:before="0"/>
              <w:jc w:val="center"/>
              <w:rPr>
                <w:rFonts w:asciiTheme="minorHAnsi" w:hAnsiTheme="minorHAnsi"/>
                <w:b/>
                <w:sz w:val="22"/>
                <w:szCs w:val="22"/>
                <w:lang w:val="en-US"/>
              </w:rPr>
            </w:pPr>
            <w:r w:rsidRPr="00027D0D">
              <w:rPr>
                <w:rFonts w:asciiTheme="minorHAnsi" w:hAnsiTheme="minorHAnsi"/>
                <w:b/>
                <w:sz w:val="22"/>
                <w:szCs w:val="22"/>
                <w:lang w:val="en-US"/>
              </w:rPr>
              <w:t>True up Petition</w:t>
            </w:r>
          </w:p>
        </w:tc>
        <w:tc>
          <w:tcPr>
            <w:tcW w:w="1819" w:type="dxa"/>
            <w:shd w:val="clear" w:color="000000" w:fill="DBE5F1"/>
            <w:hideMark/>
          </w:tcPr>
          <w:p w:rsidR="007B43DD" w:rsidRDefault="00EF2554">
            <w:pPr>
              <w:spacing w:before="0"/>
              <w:jc w:val="center"/>
              <w:rPr>
                <w:rFonts w:asciiTheme="minorHAnsi" w:hAnsiTheme="minorHAnsi"/>
                <w:b/>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257998" w:rsidRPr="00AA3501" w:rsidTr="005A3471">
        <w:trPr>
          <w:trHeight w:val="300"/>
        </w:trPr>
        <w:tc>
          <w:tcPr>
            <w:tcW w:w="4235" w:type="dxa"/>
            <w:shd w:val="clear" w:color="auto" w:fill="auto"/>
            <w:noWrap/>
            <w:vAlign w:val="bottom"/>
            <w:hideMark/>
          </w:tcPr>
          <w:p w:rsidR="00257998" w:rsidRPr="00AA3501" w:rsidRDefault="00257998" w:rsidP="00C60AD1">
            <w:pPr>
              <w:spacing w:before="0"/>
              <w:rPr>
                <w:rFonts w:asciiTheme="minorHAnsi" w:hAnsiTheme="minorHAnsi"/>
                <w:sz w:val="22"/>
                <w:szCs w:val="22"/>
                <w:lang w:val="en-US"/>
              </w:rPr>
            </w:pPr>
            <w:r w:rsidRPr="00027D0D">
              <w:rPr>
                <w:rFonts w:asciiTheme="minorHAnsi" w:hAnsiTheme="minorHAnsi"/>
                <w:sz w:val="22"/>
                <w:szCs w:val="22"/>
                <w:lang w:val="en-US"/>
              </w:rPr>
              <w:t>Power Purchase (MU)</w:t>
            </w:r>
          </w:p>
        </w:tc>
        <w:tc>
          <w:tcPr>
            <w:tcW w:w="1539" w:type="dxa"/>
            <w:shd w:val="clear" w:color="auto" w:fill="auto"/>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 xml:space="preserve"> 3,494.41 </w:t>
            </w:r>
          </w:p>
        </w:tc>
        <w:tc>
          <w:tcPr>
            <w:tcW w:w="1819" w:type="dxa"/>
            <w:shd w:val="clear" w:color="auto" w:fill="auto"/>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3</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554.39</w:t>
            </w:r>
          </w:p>
        </w:tc>
        <w:tc>
          <w:tcPr>
            <w:tcW w:w="1819" w:type="dxa"/>
            <w:shd w:val="clear" w:color="auto" w:fill="auto"/>
            <w:noWrap/>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3</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554.39</w:t>
            </w:r>
          </w:p>
        </w:tc>
      </w:tr>
      <w:tr w:rsidR="00257998" w:rsidRPr="00AA3501" w:rsidTr="005A3471">
        <w:trPr>
          <w:trHeight w:val="300"/>
        </w:trPr>
        <w:tc>
          <w:tcPr>
            <w:tcW w:w="4235" w:type="dxa"/>
            <w:shd w:val="clear" w:color="auto" w:fill="auto"/>
            <w:noWrap/>
            <w:vAlign w:val="bottom"/>
            <w:hideMark/>
          </w:tcPr>
          <w:p w:rsidR="00257998" w:rsidRPr="00AA3501" w:rsidRDefault="00257998" w:rsidP="00C60AD1">
            <w:pPr>
              <w:spacing w:before="0"/>
              <w:rPr>
                <w:rFonts w:asciiTheme="minorHAnsi" w:hAnsiTheme="minorHAnsi"/>
                <w:sz w:val="22"/>
                <w:szCs w:val="22"/>
                <w:lang w:val="en-US"/>
              </w:rPr>
            </w:pPr>
            <w:r w:rsidRPr="00027D0D">
              <w:rPr>
                <w:rFonts w:asciiTheme="minorHAnsi" w:hAnsiTheme="minorHAnsi"/>
                <w:sz w:val="22"/>
                <w:szCs w:val="22"/>
                <w:lang w:val="en-US"/>
              </w:rPr>
              <w:t>Sales (MU)</w:t>
            </w:r>
          </w:p>
        </w:tc>
        <w:tc>
          <w:tcPr>
            <w:tcW w:w="1539" w:type="dxa"/>
            <w:shd w:val="clear" w:color="auto" w:fill="auto"/>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 xml:space="preserve"> 2,690.70 </w:t>
            </w:r>
          </w:p>
        </w:tc>
        <w:tc>
          <w:tcPr>
            <w:tcW w:w="1819" w:type="dxa"/>
            <w:shd w:val="clear" w:color="auto" w:fill="auto"/>
            <w:hideMark/>
          </w:tcPr>
          <w:p w:rsidR="00257998" w:rsidRPr="00AF47F8" w:rsidRDefault="00023318">
            <w:pPr>
              <w:spacing w:before="0"/>
              <w:jc w:val="right"/>
              <w:rPr>
                <w:rFonts w:asciiTheme="minorHAnsi" w:hAnsiTheme="minorHAnsi"/>
                <w:kern w:val="32"/>
                <w:sz w:val="22"/>
                <w:szCs w:val="22"/>
              </w:rPr>
            </w:pPr>
            <w:r w:rsidRPr="00023318">
              <w:rPr>
                <w:rFonts w:asciiTheme="minorHAnsi" w:hAnsiTheme="minorHAnsi" w:cs="Arial"/>
                <w:color w:val="000000"/>
                <w:sz w:val="22"/>
                <w:szCs w:val="22"/>
              </w:rPr>
              <w:t>2</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458.09</w:t>
            </w:r>
          </w:p>
        </w:tc>
        <w:tc>
          <w:tcPr>
            <w:tcW w:w="1819" w:type="dxa"/>
            <w:shd w:val="clear" w:color="auto" w:fill="auto"/>
            <w:noWrap/>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2</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458.09</w:t>
            </w:r>
          </w:p>
        </w:tc>
      </w:tr>
      <w:tr w:rsidR="00257998" w:rsidRPr="00AA3501" w:rsidTr="005A3471">
        <w:trPr>
          <w:trHeight w:val="300"/>
        </w:trPr>
        <w:tc>
          <w:tcPr>
            <w:tcW w:w="4235" w:type="dxa"/>
            <w:shd w:val="clear" w:color="auto" w:fill="auto"/>
            <w:noWrap/>
            <w:vAlign w:val="bottom"/>
            <w:hideMark/>
          </w:tcPr>
          <w:p w:rsidR="00257998" w:rsidRPr="00AA3501" w:rsidRDefault="00257998" w:rsidP="00C60AD1">
            <w:pPr>
              <w:spacing w:before="0"/>
              <w:rPr>
                <w:rFonts w:asciiTheme="minorHAnsi" w:hAnsiTheme="minorHAnsi"/>
                <w:sz w:val="22"/>
                <w:szCs w:val="22"/>
                <w:lang w:val="en-US"/>
              </w:rPr>
            </w:pPr>
            <w:r w:rsidRPr="00027D0D">
              <w:rPr>
                <w:rFonts w:asciiTheme="minorHAnsi" w:hAnsiTheme="minorHAnsi"/>
                <w:sz w:val="22"/>
                <w:szCs w:val="22"/>
                <w:lang w:val="en-US"/>
              </w:rPr>
              <w:t>Distribution Loss Target (%)</w:t>
            </w:r>
          </w:p>
        </w:tc>
        <w:tc>
          <w:tcPr>
            <w:tcW w:w="1539" w:type="dxa"/>
            <w:shd w:val="clear" w:color="auto" w:fill="auto"/>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23.00</w:t>
            </w:r>
          </w:p>
        </w:tc>
        <w:tc>
          <w:tcPr>
            <w:tcW w:w="1819" w:type="dxa"/>
            <w:shd w:val="clear" w:color="auto" w:fill="auto"/>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23.00</w:t>
            </w:r>
          </w:p>
        </w:tc>
        <w:tc>
          <w:tcPr>
            <w:tcW w:w="181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23.00</w:t>
            </w:r>
          </w:p>
        </w:tc>
      </w:tr>
      <w:tr w:rsidR="00257998" w:rsidRPr="00AA3501" w:rsidTr="005A3471">
        <w:trPr>
          <w:trHeight w:val="300"/>
        </w:trPr>
        <w:tc>
          <w:tcPr>
            <w:tcW w:w="4235" w:type="dxa"/>
            <w:shd w:val="clear" w:color="auto" w:fill="auto"/>
            <w:noWrap/>
            <w:vAlign w:val="bottom"/>
            <w:hideMark/>
          </w:tcPr>
          <w:p w:rsidR="00257998" w:rsidRPr="00AA3501" w:rsidRDefault="00257998" w:rsidP="00C60AD1">
            <w:pPr>
              <w:spacing w:before="0"/>
              <w:rPr>
                <w:rFonts w:asciiTheme="minorHAnsi" w:hAnsiTheme="minorHAnsi"/>
                <w:sz w:val="22"/>
                <w:szCs w:val="22"/>
                <w:lang w:val="en-US"/>
              </w:rPr>
            </w:pPr>
            <w:r w:rsidRPr="00027D0D">
              <w:rPr>
                <w:rFonts w:asciiTheme="minorHAnsi" w:hAnsiTheme="minorHAnsi"/>
                <w:sz w:val="22"/>
                <w:szCs w:val="22"/>
                <w:lang w:val="en-US"/>
              </w:rPr>
              <w:t>Allowable Power Purchase (MU)</w:t>
            </w:r>
          </w:p>
        </w:tc>
        <w:tc>
          <w:tcPr>
            <w:tcW w:w="153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 xml:space="preserve"> 3,494.41 </w:t>
            </w:r>
          </w:p>
        </w:tc>
        <w:tc>
          <w:tcPr>
            <w:tcW w:w="181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3</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192.33</w:t>
            </w:r>
          </w:p>
        </w:tc>
        <w:tc>
          <w:tcPr>
            <w:tcW w:w="181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3</w:t>
            </w:r>
            <w:r w:rsidR="00AF47F8">
              <w:rPr>
                <w:rFonts w:asciiTheme="minorHAnsi" w:hAnsiTheme="minorHAnsi" w:cs="Arial"/>
                <w:color w:val="000000"/>
                <w:sz w:val="22"/>
                <w:szCs w:val="22"/>
              </w:rPr>
              <w:t>,</w:t>
            </w:r>
            <w:r w:rsidRPr="00023318">
              <w:rPr>
                <w:rFonts w:asciiTheme="minorHAnsi" w:hAnsiTheme="minorHAnsi" w:cs="Arial"/>
                <w:color w:val="000000"/>
                <w:sz w:val="22"/>
                <w:szCs w:val="22"/>
              </w:rPr>
              <w:t>192.33</w:t>
            </w:r>
          </w:p>
        </w:tc>
      </w:tr>
      <w:tr w:rsidR="00257998" w:rsidRPr="00AA3501" w:rsidTr="005A3471">
        <w:trPr>
          <w:trHeight w:val="300"/>
        </w:trPr>
        <w:tc>
          <w:tcPr>
            <w:tcW w:w="4235" w:type="dxa"/>
            <w:shd w:val="clear" w:color="auto" w:fill="auto"/>
            <w:noWrap/>
            <w:vAlign w:val="bottom"/>
            <w:hideMark/>
          </w:tcPr>
          <w:p w:rsidR="00257998" w:rsidRPr="00AA3501" w:rsidRDefault="00257998" w:rsidP="00C60AD1">
            <w:pPr>
              <w:spacing w:before="0"/>
              <w:rPr>
                <w:rFonts w:asciiTheme="minorHAnsi" w:hAnsiTheme="minorHAnsi"/>
                <w:sz w:val="22"/>
                <w:szCs w:val="22"/>
                <w:lang w:val="en-US"/>
              </w:rPr>
            </w:pPr>
            <w:r w:rsidRPr="00027D0D">
              <w:rPr>
                <w:rFonts w:asciiTheme="minorHAnsi" w:hAnsiTheme="minorHAnsi"/>
                <w:sz w:val="22"/>
                <w:szCs w:val="22"/>
                <w:lang w:val="en-US"/>
              </w:rPr>
              <w:t>Trued up Bulk Supply Tariff (Rs. / kWh)</w:t>
            </w:r>
          </w:p>
        </w:tc>
        <w:tc>
          <w:tcPr>
            <w:tcW w:w="153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3.92</w:t>
            </w:r>
          </w:p>
        </w:tc>
        <w:tc>
          <w:tcPr>
            <w:tcW w:w="1819" w:type="dxa"/>
            <w:shd w:val="clear" w:color="auto" w:fill="auto"/>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4.16</w:t>
            </w:r>
          </w:p>
        </w:tc>
        <w:tc>
          <w:tcPr>
            <w:tcW w:w="181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color w:val="000000"/>
                <w:sz w:val="22"/>
                <w:szCs w:val="22"/>
              </w:rPr>
              <w:t>4.28</w:t>
            </w:r>
          </w:p>
        </w:tc>
      </w:tr>
      <w:tr w:rsidR="00257998" w:rsidRPr="00AA3501" w:rsidTr="005A3471">
        <w:trPr>
          <w:trHeight w:val="300"/>
        </w:trPr>
        <w:tc>
          <w:tcPr>
            <w:tcW w:w="4235" w:type="dxa"/>
            <w:shd w:val="clear" w:color="auto" w:fill="auto"/>
            <w:noWrap/>
            <w:vAlign w:val="bottom"/>
            <w:hideMark/>
          </w:tcPr>
          <w:p w:rsidR="00257998" w:rsidRPr="00AA3501" w:rsidRDefault="00257998" w:rsidP="00F779E0">
            <w:pPr>
              <w:spacing w:before="0"/>
              <w:rPr>
                <w:rFonts w:asciiTheme="minorHAnsi" w:hAnsiTheme="minorHAnsi"/>
                <w:sz w:val="22"/>
                <w:szCs w:val="22"/>
                <w:lang w:val="en-US"/>
              </w:rPr>
            </w:pPr>
            <w:r w:rsidRPr="00027D0D">
              <w:rPr>
                <w:rFonts w:asciiTheme="minorHAnsi" w:hAnsiTheme="minorHAnsi"/>
                <w:sz w:val="22"/>
                <w:szCs w:val="22"/>
                <w:lang w:val="en-US"/>
              </w:rPr>
              <w:t>Allowable Power Purchase Cost (Rs. Crore)</w:t>
            </w:r>
            <w:r w:rsidR="00F779E0">
              <w:rPr>
                <w:rFonts w:asciiTheme="minorHAnsi" w:hAnsiTheme="minorHAnsi"/>
                <w:sz w:val="22"/>
                <w:szCs w:val="22"/>
                <w:vertAlign w:val="superscript"/>
                <w:lang w:val="en-US"/>
              </w:rPr>
              <w:t>*</w:t>
            </w:r>
          </w:p>
        </w:tc>
        <w:tc>
          <w:tcPr>
            <w:tcW w:w="1539" w:type="dxa"/>
            <w:shd w:val="clear" w:color="auto" w:fill="auto"/>
            <w:noWrap/>
            <w:vAlign w:val="bottom"/>
            <w:hideMark/>
          </w:tcPr>
          <w:p w:rsidR="00257998" w:rsidRPr="00AF47F8" w:rsidRDefault="00023318">
            <w:pPr>
              <w:spacing w:before="0"/>
              <w:jc w:val="right"/>
              <w:rPr>
                <w:rFonts w:asciiTheme="minorHAnsi" w:hAnsiTheme="minorHAnsi"/>
                <w:b/>
                <w:sz w:val="22"/>
                <w:szCs w:val="22"/>
                <w:lang w:val="en-US"/>
              </w:rPr>
            </w:pPr>
            <w:r w:rsidRPr="00023318">
              <w:rPr>
                <w:rFonts w:asciiTheme="minorHAnsi" w:hAnsiTheme="minorHAnsi" w:cs="Arial"/>
                <w:b/>
                <w:bCs/>
                <w:color w:val="000000"/>
                <w:sz w:val="22"/>
                <w:szCs w:val="22"/>
              </w:rPr>
              <w:t>1,370.9</w:t>
            </w:r>
            <w:r w:rsidR="008741F2">
              <w:rPr>
                <w:rFonts w:asciiTheme="minorHAnsi" w:hAnsiTheme="minorHAnsi" w:cs="Arial"/>
                <w:b/>
                <w:bCs/>
                <w:color w:val="000000"/>
                <w:sz w:val="22"/>
                <w:szCs w:val="22"/>
              </w:rPr>
              <w:t>3</w:t>
            </w:r>
          </w:p>
        </w:tc>
        <w:tc>
          <w:tcPr>
            <w:tcW w:w="1819" w:type="dxa"/>
            <w:shd w:val="clear" w:color="auto" w:fill="auto"/>
            <w:noWrap/>
            <w:vAlign w:val="bottom"/>
            <w:hideMark/>
          </w:tcPr>
          <w:p w:rsidR="00257998" w:rsidRPr="00AF47F8" w:rsidRDefault="00023318">
            <w:pPr>
              <w:spacing w:before="0"/>
              <w:jc w:val="right"/>
              <w:rPr>
                <w:rFonts w:asciiTheme="minorHAnsi" w:hAnsiTheme="minorHAnsi"/>
                <w:b/>
                <w:sz w:val="22"/>
                <w:szCs w:val="22"/>
                <w:lang w:val="en-US"/>
              </w:rPr>
            </w:pPr>
            <w:r w:rsidRPr="00023318">
              <w:rPr>
                <w:rFonts w:asciiTheme="minorHAnsi" w:hAnsiTheme="minorHAnsi" w:cs="Arial"/>
                <w:b/>
                <w:bCs/>
                <w:color w:val="000000"/>
                <w:sz w:val="22"/>
                <w:szCs w:val="22"/>
              </w:rPr>
              <w:t>1</w:t>
            </w:r>
            <w:r w:rsidR="00AF47F8">
              <w:rPr>
                <w:rFonts w:asciiTheme="minorHAnsi" w:hAnsiTheme="minorHAnsi" w:cs="Arial"/>
                <w:b/>
                <w:bCs/>
                <w:color w:val="000000"/>
                <w:sz w:val="22"/>
                <w:szCs w:val="22"/>
              </w:rPr>
              <w:t>,</w:t>
            </w:r>
            <w:r w:rsidRPr="00023318">
              <w:rPr>
                <w:rFonts w:asciiTheme="minorHAnsi" w:hAnsiTheme="minorHAnsi" w:cs="Arial"/>
                <w:b/>
                <w:bCs/>
                <w:color w:val="000000"/>
                <w:sz w:val="22"/>
                <w:szCs w:val="22"/>
              </w:rPr>
              <w:t>329.13</w:t>
            </w:r>
          </w:p>
        </w:tc>
        <w:tc>
          <w:tcPr>
            <w:tcW w:w="1819" w:type="dxa"/>
            <w:shd w:val="clear" w:color="auto" w:fill="auto"/>
            <w:noWrap/>
            <w:vAlign w:val="bottom"/>
            <w:hideMark/>
          </w:tcPr>
          <w:p w:rsidR="00257998" w:rsidRPr="00AF47F8" w:rsidRDefault="00023318">
            <w:pPr>
              <w:spacing w:before="0"/>
              <w:jc w:val="right"/>
              <w:rPr>
                <w:rFonts w:asciiTheme="minorHAnsi" w:hAnsiTheme="minorHAnsi"/>
                <w:sz w:val="22"/>
                <w:szCs w:val="22"/>
                <w:lang w:val="en-US"/>
              </w:rPr>
            </w:pPr>
            <w:r w:rsidRPr="00023318">
              <w:rPr>
                <w:rFonts w:asciiTheme="minorHAnsi" w:hAnsiTheme="minorHAnsi" w:cs="Arial"/>
                <w:b/>
                <w:bCs/>
                <w:color w:val="000000"/>
                <w:sz w:val="22"/>
                <w:szCs w:val="22"/>
              </w:rPr>
              <w:t>1</w:t>
            </w:r>
            <w:r w:rsidR="00AF47F8">
              <w:rPr>
                <w:rFonts w:asciiTheme="minorHAnsi" w:hAnsiTheme="minorHAnsi" w:cs="Arial"/>
                <w:b/>
                <w:bCs/>
                <w:color w:val="000000"/>
                <w:sz w:val="22"/>
                <w:szCs w:val="22"/>
              </w:rPr>
              <w:t>,</w:t>
            </w:r>
            <w:r w:rsidRPr="00023318">
              <w:rPr>
                <w:rFonts w:asciiTheme="minorHAnsi" w:hAnsiTheme="minorHAnsi" w:cs="Arial"/>
                <w:b/>
                <w:bCs/>
                <w:color w:val="000000"/>
                <w:sz w:val="22"/>
                <w:szCs w:val="22"/>
              </w:rPr>
              <w:t>367.72</w:t>
            </w:r>
          </w:p>
        </w:tc>
      </w:tr>
    </w:tbl>
    <w:p w:rsidR="00435E25" w:rsidRPr="00C60AD1" w:rsidRDefault="00EA0B95" w:rsidP="00C60AD1">
      <w:pPr>
        <w:spacing w:before="0"/>
        <w:jc w:val="left"/>
        <w:rPr>
          <w:rFonts w:cs="Calibri"/>
          <w:i/>
          <w:sz w:val="20"/>
          <w:szCs w:val="22"/>
          <w:lang w:val="en-US"/>
        </w:rPr>
      </w:pPr>
      <w:r w:rsidRPr="00C60AD1">
        <w:rPr>
          <w:rFonts w:cs="Calibri"/>
          <w:i/>
          <w:sz w:val="20"/>
          <w:szCs w:val="22"/>
          <w:lang w:val="en-US"/>
        </w:rPr>
        <w:t>* The BST as claimed by the Petitioner does not include the impact of O&amp;M Expenses of UPPCL which it has claimed separately.</w:t>
      </w:r>
    </w:p>
    <w:p w:rsidR="00435E25" w:rsidRPr="00C60AD1" w:rsidRDefault="00435E25" w:rsidP="00C60AD1">
      <w:pPr>
        <w:spacing w:before="0" w:after="200"/>
        <w:jc w:val="left"/>
        <w:rPr>
          <w:rFonts w:cs="Calibri"/>
          <w:i/>
          <w:sz w:val="22"/>
          <w:szCs w:val="22"/>
          <w:lang w:val="en-US"/>
        </w:rPr>
      </w:pPr>
    </w:p>
    <w:p w:rsidR="003147B8" w:rsidRPr="00C60AD1" w:rsidRDefault="003147B8" w:rsidP="00C60AD1">
      <w:pPr>
        <w:pStyle w:val="Heading2"/>
        <w:rPr>
          <w:rFonts w:cs="Calibri"/>
          <w:b w:val="0"/>
          <w:bCs w:val="0"/>
          <w:szCs w:val="26"/>
          <w:lang w:val="en-US"/>
        </w:rPr>
      </w:pPr>
      <w:bookmarkStart w:id="201" w:name="_Toc419641573"/>
      <w:bookmarkStart w:id="202" w:name="_Toc420005498"/>
      <w:bookmarkStart w:id="203" w:name="_Toc420016189"/>
      <w:bookmarkStart w:id="204" w:name="_Toc420020964"/>
      <w:bookmarkStart w:id="205" w:name="_Toc420193364"/>
      <w:bookmarkStart w:id="206" w:name="_Toc420193506"/>
      <w:bookmarkStart w:id="207" w:name="_Toc420196253"/>
      <w:bookmarkStart w:id="208" w:name="_Toc420197507"/>
      <w:bookmarkStart w:id="209" w:name="_Toc356912998"/>
      <w:bookmarkStart w:id="210" w:name="_Toc457355475"/>
      <w:bookmarkEnd w:id="201"/>
      <w:bookmarkEnd w:id="202"/>
      <w:bookmarkEnd w:id="203"/>
      <w:bookmarkEnd w:id="204"/>
      <w:bookmarkEnd w:id="205"/>
      <w:bookmarkEnd w:id="206"/>
      <w:bookmarkEnd w:id="207"/>
      <w:bookmarkEnd w:id="208"/>
      <w:r w:rsidRPr="00C60AD1">
        <w:rPr>
          <w:rFonts w:cs="Calibri"/>
          <w:szCs w:val="26"/>
          <w:lang w:val="en-US"/>
        </w:rPr>
        <w:t>TRANSMISSION CHARGES</w:t>
      </w:r>
      <w:bookmarkEnd w:id="209"/>
      <w:bookmarkEnd w:id="210"/>
    </w:p>
    <w:p w:rsidR="003147B8" w:rsidRPr="00C60AD1" w:rsidRDefault="003147B8" w:rsidP="00C60AD1">
      <w:pPr>
        <w:pStyle w:val="Heading3"/>
        <w:tabs>
          <w:tab w:val="clear" w:pos="720"/>
        </w:tabs>
        <w:spacing w:after="240"/>
        <w:ind w:left="993" w:hanging="993"/>
      </w:pPr>
      <w:bookmarkStart w:id="211" w:name="_Toc352568750"/>
      <w:bookmarkStart w:id="212" w:name="_Toc356912999"/>
      <w:r w:rsidRPr="00C60AD1">
        <w:t>The Petitioner submitted that in the Tariff Order for FY 20</w:t>
      </w:r>
      <w:r w:rsidR="00093C30" w:rsidRPr="00C60AD1">
        <w:t>1</w:t>
      </w:r>
      <w:r w:rsidR="00E50F5E">
        <w:t>3</w:t>
      </w:r>
      <w:r w:rsidR="00093C30" w:rsidRPr="00C60AD1">
        <w:t>-1</w:t>
      </w:r>
      <w:r w:rsidR="00E50F5E">
        <w:t>4</w:t>
      </w:r>
      <w:r w:rsidRPr="00C60AD1">
        <w:t xml:space="preserve">, the Commission had approved the Transmission Charges of Rs. </w:t>
      </w:r>
      <w:r w:rsidR="00AF47F8">
        <w:t>47.17</w:t>
      </w:r>
      <w:r w:rsidR="00E01FFF">
        <w:t xml:space="preserve"> </w:t>
      </w:r>
      <w:r w:rsidRPr="00C60AD1">
        <w:t xml:space="preserve">Crore towards projected power purchase of </w:t>
      </w:r>
      <w:r w:rsidR="00AF47F8">
        <w:t>3,494.41</w:t>
      </w:r>
      <w:r w:rsidR="00FD007E">
        <w:t xml:space="preserve"> </w:t>
      </w:r>
      <w:r w:rsidRPr="00C60AD1">
        <w:t xml:space="preserve">MU. The Petitioner submitted that as per the audited accounts, it has incurred Rs. </w:t>
      </w:r>
      <w:r w:rsidR="00AF47F8">
        <w:t>74.55</w:t>
      </w:r>
      <w:r w:rsidRPr="00C60AD1">
        <w:t xml:space="preserve"> Crore towards transmission charges. The Petitioner further submitted that the allowable power purchase input for FY 20</w:t>
      </w:r>
      <w:r w:rsidR="00093C30" w:rsidRPr="00C60AD1">
        <w:t>1</w:t>
      </w:r>
      <w:r w:rsidR="002E785E">
        <w:t>3</w:t>
      </w:r>
      <w:r w:rsidR="00093C30" w:rsidRPr="00C60AD1">
        <w:t>-1</w:t>
      </w:r>
      <w:r w:rsidR="002E785E">
        <w:t>4</w:t>
      </w:r>
      <w:r w:rsidRPr="00C60AD1">
        <w:t xml:space="preserve"> works out to </w:t>
      </w:r>
      <w:r w:rsidR="00AF47F8">
        <w:t>3,192.3</w:t>
      </w:r>
      <w:r w:rsidR="00F81A2F">
        <w:t>3</w:t>
      </w:r>
      <w:r w:rsidR="00FD007E">
        <w:t xml:space="preserve"> </w:t>
      </w:r>
      <w:r w:rsidRPr="00C60AD1">
        <w:t>MU and therefore, for the purpose of claiming the trued up transmission charges, the allowable power purchase input has been taken into consideration</w:t>
      </w:r>
      <w:r w:rsidR="008B0C65" w:rsidRPr="008B0C65">
        <w:t>. The Petitioner submitted that the per unit rate of Transmission Charge of Rs. 0.193 per kWh has been considered which is the rate submitted by UPPTCL in its True-up Petition for FY 2013-14 filed before the Commission.</w:t>
      </w:r>
      <w:r w:rsidRPr="00C60AD1">
        <w:t xml:space="preserve"> The Petitioner further </w:t>
      </w:r>
      <w:r w:rsidRPr="00C60AD1">
        <w:lastRenderedPageBreak/>
        <w:t>submitted that the allowable Transmission Charges for FY 20</w:t>
      </w:r>
      <w:r w:rsidR="00F23371">
        <w:t>13</w:t>
      </w:r>
      <w:r w:rsidR="00093C30" w:rsidRPr="00C60AD1">
        <w:t>-1</w:t>
      </w:r>
      <w:r w:rsidR="00F23371">
        <w:t>4</w:t>
      </w:r>
      <w:r w:rsidRPr="00C60AD1">
        <w:t xml:space="preserve"> works out Rs.</w:t>
      </w:r>
      <w:r w:rsidR="00AF47F8">
        <w:t>61.72</w:t>
      </w:r>
      <w:r w:rsidRPr="00C60AD1">
        <w:t xml:space="preserve"> Crore. </w:t>
      </w:r>
    </w:p>
    <w:p w:rsidR="003147B8" w:rsidRPr="00132E57" w:rsidRDefault="003147B8" w:rsidP="00C60AD1">
      <w:pPr>
        <w:pStyle w:val="Heading3"/>
        <w:tabs>
          <w:tab w:val="clear" w:pos="720"/>
        </w:tabs>
        <w:spacing w:after="240"/>
        <w:ind w:left="993" w:hanging="993"/>
      </w:pPr>
      <w:r w:rsidRPr="00C60AD1">
        <w:t xml:space="preserve">Accordingly, the Petitioner has claimed allowable transmission charges of </w:t>
      </w:r>
      <w:r w:rsidR="00FD007E">
        <w:t xml:space="preserve">Rs. </w:t>
      </w:r>
      <w:r w:rsidR="00AF47F8">
        <w:t>61.72</w:t>
      </w:r>
      <w:r w:rsidR="006D3FD6">
        <w:t xml:space="preserve"> </w:t>
      </w:r>
      <w:r w:rsidRPr="00C60AD1">
        <w:t xml:space="preserve">Crore against the </w:t>
      </w:r>
      <w:r w:rsidR="006D3FD6">
        <w:t>approved</w:t>
      </w:r>
      <w:r w:rsidR="008B0C65" w:rsidRPr="008B0C65">
        <w:t xml:space="preserve"> transmission charges of Rs. </w:t>
      </w:r>
      <w:r w:rsidR="00AF47F8">
        <w:t>47.17</w:t>
      </w:r>
      <w:r w:rsidR="00FD007E">
        <w:t xml:space="preserve"> </w:t>
      </w:r>
      <w:r w:rsidR="008B0C65" w:rsidRPr="008B0C65">
        <w:t>Crore.</w:t>
      </w:r>
    </w:p>
    <w:p w:rsidR="003147B8" w:rsidRPr="00132E57" w:rsidRDefault="008B0C65" w:rsidP="00C60AD1">
      <w:pPr>
        <w:pStyle w:val="Heading3"/>
        <w:tabs>
          <w:tab w:val="clear" w:pos="720"/>
        </w:tabs>
        <w:spacing w:after="240"/>
        <w:ind w:left="993" w:hanging="993"/>
      </w:pPr>
      <w:r w:rsidRPr="008B0C65">
        <w:t>It is observed that the Petitioner has considered the Transmission Charge equivalent to the rate submitted by UPPTCL in its true-up Petition for FY 2013</w:t>
      </w:r>
      <w:r w:rsidR="00FF50A1">
        <w:t>-14</w:t>
      </w:r>
      <w:r w:rsidRPr="008B0C65">
        <w:t>. Thus, to derive the allowable transmission charges, allowable power purchase input has been multiplied by the trued up transmission tariff as approved by the Commission in its True up Order for FY 2013</w:t>
      </w:r>
      <w:r w:rsidR="00FF50A1">
        <w:t>-14</w:t>
      </w:r>
      <w:r w:rsidRPr="008B0C65">
        <w:t>.</w:t>
      </w:r>
    </w:p>
    <w:p w:rsidR="003147B8" w:rsidRPr="00C60AD1" w:rsidRDefault="003147B8" w:rsidP="00C60AD1">
      <w:pPr>
        <w:pStyle w:val="Heading3"/>
        <w:tabs>
          <w:tab w:val="clear" w:pos="720"/>
        </w:tabs>
        <w:spacing w:after="240"/>
        <w:ind w:left="993" w:hanging="993"/>
      </w:pPr>
      <w:r w:rsidRPr="00C60AD1">
        <w:t>Accordingly, the table below provides the allowable transmission charges for the Petitioner for FY 20</w:t>
      </w:r>
      <w:r w:rsidR="008D1554" w:rsidRPr="00C60AD1">
        <w:t>1</w:t>
      </w:r>
      <w:r w:rsidR="00385ADA">
        <w:t>3</w:t>
      </w:r>
      <w:r w:rsidR="008D1554" w:rsidRPr="00C60AD1">
        <w:t>-1</w:t>
      </w:r>
      <w:r w:rsidR="00385ADA">
        <w:t>4</w:t>
      </w:r>
      <w:r w:rsidRPr="00C60AD1">
        <w:t>:</w:t>
      </w:r>
    </w:p>
    <w:p w:rsidR="003147B8" w:rsidRPr="00C60AD1" w:rsidRDefault="003147B8" w:rsidP="00C60AD1">
      <w:pPr>
        <w:spacing w:before="0"/>
        <w:jc w:val="center"/>
        <w:rPr>
          <w:b/>
          <w:sz w:val="22"/>
          <w:szCs w:val="22"/>
          <w:lang w:val="en-US"/>
        </w:rPr>
      </w:pPr>
      <w:bookmarkStart w:id="213" w:name="_Toc356913179"/>
      <w:bookmarkStart w:id="214" w:name="_Toc394490634"/>
      <w:bookmarkStart w:id="215" w:name="_Toc457355609"/>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8</w:t>
      </w:r>
      <w:r w:rsidR="004A2D9E" w:rsidRPr="00C60AD1">
        <w:rPr>
          <w:rFonts w:cs="Calibri"/>
          <w:b/>
          <w:sz w:val="22"/>
          <w:szCs w:val="22"/>
          <w:lang w:val="en-US"/>
        </w:rPr>
        <w:fldChar w:fldCharType="end"/>
      </w:r>
      <w:r w:rsidRPr="00C60AD1">
        <w:rPr>
          <w:rFonts w:cs="Calibri"/>
          <w:b/>
          <w:sz w:val="22"/>
          <w:szCs w:val="22"/>
          <w:lang w:val="en-US"/>
        </w:rPr>
        <w:t>: ALLOWABLE TRANSMISSION CHARGES FOR FY 20</w:t>
      </w:r>
      <w:r w:rsidR="008D1554" w:rsidRPr="00C60AD1">
        <w:rPr>
          <w:rFonts w:cs="Calibri"/>
          <w:b/>
          <w:sz w:val="22"/>
          <w:szCs w:val="22"/>
          <w:lang w:val="en-US"/>
        </w:rPr>
        <w:t>1</w:t>
      </w:r>
      <w:r w:rsidR="00385ADA">
        <w:rPr>
          <w:rFonts w:cs="Calibri"/>
          <w:b/>
          <w:sz w:val="22"/>
          <w:szCs w:val="22"/>
          <w:lang w:val="en-US"/>
        </w:rPr>
        <w:t>3</w:t>
      </w:r>
      <w:r w:rsidR="008D1554" w:rsidRPr="00C60AD1">
        <w:rPr>
          <w:rFonts w:cs="Calibri"/>
          <w:b/>
          <w:sz w:val="22"/>
          <w:szCs w:val="22"/>
          <w:lang w:val="en-US"/>
        </w:rPr>
        <w:t>-1</w:t>
      </w:r>
      <w:r w:rsidR="00385ADA">
        <w:rPr>
          <w:rFonts w:cs="Calibri"/>
          <w:b/>
          <w:sz w:val="22"/>
          <w:szCs w:val="22"/>
          <w:lang w:val="en-US"/>
        </w:rPr>
        <w:t>4</w:t>
      </w:r>
      <w:bookmarkEnd w:id="213"/>
      <w:bookmarkEnd w:id="214"/>
      <w:bookmarkEnd w:id="215"/>
    </w:p>
    <w:tbl>
      <w:tblPr>
        <w:tblW w:w="464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23"/>
        <w:gridCol w:w="1844"/>
        <w:gridCol w:w="1352"/>
        <w:gridCol w:w="1619"/>
      </w:tblGrid>
      <w:tr w:rsidR="00131386" w:rsidRPr="00AA3501" w:rsidTr="00AA3501">
        <w:trPr>
          <w:trHeight w:val="300"/>
          <w:tblHeader/>
          <w:jc w:val="center"/>
        </w:trPr>
        <w:tc>
          <w:tcPr>
            <w:tcW w:w="2276"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043"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Approved in Tariff Order</w:t>
            </w:r>
          </w:p>
        </w:tc>
        <w:tc>
          <w:tcPr>
            <w:tcW w:w="765" w:type="pct"/>
            <w:shd w:val="clear" w:color="000000" w:fill="DBE5F1"/>
            <w:hideMark/>
          </w:tcPr>
          <w:p w:rsidR="00EB1479" w:rsidRPr="00EB1479"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rPr>
              <w:t>True up Petition</w:t>
            </w:r>
          </w:p>
        </w:tc>
        <w:tc>
          <w:tcPr>
            <w:tcW w:w="916" w:type="pct"/>
            <w:shd w:val="clear" w:color="000000" w:fill="DBE5F1"/>
            <w:hideMark/>
          </w:tcPr>
          <w:p w:rsidR="00EB1479" w:rsidRPr="00EB1479" w:rsidRDefault="00EF2554">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AA3501">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AF47F8" w:rsidRPr="00AA3501" w:rsidTr="005A3471">
        <w:trPr>
          <w:trHeight w:val="300"/>
          <w:jc w:val="center"/>
        </w:trPr>
        <w:tc>
          <w:tcPr>
            <w:tcW w:w="2276" w:type="pct"/>
            <w:shd w:val="clear" w:color="auto" w:fill="auto"/>
            <w:noWrap/>
            <w:vAlign w:val="bottom"/>
            <w:hideMark/>
          </w:tcPr>
          <w:p w:rsidR="00AF47F8" w:rsidRDefault="00AF47F8">
            <w:pPr>
              <w:spacing w:before="0" w:line="240" w:lineRule="auto"/>
              <w:rPr>
                <w:rFonts w:asciiTheme="minorHAnsi" w:hAnsiTheme="minorHAnsi"/>
                <w:sz w:val="22"/>
                <w:lang w:val="en-US"/>
              </w:rPr>
            </w:pPr>
            <w:r w:rsidRPr="00027D0D">
              <w:rPr>
                <w:rFonts w:asciiTheme="minorHAnsi" w:hAnsiTheme="minorHAnsi"/>
                <w:sz w:val="22"/>
                <w:lang w:val="en-US"/>
              </w:rPr>
              <w:t xml:space="preserve"> Units Wheeled (MU)</w:t>
            </w:r>
          </w:p>
        </w:tc>
        <w:tc>
          <w:tcPr>
            <w:tcW w:w="1043" w:type="pct"/>
            <w:shd w:val="clear" w:color="auto" w:fill="auto"/>
            <w:noWrap/>
            <w:vAlign w:val="bottom"/>
            <w:hideMark/>
          </w:tcPr>
          <w:p w:rsidR="00AF47F8" w:rsidRPr="00AF47F8" w:rsidRDefault="00023318">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 xml:space="preserve"> 3,494 </w:t>
            </w:r>
          </w:p>
        </w:tc>
        <w:tc>
          <w:tcPr>
            <w:tcW w:w="765" w:type="pct"/>
            <w:shd w:val="clear" w:color="auto" w:fill="auto"/>
            <w:noWrap/>
            <w:vAlign w:val="bottom"/>
            <w:hideMark/>
          </w:tcPr>
          <w:p w:rsidR="00AF47F8" w:rsidRPr="00AF47F8" w:rsidRDefault="00023318" w:rsidP="00E6541A">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 xml:space="preserve"> 3,192.3</w:t>
            </w:r>
            <w:r w:rsidR="00E6541A">
              <w:rPr>
                <w:rFonts w:asciiTheme="minorHAnsi" w:hAnsiTheme="minorHAnsi" w:cs="Arial"/>
                <w:color w:val="000000"/>
                <w:sz w:val="22"/>
                <w:szCs w:val="22"/>
              </w:rPr>
              <w:t>2</w:t>
            </w:r>
            <w:r w:rsidRPr="00023318">
              <w:rPr>
                <w:rFonts w:asciiTheme="minorHAnsi" w:hAnsiTheme="minorHAnsi" w:cs="Arial"/>
                <w:color w:val="000000"/>
                <w:sz w:val="22"/>
                <w:szCs w:val="22"/>
              </w:rPr>
              <w:t xml:space="preserve"> </w:t>
            </w:r>
          </w:p>
        </w:tc>
        <w:tc>
          <w:tcPr>
            <w:tcW w:w="916" w:type="pct"/>
            <w:shd w:val="clear" w:color="auto" w:fill="auto"/>
            <w:noWrap/>
            <w:vAlign w:val="bottom"/>
            <w:hideMark/>
          </w:tcPr>
          <w:p w:rsidR="00AF47F8" w:rsidRPr="00AF47F8" w:rsidRDefault="00023318" w:rsidP="00E6541A">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3192.3</w:t>
            </w:r>
            <w:r w:rsidR="00E6541A">
              <w:rPr>
                <w:rFonts w:asciiTheme="minorHAnsi" w:hAnsiTheme="minorHAnsi" w:cs="Arial"/>
                <w:color w:val="000000"/>
                <w:sz w:val="22"/>
                <w:szCs w:val="22"/>
              </w:rPr>
              <w:t>2</w:t>
            </w:r>
          </w:p>
        </w:tc>
      </w:tr>
      <w:tr w:rsidR="00AF47F8" w:rsidRPr="00AA3501" w:rsidTr="005A3471">
        <w:trPr>
          <w:trHeight w:val="300"/>
          <w:jc w:val="center"/>
        </w:trPr>
        <w:tc>
          <w:tcPr>
            <w:tcW w:w="2276" w:type="pct"/>
            <w:shd w:val="clear" w:color="auto" w:fill="auto"/>
            <w:noWrap/>
            <w:vAlign w:val="bottom"/>
            <w:hideMark/>
          </w:tcPr>
          <w:p w:rsidR="00AF47F8" w:rsidRDefault="00AF47F8">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Trued up Transmission Charge (Rs./kWh)</w:t>
            </w:r>
          </w:p>
        </w:tc>
        <w:tc>
          <w:tcPr>
            <w:tcW w:w="1043" w:type="pct"/>
            <w:shd w:val="clear" w:color="auto" w:fill="auto"/>
            <w:noWrap/>
            <w:vAlign w:val="bottom"/>
            <w:hideMark/>
          </w:tcPr>
          <w:p w:rsidR="00AF47F8" w:rsidRPr="00AF47F8" w:rsidRDefault="00023318">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0.135</w:t>
            </w:r>
          </w:p>
        </w:tc>
        <w:tc>
          <w:tcPr>
            <w:tcW w:w="765" w:type="pct"/>
            <w:shd w:val="clear" w:color="auto" w:fill="auto"/>
            <w:noWrap/>
            <w:vAlign w:val="bottom"/>
            <w:hideMark/>
          </w:tcPr>
          <w:p w:rsidR="00AF47F8" w:rsidRPr="00AF47F8" w:rsidRDefault="00023318">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0.193</w:t>
            </w:r>
          </w:p>
        </w:tc>
        <w:tc>
          <w:tcPr>
            <w:tcW w:w="916" w:type="pct"/>
            <w:shd w:val="clear" w:color="auto" w:fill="auto"/>
            <w:noWrap/>
            <w:vAlign w:val="bottom"/>
            <w:hideMark/>
          </w:tcPr>
          <w:p w:rsidR="00AF47F8" w:rsidRPr="00AF47F8" w:rsidRDefault="00023318">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0.125</w:t>
            </w:r>
          </w:p>
        </w:tc>
      </w:tr>
      <w:tr w:rsidR="00AF47F8" w:rsidRPr="00AA3501" w:rsidTr="005A3471">
        <w:trPr>
          <w:trHeight w:val="300"/>
          <w:jc w:val="center"/>
        </w:trPr>
        <w:tc>
          <w:tcPr>
            <w:tcW w:w="2276" w:type="pct"/>
            <w:shd w:val="clear" w:color="auto" w:fill="auto"/>
            <w:noWrap/>
            <w:vAlign w:val="bottom"/>
            <w:hideMark/>
          </w:tcPr>
          <w:p w:rsidR="00AF47F8" w:rsidRPr="00AA3501" w:rsidRDefault="00AF47F8" w:rsidP="00C60AD1">
            <w:pPr>
              <w:spacing w:before="0" w:line="240" w:lineRule="auto"/>
              <w:jc w:val="left"/>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Transmission Charges (Rs. Crore)</w:t>
            </w:r>
          </w:p>
        </w:tc>
        <w:tc>
          <w:tcPr>
            <w:tcW w:w="1043" w:type="pct"/>
            <w:shd w:val="clear" w:color="auto" w:fill="auto"/>
            <w:noWrap/>
            <w:vAlign w:val="bottom"/>
            <w:hideMark/>
          </w:tcPr>
          <w:p w:rsidR="00AF47F8" w:rsidRPr="00AF47F8" w:rsidRDefault="00023318">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47.1</w:t>
            </w:r>
            <w:r w:rsidR="002B53FA">
              <w:rPr>
                <w:rFonts w:asciiTheme="minorHAnsi" w:hAnsiTheme="minorHAnsi" w:cs="Arial"/>
                <w:b/>
                <w:bCs/>
                <w:color w:val="000000"/>
                <w:sz w:val="22"/>
                <w:szCs w:val="22"/>
              </w:rPr>
              <w:t>7</w:t>
            </w:r>
            <w:r w:rsidRPr="00023318">
              <w:rPr>
                <w:rFonts w:asciiTheme="minorHAnsi" w:hAnsiTheme="minorHAnsi" w:cs="Arial"/>
                <w:b/>
                <w:bCs/>
                <w:color w:val="000000"/>
                <w:sz w:val="22"/>
                <w:szCs w:val="22"/>
              </w:rPr>
              <w:t xml:space="preserve"> </w:t>
            </w:r>
          </w:p>
        </w:tc>
        <w:tc>
          <w:tcPr>
            <w:tcW w:w="765" w:type="pct"/>
            <w:shd w:val="clear" w:color="000000" w:fill="FFFFFF"/>
            <w:noWrap/>
            <w:vAlign w:val="bottom"/>
            <w:hideMark/>
          </w:tcPr>
          <w:p w:rsidR="00AF47F8" w:rsidRPr="00AF47F8" w:rsidRDefault="00023318">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 xml:space="preserve">61.72 </w:t>
            </w:r>
          </w:p>
        </w:tc>
        <w:tc>
          <w:tcPr>
            <w:tcW w:w="916" w:type="pct"/>
            <w:shd w:val="clear" w:color="auto" w:fill="auto"/>
            <w:noWrap/>
            <w:vAlign w:val="bottom"/>
            <w:hideMark/>
          </w:tcPr>
          <w:p w:rsidR="00AF47F8" w:rsidRPr="00AF47F8" w:rsidRDefault="00023318">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 xml:space="preserve">         39.81 </w:t>
            </w:r>
          </w:p>
        </w:tc>
      </w:tr>
    </w:tbl>
    <w:p w:rsidR="003147B8" w:rsidRPr="00C60AD1" w:rsidRDefault="003147B8" w:rsidP="00C60AD1">
      <w:pPr>
        <w:spacing w:before="0" w:after="200"/>
        <w:jc w:val="left"/>
        <w:rPr>
          <w:rFonts w:ascii="Cambria" w:hAnsi="Cambria"/>
          <w:b/>
          <w:bCs/>
          <w:sz w:val="22"/>
          <w:szCs w:val="26"/>
          <w:lang w:val="en-US"/>
        </w:rPr>
      </w:pPr>
    </w:p>
    <w:p w:rsidR="003147B8" w:rsidRPr="00C60AD1" w:rsidRDefault="003147B8" w:rsidP="00C60AD1">
      <w:pPr>
        <w:pStyle w:val="Heading2"/>
        <w:rPr>
          <w:rFonts w:cs="Calibri"/>
          <w:b w:val="0"/>
          <w:bCs w:val="0"/>
          <w:szCs w:val="26"/>
          <w:lang w:val="en-US"/>
        </w:rPr>
      </w:pPr>
      <w:bookmarkStart w:id="216" w:name="_Toc457355476"/>
      <w:r w:rsidRPr="00C60AD1">
        <w:rPr>
          <w:rFonts w:cs="Calibri"/>
          <w:szCs w:val="26"/>
          <w:lang w:val="en-US"/>
        </w:rPr>
        <w:t>O&amp;M EXPENSES</w:t>
      </w:r>
      <w:bookmarkEnd w:id="211"/>
      <w:bookmarkEnd w:id="212"/>
      <w:bookmarkEnd w:id="216"/>
    </w:p>
    <w:p w:rsidR="003147B8" w:rsidRPr="00C60AD1" w:rsidRDefault="003147B8" w:rsidP="00C60AD1">
      <w:pPr>
        <w:pStyle w:val="Heading3"/>
        <w:tabs>
          <w:tab w:val="clear" w:pos="720"/>
        </w:tabs>
        <w:spacing w:after="240"/>
        <w:ind w:left="993" w:hanging="993"/>
      </w:pPr>
      <w:r w:rsidRPr="00C60AD1">
        <w:t xml:space="preserve">Operation and Maintenance (O&amp;M) expenses comprise of employee related costs, A&amp;G expenses and R&amp;M expenditure. </w:t>
      </w:r>
    </w:p>
    <w:p w:rsidR="003147B8" w:rsidRPr="00C60AD1" w:rsidRDefault="003147B8" w:rsidP="00C60AD1">
      <w:pPr>
        <w:pStyle w:val="Heading3"/>
        <w:tabs>
          <w:tab w:val="clear" w:pos="720"/>
        </w:tabs>
        <w:spacing w:after="240"/>
        <w:ind w:left="993" w:hanging="993"/>
        <w:rPr>
          <w:b/>
        </w:rPr>
      </w:pPr>
      <w:r w:rsidRPr="00C60AD1">
        <w:t>The Petitioner’s submissions on each of the heads of O&amp;M expenditure for FY 20</w:t>
      </w:r>
      <w:r w:rsidR="009C38B2" w:rsidRPr="00C60AD1">
        <w:t>1</w:t>
      </w:r>
      <w:r w:rsidR="00122240">
        <w:t>3</w:t>
      </w:r>
      <w:r w:rsidR="009C38B2" w:rsidRPr="00C60AD1">
        <w:t>-1</w:t>
      </w:r>
      <w:r w:rsidR="00122240">
        <w:t>4</w:t>
      </w:r>
      <w:r w:rsidRPr="00C60AD1">
        <w:t>, and the Commission’s analysis on the truing up of the O&amp;M expenditure heads are detailed below</w:t>
      </w:r>
      <w:r w:rsidR="009D331C">
        <w:t>.</w:t>
      </w:r>
    </w:p>
    <w:p w:rsidR="003147B8" w:rsidRPr="00C60AD1" w:rsidRDefault="003147B8" w:rsidP="00C60AD1">
      <w:pPr>
        <w:pStyle w:val="Heading3"/>
        <w:tabs>
          <w:tab w:val="clear" w:pos="720"/>
        </w:tabs>
        <w:spacing w:after="240"/>
        <w:ind w:left="993" w:hanging="993"/>
      </w:pPr>
      <w:r w:rsidRPr="00C60AD1">
        <w:t>The Petitioner submitted that the actual net employee expenses for FY 20</w:t>
      </w:r>
      <w:r w:rsidR="009C38B2" w:rsidRPr="00C60AD1">
        <w:t>1</w:t>
      </w:r>
      <w:r w:rsidR="00134C50">
        <w:t>3</w:t>
      </w:r>
      <w:r w:rsidR="009C38B2" w:rsidRPr="00C60AD1">
        <w:t>-1</w:t>
      </w:r>
      <w:r w:rsidR="00134C50">
        <w:t>4</w:t>
      </w:r>
      <w:r w:rsidRPr="00C60AD1">
        <w:t xml:space="preserve"> is Rs. </w:t>
      </w:r>
      <w:r w:rsidR="00AF47F8">
        <w:t>102.51</w:t>
      </w:r>
      <w:r w:rsidR="0068420A">
        <w:t xml:space="preserve"> </w:t>
      </w:r>
      <w:r w:rsidRPr="00C60AD1">
        <w:t xml:space="preserve">Crore, against the approved expenses of Rs. </w:t>
      </w:r>
      <w:r w:rsidR="00AF47F8">
        <w:t>108.</w:t>
      </w:r>
      <w:r w:rsidR="001022E1">
        <w:t>19</w:t>
      </w:r>
      <w:r w:rsidRPr="00C60AD1">
        <w:t xml:space="preserve"> Crore. The Petitioner submitted the actual net administrative and general expenses for FY 20</w:t>
      </w:r>
      <w:r w:rsidR="00A86124" w:rsidRPr="00C60AD1">
        <w:t>1</w:t>
      </w:r>
      <w:r w:rsidR="00972F61">
        <w:t>3</w:t>
      </w:r>
      <w:r w:rsidR="00A86124" w:rsidRPr="00C60AD1">
        <w:t>-1</w:t>
      </w:r>
      <w:r w:rsidR="00972F61">
        <w:t>4</w:t>
      </w:r>
      <w:r w:rsidRPr="00C60AD1">
        <w:t xml:space="preserve"> is Rs. </w:t>
      </w:r>
      <w:r w:rsidR="00AF47F8">
        <w:t>53.57</w:t>
      </w:r>
      <w:r w:rsidRPr="00C60AD1">
        <w:t xml:space="preserve"> Crore against the approved expenses of Rs. </w:t>
      </w:r>
      <w:r w:rsidR="00844E91">
        <w:t>7</w:t>
      </w:r>
      <w:r w:rsidR="00AF47F8">
        <w:t>.00</w:t>
      </w:r>
      <w:r w:rsidR="000A4645">
        <w:t xml:space="preserve"> </w:t>
      </w:r>
      <w:r w:rsidRPr="00C60AD1">
        <w:t xml:space="preserve">Crore. </w:t>
      </w:r>
    </w:p>
    <w:p w:rsidR="003147B8" w:rsidRPr="00C60AD1" w:rsidRDefault="003147B8" w:rsidP="00C60AD1">
      <w:pPr>
        <w:pStyle w:val="Heading3"/>
        <w:tabs>
          <w:tab w:val="clear" w:pos="720"/>
        </w:tabs>
        <w:spacing w:after="240"/>
        <w:ind w:left="993" w:hanging="993"/>
      </w:pPr>
      <w:r w:rsidRPr="00C60AD1">
        <w:t>The Petitioner has submitted the actual Repair and Maintenance (R&amp;M) Expenses for FY 20</w:t>
      </w:r>
      <w:r w:rsidR="00A86124" w:rsidRPr="00C60AD1">
        <w:t>1</w:t>
      </w:r>
      <w:r w:rsidR="002E4016">
        <w:t>3</w:t>
      </w:r>
      <w:r w:rsidR="00A86124" w:rsidRPr="00C60AD1">
        <w:t>-1</w:t>
      </w:r>
      <w:r w:rsidR="002E4016">
        <w:t>4</w:t>
      </w:r>
      <w:r w:rsidRPr="00C60AD1">
        <w:t xml:space="preserve"> as Rs. </w:t>
      </w:r>
      <w:r w:rsidR="00AF47F8">
        <w:t>46.16</w:t>
      </w:r>
      <w:r w:rsidR="000A4645">
        <w:t xml:space="preserve"> </w:t>
      </w:r>
      <w:r w:rsidRPr="00C60AD1">
        <w:t>Crore as against the approved expenses of Rs.</w:t>
      </w:r>
      <w:r w:rsidR="009426BC">
        <w:t xml:space="preserve"> </w:t>
      </w:r>
      <w:r w:rsidR="00AF47F8">
        <w:t>53.01</w:t>
      </w:r>
      <w:r w:rsidR="000A4645">
        <w:t xml:space="preserve"> </w:t>
      </w:r>
      <w:r w:rsidRPr="00C60AD1">
        <w:t>Crore. The Petitioner has claimed the actual R&amp;M Expenses for FY 20</w:t>
      </w:r>
      <w:r w:rsidR="001D3FA9" w:rsidRPr="00C60AD1">
        <w:t>13</w:t>
      </w:r>
      <w:r w:rsidR="00D6621C">
        <w:t>-14</w:t>
      </w:r>
      <w:r w:rsidRPr="00C60AD1">
        <w:t xml:space="preserve">. </w:t>
      </w:r>
    </w:p>
    <w:p w:rsidR="003147B8" w:rsidRPr="00C60AD1" w:rsidRDefault="003147B8" w:rsidP="00C60AD1">
      <w:pPr>
        <w:pStyle w:val="Heading3"/>
        <w:tabs>
          <w:tab w:val="clear" w:pos="720"/>
        </w:tabs>
        <w:spacing w:after="240"/>
        <w:ind w:left="993" w:hanging="993"/>
      </w:pPr>
      <w:r w:rsidRPr="00C60AD1">
        <w:lastRenderedPageBreak/>
        <w:t xml:space="preserve">Regulation 4.3 of Distribution Tariff Regulations, 2006 stipulates the methodology for consideration of the O&amp;M Expenses, wherein such expenses are linked to the inflation index determined under these Regulations. The relevant provisions of the Distribution Tariff Regulations, 2006 are reproduced below: </w:t>
      </w:r>
    </w:p>
    <w:p w:rsidR="003147B8" w:rsidRPr="00C60AD1" w:rsidRDefault="003147B8" w:rsidP="00C60AD1">
      <w:pPr>
        <w:autoSpaceDE w:val="0"/>
        <w:autoSpaceDN w:val="0"/>
        <w:adjustRightInd w:val="0"/>
        <w:spacing w:before="0" w:after="200"/>
        <w:ind w:left="1440"/>
        <w:rPr>
          <w:rFonts w:cs="Calibri"/>
          <w:b/>
          <w:i/>
          <w:szCs w:val="22"/>
          <w:lang w:val="en-US"/>
        </w:rPr>
      </w:pPr>
      <w:r w:rsidRPr="00C60AD1">
        <w:rPr>
          <w:rFonts w:cs="Calibri"/>
          <w:i/>
          <w:szCs w:val="22"/>
          <w:lang w:val="en-US"/>
        </w:rPr>
        <w:t>“</w:t>
      </w:r>
      <w:r w:rsidR="0022393E" w:rsidRPr="00C60AD1">
        <w:rPr>
          <w:rFonts w:cs="Calibri"/>
          <w:b/>
          <w:i/>
          <w:szCs w:val="22"/>
          <w:lang w:val="en-US"/>
        </w:rPr>
        <w:t>4.3</w:t>
      </w:r>
      <w:r w:rsidRPr="00C60AD1">
        <w:rPr>
          <w:rFonts w:cs="Calibri"/>
          <w:b/>
          <w:i/>
          <w:szCs w:val="22"/>
          <w:lang w:val="en-US"/>
        </w:rPr>
        <w:t>Operation &amp; Maintenance Expenses (O&amp;M):</w:t>
      </w:r>
    </w:p>
    <w:p w:rsidR="003147B8" w:rsidRPr="00C60AD1" w:rsidRDefault="003147B8" w:rsidP="00C60AD1">
      <w:pPr>
        <w:autoSpaceDE w:val="0"/>
        <w:autoSpaceDN w:val="0"/>
        <w:adjustRightInd w:val="0"/>
        <w:spacing w:before="0" w:after="200"/>
        <w:ind w:left="1440"/>
        <w:rPr>
          <w:rFonts w:cs="Calibri"/>
          <w:i/>
          <w:szCs w:val="22"/>
          <w:lang w:val="en-US"/>
        </w:rPr>
      </w:pPr>
      <w:r w:rsidRPr="00C60AD1">
        <w:rPr>
          <w:rFonts w:cs="Calibri"/>
          <w:i/>
          <w:szCs w:val="22"/>
          <w:lang w:val="en-US"/>
        </w:rPr>
        <w:t xml:space="preserve">1. 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O&amp;M expenses of the </w:t>
      </w:r>
      <w:r w:rsidRPr="00C60AD1">
        <w:rPr>
          <w:rFonts w:cs="Calibri"/>
          <w:b/>
          <w:i/>
          <w:szCs w:val="22"/>
          <w:u w:val="single"/>
          <w:lang w:val="en-US"/>
        </w:rPr>
        <w:t>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r w:rsidRPr="00C60AD1">
        <w:rPr>
          <w:rFonts w:cs="Calibri"/>
          <w:i/>
          <w:szCs w:val="22"/>
          <w:lang w:val="en-US"/>
        </w:rPr>
        <w:t>……..”[Emphasis added]</w:t>
      </w:r>
    </w:p>
    <w:p w:rsidR="006042EA" w:rsidRPr="00C60AD1" w:rsidRDefault="003147B8" w:rsidP="00C60AD1">
      <w:pPr>
        <w:pStyle w:val="Heading3"/>
        <w:tabs>
          <w:tab w:val="clear" w:pos="720"/>
        </w:tabs>
        <w:spacing w:after="240"/>
        <w:ind w:left="993" w:hanging="993"/>
      </w:pPr>
      <w:bookmarkStart w:id="217" w:name="_Ref396209771"/>
      <w:r w:rsidRPr="00C60AD1">
        <w:t>The Commission, in accordance with the above Regulation, has calculated the inflation index for FY 20</w:t>
      </w:r>
      <w:r w:rsidR="00A8079D" w:rsidRPr="00C60AD1">
        <w:t>1</w:t>
      </w:r>
      <w:r w:rsidR="00E5246B">
        <w:t>3</w:t>
      </w:r>
      <w:r w:rsidR="00A8079D" w:rsidRPr="00C60AD1">
        <w:t>-1</w:t>
      </w:r>
      <w:r w:rsidR="00E5246B">
        <w:t>4</w:t>
      </w:r>
      <w:r w:rsidRPr="00C60AD1">
        <w:t xml:space="preserve"> based on the weighted average index of WPI and CPI. The Commission has considered the WPI and CPI as available on the website of Economic Advisor, Ministry of Commerce and Industry</w:t>
      </w:r>
      <w:r w:rsidR="008C1D2C">
        <w:t>,</w:t>
      </w:r>
      <w:r w:rsidRPr="00C60AD1">
        <w:t xml:space="preserve"> Ministry of Labour, respectively. Accordingly, the Commission has calculated the inflation index for approval of O&amp;M expenses as shown in Table below:</w:t>
      </w:r>
      <w:bookmarkEnd w:id="217"/>
    </w:p>
    <w:p w:rsidR="009426BC" w:rsidRPr="00C60AD1" w:rsidRDefault="009426BC" w:rsidP="00C60AD1">
      <w:pPr>
        <w:spacing w:before="0" w:after="200"/>
        <w:jc w:val="left"/>
        <w:rPr>
          <w:rFonts w:cs="Calibri"/>
          <w:sz w:val="22"/>
          <w:szCs w:val="22"/>
          <w:lang w:val="en-US"/>
        </w:rPr>
        <w:sectPr w:rsidR="009426BC" w:rsidRPr="00C60AD1" w:rsidSect="00804BA3">
          <w:headerReference w:type="default" r:id="rId9"/>
          <w:footerReference w:type="default" r:id="rId10"/>
          <w:pgSz w:w="11909" w:h="16834"/>
          <w:pgMar w:top="656" w:right="1440" w:bottom="1440" w:left="1170" w:header="720" w:footer="720" w:gutter="0"/>
          <w:pgNumType w:chapSep="colon"/>
          <w:cols w:space="720"/>
          <w:titlePg/>
          <w:docGrid w:linePitch="326"/>
        </w:sectPr>
      </w:pPr>
    </w:p>
    <w:p w:rsidR="003147B8" w:rsidRPr="00C60AD1" w:rsidRDefault="00047B73" w:rsidP="00C60AD1">
      <w:pPr>
        <w:spacing w:before="0"/>
        <w:jc w:val="center"/>
        <w:rPr>
          <w:rFonts w:cs="Calibri"/>
          <w:b/>
          <w:sz w:val="22"/>
          <w:szCs w:val="22"/>
          <w:lang w:val="en-US"/>
        </w:rPr>
      </w:pPr>
      <w:bookmarkStart w:id="218" w:name="_Ref395788093"/>
      <w:bookmarkStart w:id="219" w:name="_Toc394490635"/>
      <w:bookmarkStart w:id="220" w:name="_Toc457355610"/>
      <w:r w:rsidRPr="00C60AD1">
        <w:rPr>
          <w:rFonts w:cs="Calibri"/>
          <w:b/>
          <w:sz w:val="22"/>
          <w:szCs w:val="22"/>
          <w:lang w:val="en-US"/>
        </w:rPr>
        <w:lastRenderedPageBreak/>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9</w:t>
      </w:r>
      <w:r w:rsidR="004A2D9E" w:rsidRPr="00C60AD1">
        <w:rPr>
          <w:rFonts w:cs="Calibri"/>
          <w:b/>
          <w:sz w:val="22"/>
          <w:szCs w:val="22"/>
          <w:lang w:val="en-US"/>
        </w:rPr>
        <w:fldChar w:fldCharType="end"/>
      </w:r>
      <w:bookmarkEnd w:id="218"/>
      <w:r w:rsidRPr="00C60AD1">
        <w:rPr>
          <w:rFonts w:cs="Calibri"/>
          <w:b/>
          <w:sz w:val="22"/>
          <w:szCs w:val="22"/>
          <w:lang w:val="en-US"/>
        </w:rPr>
        <w:t>: ESCALATION INDEX</w:t>
      </w:r>
      <w:bookmarkEnd w:id="219"/>
      <w:bookmarkEnd w:id="220"/>
    </w:p>
    <w:tbl>
      <w:tblPr>
        <w:tblW w:w="510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597"/>
        <w:gridCol w:w="548"/>
        <w:gridCol w:w="554"/>
        <w:gridCol w:w="554"/>
        <w:gridCol w:w="556"/>
        <w:gridCol w:w="554"/>
        <w:gridCol w:w="554"/>
        <w:gridCol w:w="554"/>
        <w:gridCol w:w="557"/>
        <w:gridCol w:w="754"/>
        <w:gridCol w:w="766"/>
        <w:gridCol w:w="772"/>
        <w:gridCol w:w="759"/>
      </w:tblGrid>
      <w:tr w:rsidR="00CF4F09" w:rsidRPr="00A009C0" w:rsidTr="005607D3">
        <w:trPr>
          <w:trHeight w:val="282"/>
          <w:tblHeader/>
          <w:jc w:val="center"/>
        </w:trPr>
        <w:tc>
          <w:tcPr>
            <w:tcW w:w="880" w:type="pct"/>
            <w:vMerge w:val="restart"/>
            <w:shd w:val="clear" w:color="auto" w:fill="C6D9F1" w:themeFill="text2" w:themeFillTint="33"/>
            <w:noWrap/>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Month</w:t>
            </w:r>
          </w:p>
        </w:tc>
        <w:tc>
          <w:tcPr>
            <w:tcW w:w="1218"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Wholesale Price Index</w:t>
            </w:r>
          </w:p>
        </w:tc>
        <w:tc>
          <w:tcPr>
            <w:tcW w:w="1222"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Consumer Price Index</w:t>
            </w:r>
          </w:p>
        </w:tc>
        <w:tc>
          <w:tcPr>
            <w:tcW w:w="1681" w:type="pct"/>
            <w:gridSpan w:val="4"/>
            <w:shd w:val="clear" w:color="auto" w:fill="C6D9F1" w:themeFill="text2" w:themeFillTint="33"/>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Consolidated Index</w:t>
            </w:r>
          </w:p>
        </w:tc>
      </w:tr>
      <w:tr w:rsidR="00CF4F09" w:rsidRPr="00A009C0" w:rsidTr="005607D3">
        <w:trPr>
          <w:trHeight w:val="542"/>
          <w:tblHeader/>
          <w:jc w:val="center"/>
        </w:trPr>
        <w:tc>
          <w:tcPr>
            <w:tcW w:w="880" w:type="pct"/>
            <w:vMerge/>
            <w:shd w:val="clear" w:color="auto" w:fill="C6D9F1" w:themeFill="text2" w:themeFillTint="33"/>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p>
        </w:tc>
        <w:tc>
          <w:tcPr>
            <w:tcW w:w="302"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 xml:space="preserve">FY </w:t>
            </w:r>
            <w:r w:rsidRPr="00E10BDD">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15</w:t>
            </w:r>
          </w:p>
        </w:tc>
        <w:tc>
          <w:tcPr>
            <w:tcW w:w="305" w:type="pct"/>
            <w:shd w:val="clear" w:color="auto" w:fill="C6D9F1" w:themeFill="text2" w:themeFillTint="33"/>
            <w:vAlign w:val="center"/>
            <w:hideMark/>
          </w:tcPr>
          <w:p w:rsidR="00CF4F09" w:rsidRPr="00361842" w:rsidRDefault="00CF4F09" w:rsidP="00A30A72">
            <w:pPr>
              <w:spacing w:before="0" w:line="240" w:lineRule="auto"/>
              <w:jc w:val="center"/>
              <w:rPr>
                <w:rFonts w:asciiTheme="minorHAnsi" w:hAnsiTheme="minorHAnsi" w:cstheme="minorHAnsi"/>
                <w:b/>
                <w:bCs/>
                <w:color w:val="000000"/>
                <w:sz w:val="20"/>
                <w:szCs w:val="20"/>
              </w:rPr>
            </w:pPr>
            <w:r w:rsidRPr="00E10BDD">
              <w:rPr>
                <w:rFonts w:asciiTheme="minorHAnsi" w:hAnsiTheme="minorHAnsi" w:cstheme="minorHAnsi"/>
                <w:b/>
                <w:bCs/>
                <w:color w:val="000000"/>
                <w:sz w:val="20"/>
                <w:szCs w:val="20"/>
              </w:rPr>
              <w:t>FY</w:t>
            </w:r>
            <w:r w:rsidRPr="00E10BDD">
              <w:rPr>
                <w:rFonts w:asciiTheme="minorHAnsi" w:hAnsiTheme="minorHAnsi" w:cstheme="minorHAnsi"/>
                <w:b/>
                <w:bCs/>
                <w:color w:val="000000"/>
                <w:sz w:val="20"/>
                <w:szCs w:val="20"/>
              </w:rPr>
              <w:br/>
              <w:t>16</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30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306"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c>
          <w:tcPr>
            <w:tcW w:w="41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 xml:space="preserve">FY </w:t>
            </w:r>
            <w:r w:rsidRPr="00361842">
              <w:rPr>
                <w:rFonts w:asciiTheme="minorHAnsi" w:hAnsiTheme="minorHAnsi" w:cstheme="minorHAnsi"/>
                <w:b/>
                <w:bCs/>
                <w:color w:val="000000"/>
                <w:sz w:val="20"/>
                <w:szCs w:val="20"/>
              </w:rPr>
              <w:br/>
              <w:t>13</w:t>
            </w:r>
          </w:p>
        </w:tc>
        <w:tc>
          <w:tcPr>
            <w:tcW w:w="422"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14</w:t>
            </w:r>
          </w:p>
        </w:tc>
        <w:tc>
          <w:tcPr>
            <w:tcW w:w="425"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15</w:t>
            </w:r>
          </w:p>
        </w:tc>
        <w:tc>
          <w:tcPr>
            <w:tcW w:w="419" w:type="pct"/>
            <w:shd w:val="clear" w:color="auto" w:fill="C6D9F1" w:themeFill="text2" w:themeFillTint="33"/>
            <w:vAlign w:val="center"/>
            <w:hideMark/>
          </w:tcPr>
          <w:p w:rsidR="00CF4F09" w:rsidRPr="00A009C0" w:rsidRDefault="00CF4F09" w:rsidP="00A30A72">
            <w:pPr>
              <w:spacing w:before="0" w:line="240" w:lineRule="auto"/>
              <w:jc w:val="center"/>
              <w:rPr>
                <w:rFonts w:asciiTheme="minorHAnsi" w:hAnsiTheme="minorHAnsi" w:cstheme="minorHAnsi"/>
                <w:b/>
                <w:bCs/>
                <w:color w:val="000000"/>
                <w:sz w:val="20"/>
                <w:szCs w:val="20"/>
                <w:lang w:val="en-IN" w:eastAsia="en-IN" w:bidi="te-IN"/>
              </w:rPr>
            </w:pPr>
            <w:r w:rsidRPr="00361842">
              <w:rPr>
                <w:rFonts w:asciiTheme="minorHAnsi" w:hAnsiTheme="minorHAnsi" w:cstheme="minorHAnsi"/>
                <w:b/>
                <w:bCs/>
                <w:color w:val="000000"/>
                <w:sz w:val="20"/>
                <w:szCs w:val="20"/>
              </w:rPr>
              <w:t>FY</w:t>
            </w:r>
            <w:r w:rsidRPr="00361842">
              <w:rPr>
                <w:rFonts w:asciiTheme="minorHAnsi" w:hAnsiTheme="minorHAnsi" w:cstheme="minorHAnsi"/>
                <w:b/>
                <w:bCs/>
                <w:color w:val="000000"/>
                <w:sz w:val="20"/>
                <w:szCs w:val="20"/>
              </w:rPr>
              <w:br/>
              <w:t>16</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April</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June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246</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261</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July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252</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263</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199</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August</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264</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186</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September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266</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October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205</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November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182</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243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270</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188</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206</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210</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December</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189</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214</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January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269</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191</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202</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208</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213</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February</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223</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253</w:t>
            </w:r>
          </w:p>
        </w:tc>
        <w:tc>
          <w:tcPr>
            <w:tcW w:w="306" w:type="pct"/>
            <w:shd w:val="clear" w:color="auto" w:fill="auto"/>
            <w:vAlign w:val="bottom"/>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267</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203</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211</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March</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180</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224</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239</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254</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268</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192</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204</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207</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27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Average</w:t>
            </w:r>
          </w:p>
        </w:tc>
        <w:tc>
          <w:tcPr>
            <w:tcW w:w="30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168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178</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181</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177</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215</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236</w:t>
            </w:r>
          </w:p>
        </w:tc>
        <w:tc>
          <w:tcPr>
            <w:tcW w:w="30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251</w:t>
            </w:r>
          </w:p>
        </w:tc>
        <w:tc>
          <w:tcPr>
            <w:tcW w:w="306"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265</w:t>
            </w:r>
          </w:p>
        </w:tc>
        <w:tc>
          <w:tcPr>
            <w:tcW w:w="41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187</w:t>
            </w:r>
          </w:p>
        </w:tc>
        <w:tc>
          <w:tcPr>
            <w:tcW w:w="422"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201</w:t>
            </w:r>
          </w:p>
        </w:tc>
        <w:tc>
          <w:tcPr>
            <w:tcW w:w="425"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209</w:t>
            </w:r>
          </w:p>
        </w:tc>
        <w:tc>
          <w:tcPr>
            <w:tcW w:w="419" w:type="pct"/>
            <w:shd w:val="clear" w:color="auto" w:fill="auto"/>
            <w:vAlign w:val="center"/>
            <w:hideMark/>
          </w:tcPr>
          <w:p w:rsidR="00CF4F09" w:rsidRPr="00361842" w:rsidRDefault="00CF4F09" w:rsidP="00A30A72">
            <w:pPr>
              <w:spacing w:before="0" w:line="240" w:lineRule="auto"/>
              <w:jc w:val="right"/>
              <w:rPr>
                <w:rFonts w:asciiTheme="minorHAnsi" w:hAnsiTheme="minorHAnsi" w:cstheme="minorHAnsi"/>
                <w:color w:val="000000"/>
                <w:sz w:val="20"/>
                <w:szCs w:val="20"/>
              </w:rPr>
            </w:pPr>
            <w:r w:rsidRPr="00E10BDD">
              <w:rPr>
                <w:rFonts w:asciiTheme="minorHAnsi" w:hAnsiTheme="minorHAnsi" w:cstheme="minorHAnsi"/>
                <w:color w:val="000000"/>
                <w:sz w:val="20"/>
                <w:szCs w:val="20"/>
              </w:rPr>
              <w:t>212</w:t>
            </w:r>
          </w:p>
        </w:tc>
      </w:tr>
      <w:tr w:rsidR="00CF4F09" w:rsidRPr="00A009C0" w:rsidTr="005607D3">
        <w:trPr>
          <w:trHeight w:val="622"/>
          <w:jc w:val="center"/>
        </w:trPr>
        <w:tc>
          <w:tcPr>
            <w:tcW w:w="880"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2"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color w:val="000000"/>
                <w:sz w:val="20"/>
                <w:szCs w:val="20"/>
                <w:lang w:val="en-IN" w:eastAsia="en-IN" w:bidi="te-IN"/>
              </w:rPr>
            </w:pPr>
            <w:r w:rsidRPr="00A009C0">
              <w:rPr>
                <w:rFonts w:cs="Calibri"/>
                <w:color w:val="000000"/>
                <w:sz w:val="20"/>
                <w:szCs w:val="20"/>
                <w:lang w:val="en-IN" w:eastAsia="en-IN" w:bidi="te-IN"/>
              </w:rPr>
              <w:t> </w:t>
            </w:r>
          </w:p>
        </w:tc>
        <w:tc>
          <w:tcPr>
            <w:tcW w:w="1681" w:type="pct"/>
            <w:gridSpan w:val="4"/>
            <w:shd w:val="clear" w:color="auto" w:fill="auto"/>
            <w:vAlign w:val="center"/>
            <w:hideMark/>
          </w:tcPr>
          <w:p w:rsidR="00CF4F09" w:rsidRPr="00A009C0" w:rsidRDefault="00CF4F09" w:rsidP="00A30A72">
            <w:pPr>
              <w:spacing w:before="0" w:line="240" w:lineRule="auto"/>
              <w:jc w:val="center"/>
              <w:rPr>
                <w:rFonts w:cs="Calibri"/>
                <w:b/>
                <w:bCs/>
                <w:color w:val="000000"/>
                <w:sz w:val="20"/>
                <w:szCs w:val="20"/>
                <w:lang w:val="en-IN" w:eastAsia="en-IN" w:bidi="te-IN"/>
              </w:rPr>
            </w:pPr>
            <w:r w:rsidRPr="00A009C0">
              <w:rPr>
                <w:rFonts w:cs="Calibri"/>
                <w:b/>
                <w:bCs/>
                <w:color w:val="000000"/>
                <w:sz w:val="20"/>
                <w:szCs w:val="20"/>
                <w:lang w:val="en-IN" w:eastAsia="en-IN" w:bidi="te-IN"/>
              </w:rPr>
              <w:t>Calculation of Inflation Index (CPI-40%, WPI-60%)</w:t>
            </w:r>
          </w:p>
        </w:tc>
      </w:tr>
      <w:tr w:rsidR="00CF4F09" w:rsidRPr="00A009C0" w:rsidTr="005607D3">
        <w:trPr>
          <w:trHeight w:val="272"/>
          <w:jc w:val="center"/>
        </w:trPr>
        <w:tc>
          <w:tcPr>
            <w:tcW w:w="880"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Weighted Average of Inflation</w:t>
            </w:r>
          </w:p>
        </w:tc>
        <w:tc>
          <w:tcPr>
            <w:tcW w:w="302" w:type="pct"/>
            <w:shd w:val="clear" w:color="auto" w:fill="auto"/>
            <w:noWrap/>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5"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306" w:type="pct"/>
            <w:shd w:val="clear" w:color="auto" w:fill="auto"/>
            <w:vAlign w:val="center"/>
            <w:hideMark/>
          </w:tcPr>
          <w:p w:rsidR="00CF4F09" w:rsidRPr="00A009C0" w:rsidRDefault="00CF4F09" w:rsidP="00A30A72">
            <w:pPr>
              <w:spacing w:before="0" w:line="240" w:lineRule="auto"/>
              <w:jc w:val="left"/>
              <w:rPr>
                <w:rFonts w:cs="Calibri"/>
                <w:b/>
                <w:bCs/>
                <w:color w:val="000000"/>
                <w:sz w:val="20"/>
                <w:szCs w:val="20"/>
                <w:lang w:val="en-IN" w:eastAsia="en-IN" w:bidi="te-IN"/>
              </w:rPr>
            </w:pPr>
            <w:r w:rsidRPr="00A009C0">
              <w:rPr>
                <w:rFonts w:cs="Calibri"/>
                <w:b/>
                <w:bCs/>
                <w:color w:val="000000"/>
                <w:sz w:val="20"/>
                <w:szCs w:val="20"/>
                <w:lang w:val="en-IN" w:eastAsia="en-IN" w:bidi="te-IN"/>
              </w:rPr>
              <w:t> </w:t>
            </w:r>
          </w:p>
        </w:tc>
        <w:tc>
          <w:tcPr>
            <w:tcW w:w="415" w:type="pct"/>
            <w:shd w:val="clear" w:color="auto" w:fill="auto"/>
            <w:vAlign w:val="center"/>
          </w:tcPr>
          <w:p w:rsidR="00CF4F09" w:rsidRDefault="00CF4F09" w:rsidP="00A30A72">
            <w:pPr>
              <w:spacing w:before="0" w:line="240" w:lineRule="auto"/>
              <w:jc w:val="right"/>
              <w:rPr>
                <w:rFonts w:asciiTheme="minorHAnsi" w:hAnsiTheme="minorHAnsi" w:cstheme="minorHAnsi"/>
                <w:b/>
                <w:color w:val="000000"/>
                <w:sz w:val="20"/>
                <w:szCs w:val="20"/>
              </w:rPr>
            </w:pPr>
          </w:p>
        </w:tc>
        <w:tc>
          <w:tcPr>
            <w:tcW w:w="422"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7.69%</w:t>
            </w:r>
          </w:p>
        </w:tc>
        <w:tc>
          <w:tcPr>
            <w:tcW w:w="425"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4.02%</w:t>
            </w:r>
          </w:p>
        </w:tc>
        <w:tc>
          <w:tcPr>
            <w:tcW w:w="419" w:type="pct"/>
            <w:shd w:val="clear" w:color="auto" w:fill="auto"/>
            <w:vAlign w:val="center"/>
            <w:hideMark/>
          </w:tcPr>
          <w:p w:rsidR="00CF4F09" w:rsidRDefault="00CF4F09" w:rsidP="00A30A72">
            <w:pPr>
              <w:spacing w:before="0" w:line="240" w:lineRule="auto"/>
              <w:jc w:val="right"/>
              <w:rPr>
                <w:rFonts w:asciiTheme="minorHAnsi" w:hAnsiTheme="minorHAnsi" w:cstheme="minorHAnsi"/>
                <w:b/>
                <w:color w:val="000000"/>
                <w:sz w:val="20"/>
                <w:szCs w:val="20"/>
              </w:rPr>
            </w:pPr>
            <w:r w:rsidRPr="00E10BDD">
              <w:rPr>
                <w:rFonts w:asciiTheme="minorHAnsi" w:hAnsiTheme="minorHAnsi" w:cstheme="minorHAnsi"/>
                <w:b/>
                <w:color w:val="000000"/>
                <w:sz w:val="20"/>
                <w:szCs w:val="20"/>
              </w:rPr>
              <w:t>1.39%</w:t>
            </w:r>
          </w:p>
        </w:tc>
      </w:tr>
    </w:tbl>
    <w:p w:rsidR="00CF4F09" w:rsidRDefault="00CF4F09" w:rsidP="00C60AD1">
      <w:pPr>
        <w:spacing w:before="0" w:after="200"/>
        <w:jc w:val="left"/>
        <w:rPr>
          <w:rFonts w:cs="Arial"/>
          <w:b/>
          <w:bCs/>
          <w:sz w:val="22"/>
          <w:szCs w:val="26"/>
          <w:lang w:val="en-US"/>
        </w:rPr>
      </w:pPr>
    </w:p>
    <w:p w:rsidR="003147B8" w:rsidRPr="005A5516" w:rsidRDefault="00C879D1" w:rsidP="00C60AD1">
      <w:pPr>
        <w:pStyle w:val="Heading3"/>
        <w:tabs>
          <w:tab w:val="clear" w:pos="720"/>
        </w:tabs>
        <w:spacing w:after="240"/>
        <w:ind w:left="993" w:hanging="993"/>
      </w:pPr>
      <w:r w:rsidRPr="007F7210">
        <w:t>The Commission has determined the trued up O&amp;M expenses of FY 201</w:t>
      </w:r>
      <w:r w:rsidR="008B0C65" w:rsidRPr="008B0C65">
        <w:t>2</w:t>
      </w:r>
      <w:r w:rsidRPr="007F7210">
        <w:t>-1</w:t>
      </w:r>
      <w:r w:rsidR="008B0C65" w:rsidRPr="008B0C65">
        <w:t>3</w:t>
      </w:r>
      <w:r w:rsidRPr="007F7210">
        <w:t xml:space="preserve">, in the Order dated </w:t>
      </w:r>
      <w:r w:rsidR="008B0C65" w:rsidRPr="008B0C65">
        <w:t>June</w:t>
      </w:r>
      <w:r w:rsidRPr="007F7210">
        <w:t xml:space="preserve"> 1</w:t>
      </w:r>
      <w:r w:rsidR="008B0C65" w:rsidRPr="008B0C65">
        <w:t>8</w:t>
      </w:r>
      <w:r w:rsidRPr="007F7210">
        <w:t>, 201</w:t>
      </w:r>
      <w:r w:rsidR="008B0C65" w:rsidRPr="008B0C65">
        <w:t>5</w:t>
      </w:r>
      <w:r w:rsidRPr="007F7210">
        <w:t>. The approved O&amp;M expenses for FY 201</w:t>
      </w:r>
      <w:r w:rsidR="008B0C65" w:rsidRPr="008B0C65">
        <w:t>2</w:t>
      </w:r>
      <w:r w:rsidRPr="007F7210">
        <w:t>-1</w:t>
      </w:r>
      <w:r w:rsidR="008B0C65" w:rsidRPr="008B0C65">
        <w:t>3</w:t>
      </w:r>
      <w:r w:rsidRPr="007F7210">
        <w:t xml:space="preserve"> have been escalated using the inflation index of FY 201</w:t>
      </w:r>
      <w:r w:rsidR="008B0C65" w:rsidRPr="008B0C65">
        <w:t>3</w:t>
      </w:r>
      <w:r w:rsidRPr="007F7210">
        <w:t>-1</w:t>
      </w:r>
      <w:r w:rsidR="008B0C65" w:rsidRPr="008B0C65">
        <w:t>4</w:t>
      </w:r>
      <w:r w:rsidRPr="007F7210">
        <w:t xml:space="preserve"> to derive the normative O&amp;M Expenses for FY 201</w:t>
      </w:r>
      <w:r w:rsidR="008B0C65" w:rsidRPr="008B0C65">
        <w:t>3</w:t>
      </w:r>
      <w:r w:rsidRPr="007F7210">
        <w:t>-1</w:t>
      </w:r>
      <w:r w:rsidR="008B0C65" w:rsidRPr="008B0C65">
        <w:t>4</w:t>
      </w:r>
      <w:r w:rsidRPr="007F7210">
        <w:t xml:space="preserve">. The Commission while computing the normative O&amp;M Expenses in this Order has considered the escalation rates as shown in the above Table. </w:t>
      </w:r>
    </w:p>
    <w:p w:rsidR="003147B8" w:rsidRPr="00513118" w:rsidRDefault="00C879D1" w:rsidP="00C60AD1">
      <w:pPr>
        <w:pStyle w:val="Heading3"/>
        <w:tabs>
          <w:tab w:val="clear" w:pos="720"/>
        </w:tabs>
        <w:spacing w:after="240"/>
        <w:ind w:left="993" w:hanging="993"/>
      </w:pPr>
      <w:r w:rsidRPr="00513118">
        <w:t>Further, in addition to the normative O&amp;M expenses based on inflation, the Distribution Tariff Regulations, 2006 provide for incremental O&amp;M expenses at 2.5 % on addition to asset during the previous year. Regulation 4.3 (3) of the Distribution Tariff Regulations, 2006 specifies as follows:</w:t>
      </w:r>
    </w:p>
    <w:p w:rsidR="003147B8" w:rsidRPr="00084665" w:rsidRDefault="00C879D1" w:rsidP="00C60AD1">
      <w:pPr>
        <w:spacing w:before="240" w:after="200"/>
        <w:ind w:left="993"/>
        <w:rPr>
          <w:rFonts w:cs="Calibri"/>
          <w:b/>
          <w:i/>
          <w:szCs w:val="22"/>
          <w:lang w:val="en-US"/>
        </w:rPr>
      </w:pPr>
      <w:r w:rsidRPr="00084665">
        <w:rPr>
          <w:rFonts w:cs="Calibri"/>
          <w:i/>
          <w:szCs w:val="22"/>
          <w:lang w:val="en-US"/>
        </w:rPr>
        <w:t xml:space="preserve">“4.3 </w:t>
      </w:r>
      <w:r w:rsidRPr="00084665">
        <w:rPr>
          <w:rFonts w:cs="Calibri"/>
          <w:b/>
          <w:i/>
          <w:szCs w:val="22"/>
          <w:lang w:val="en-US"/>
        </w:rPr>
        <w:t>Operation &amp; Maintenance Expenses (O&amp;M):</w:t>
      </w:r>
    </w:p>
    <w:p w:rsidR="003147B8" w:rsidRPr="00084665" w:rsidRDefault="00B65F83" w:rsidP="00C60AD1">
      <w:pPr>
        <w:spacing w:before="240" w:after="200"/>
        <w:ind w:left="993"/>
        <w:rPr>
          <w:rFonts w:cs="Calibri"/>
          <w:i/>
          <w:szCs w:val="22"/>
          <w:lang w:val="en-US"/>
        </w:rPr>
      </w:pPr>
      <w:r>
        <w:rPr>
          <w:rFonts w:cs="Calibri"/>
          <w:i/>
          <w:szCs w:val="22"/>
          <w:lang w:val="en-US"/>
        </w:rPr>
        <w:t>…</w:t>
      </w:r>
    </w:p>
    <w:p w:rsidR="003147B8" w:rsidRPr="00084665" w:rsidRDefault="00B65F83" w:rsidP="00C60AD1">
      <w:pPr>
        <w:spacing w:before="240" w:after="200"/>
        <w:ind w:left="993"/>
        <w:rPr>
          <w:rFonts w:cs="Calibri"/>
          <w:i/>
          <w:szCs w:val="22"/>
          <w:lang w:val="en-US"/>
        </w:rPr>
      </w:pPr>
      <w:r>
        <w:rPr>
          <w:rFonts w:cs="Calibri"/>
          <w:i/>
          <w:szCs w:val="22"/>
          <w:lang w:val="en-US"/>
        </w:rPr>
        <w:t xml:space="preserve">3) Incremental O&amp;M expenses for the ensuing financial year shall be 2.5% of capital addition during the current year. O&amp;M charges for the ensuing </w:t>
      </w:r>
      <w:r>
        <w:rPr>
          <w:rFonts w:cs="Calibri"/>
          <w:i/>
          <w:szCs w:val="22"/>
          <w:lang w:val="en-US"/>
        </w:rPr>
        <w:lastRenderedPageBreak/>
        <w:t>financial year shall be sum of incremental O&amp;M expenses so worked out and O&amp;M charges of current year escalated on the basis of predetermined indices as indicated in regulation 4.3(1).”</w:t>
      </w:r>
    </w:p>
    <w:p w:rsidR="004827D9" w:rsidRDefault="004827D9">
      <w:pPr>
        <w:pStyle w:val="Heading3"/>
        <w:tabs>
          <w:tab w:val="clear" w:pos="720"/>
        </w:tabs>
        <w:spacing w:after="240"/>
        <w:ind w:left="993" w:hanging="993"/>
      </w:pPr>
      <w:r w:rsidRPr="00D33270">
        <w:t xml:space="preserve">It is observed from below that the actual audited O&amp;M expenses for FY </w:t>
      </w:r>
      <w:r>
        <w:t>2013-14</w:t>
      </w:r>
      <w:r w:rsidRPr="00D33270">
        <w:t xml:space="preserve"> are less than the normative O&amp;M expenses computed based on the above Regulations. Since, the Licensee was able to restrict its O&amp;M expenses within the normative level, the Commission has therefore, approved the actual O&amp;M expenses for FY </w:t>
      </w:r>
      <w:r>
        <w:t>2013-14</w:t>
      </w:r>
      <w:r w:rsidRPr="00D33270">
        <w:t xml:space="preserve"> and has considered an efficiency gain of Rs. </w:t>
      </w:r>
      <w:r>
        <w:t>9.24</w:t>
      </w:r>
      <w:r w:rsidRPr="00D33270">
        <w:t xml:space="preserve"> Crore.</w:t>
      </w:r>
    </w:p>
    <w:p w:rsidR="003147B8" w:rsidRPr="0019533D" w:rsidRDefault="00B65F83" w:rsidP="00C60AD1">
      <w:pPr>
        <w:pStyle w:val="Heading3"/>
        <w:tabs>
          <w:tab w:val="clear" w:pos="720"/>
        </w:tabs>
        <w:spacing w:after="240"/>
        <w:ind w:left="993" w:hanging="993"/>
      </w:pPr>
      <w:r w:rsidRPr="00B65F83">
        <w:t>Further, in reply to the Commission’s query regarding whether CGRF expenses have been included in O&amp;M expenses, the Petitioner submitted that the CGRF expenses are part of the O&amp;M expenses claimed by it. The Petitioner submitted that such expenses are not separately accounted for and hence, details of such expe</w:t>
      </w:r>
      <w:r w:rsidR="00370A30" w:rsidRPr="00370A30">
        <w:t>nses are not available with it. The Petitioner requested the Commission to allow an ad</w:t>
      </w:r>
      <w:r w:rsidR="004339F0">
        <w:t>-</w:t>
      </w:r>
      <w:r w:rsidR="00370A30" w:rsidRPr="00370A30">
        <w:t xml:space="preserve">hoc allowance towards the CGRF expenses considering the remuneration norms and associated costs in the CGRF framework approved by the Commission. </w:t>
      </w:r>
    </w:p>
    <w:p w:rsidR="00020B4E" w:rsidRPr="0019533D" w:rsidRDefault="00B65F83" w:rsidP="00C60AD1">
      <w:pPr>
        <w:pStyle w:val="Heading3"/>
        <w:tabs>
          <w:tab w:val="clear" w:pos="720"/>
        </w:tabs>
        <w:spacing w:after="240"/>
        <w:ind w:left="993" w:hanging="993"/>
      </w:pPr>
      <w:r w:rsidRPr="00B65F83">
        <w:t>As the account for CGRF expenses is not separately maintained by the Licensee, no additional allowance towards this head has been considered by the Commission.</w:t>
      </w:r>
    </w:p>
    <w:p w:rsidR="00020B4E" w:rsidRDefault="00020B4E" w:rsidP="00020B4E">
      <w:pPr>
        <w:pStyle w:val="Heading3"/>
        <w:tabs>
          <w:tab w:val="clear" w:pos="720"/>
        </w:tabs>
        <w:spacing w:after="240"/>
        <w:ind w:left="993" w:hanging="993"/>
      </w:pPr>
      <w:bookmarkStart w:id="221" w:name="_Ref396853920"/>
      <w:r>
        <w:t xml:space="preserve">The </w:t>
      </w:r>
      <w:r w:rsidR="00D853E6">
        <w:t>Commi</w:t>
      </w:r>
      <w:r w:rsidR="00023318" w:rsidRPr="00023318">
        <w:t>ssion in its Tariff Order dated June</w:t>
      </w:r>
      <w:r w:rsidR="00D853E6">
        <w:t xml:space="preserve"> 1</w:t>
      </w:r>
      <w:r w:rsidR="00023318" w:rsidRPr="00023318">
        <w:t>8, 2015</w:t>
      </w:r>
      <w:r w:rsidR="00D853E6">
        <w:t xml:space="preserve"> had disallowed the interest on electricity duty as it is a charge incidental to the delay in remitting the electricity duty to the Government. Thus, in line with the approach adopted in the previous Truing-up Order the Commission has disallowed the interest on electricity duty of Rs. </w:t>
      </w:r>
      <w:r w:rsidR="006C1F7E">
        <w:t>30.9</w:t>
      </w:r>
      <w:r w:rsidR="00F25597">
        <w:t>2</w:t>
      </w:r>
      <w:r w:rsidR="00D853E6">
        <w:t xml:space="preserve"> Crore</w:t>
      </w:r>
      <w:r w:rsidR="00023318" w:rsidRPr="00023318">
        <w:t xml:space="preserve"> con</w:t>
      </w:r>
      <w:r>
        <w:t>sidered by the Petitioner while claiming  ac</w:t>
      </w:r>
      <w:r w:rsidR="006C1F7E">
        <w:t>tual A&amp;G expenses for FY 2013-14</w:t>
      </w:r>
      <w:r>
        <w:t>.</w:t>
      </w:r>
      <w:bookmarkEnd w:id="221"/>
    </w:p>
    <w:p w:rsidR="00FB7257" w:rsidRPr="0019533D" w:rsidRDefault="00B65F83" w:rsidP="00C60AD1">
      <w:pPr>
        <w:pStyle w:val="Heading3"/>
        <w:tabs>
          <w:tab w:val="clear" w:pos="720"/>
        </w:tabs>
        <w:spacing w:after="240"/>
        <w:ind w:left="993" w:hanging="993"/>
      </w:pPr>
      <w:r w:rsidRPr="00B65F83">
        <w:t>Further, as discussed earlier, in its reply to the Commission’s query regarding the details of expenses incurred toward</w:t>
      </w:r>
      <w:r w:rsidR="00370A30" w:rsidRPr="00370A30">
        <w:t xml:space="preserve">s apportionment of O&amp;M Expenses of UPPCL, the Petitioner submitted the allocation of O&amp;M Expenses of UPPCL. However, as detailed in </w:t>
      </w:r>
      <w:r w:rsidR="00060D35">
        <w:t>P</w:t>
      </w:r>
      <w:r w:rsidR="00370A30" w:rsidRPr="00370A30">
        <w:t xml:space="preserve">ara </w:t>
      </w:r>
      <w:fldSimple w:instr=" REF _Ref419628155 \n \h  \* MERGEFORMAT ">
        <w:r w:rsidR="0011185B">
          <w:t>4.2.10</w:t>
        </w:r>
      </w:fldSimple>
      <w:r w:rsidR="00EE6BDD" w:rsidRPr="00EE6BDD">
        <w:t xml:space="preserve">, </w:t>
      </w:r>
      <w:r w:rsidR="00AC3F65" w:rsidRPr="00AC3F65">
        <w:t>the apportionment of the O&amp;M Expenses of UPPCL has been considered in the Bulk Supply Tariff.</w:t>
      </w:r>
    </w:p>
    <w:p w:rsidR="003147B8" w:rsidRDefault="003147B8" w:rsidP="001571A2">
      <w:pPr>
        <w:pStyle w:val="Heading3"/>
        <w:tabs>
          <w:tab w:val="clear" w:pos="720"/>
        </w:tabs>
        <w:spacing w:after="240"/>
        <w:ind w:left="994" w:hanging="994"/>
        <w:rPr>
          <w:rFonts w:cs="Calibri"/>
        </w:rPr>
      </w:pPr>
      <w:bookmarkStart w:id="222" w:name="_Toc419641610"/>
      <w:bookmarkStart w:id="223" w:name="_Toc420005522"/>
      <w:bookmarkStart w:id="224" w:name="_Toc420016231"/>
      <w:bookmarkStart w:id="225" w:name="_Toc420016275"/>
      <w:bookmarkStart w:id="226" w:name="_Toc420196309"/>
      <w:bookmarkStart w:id="227" w:name="_Toc420196391"/>
      <w:bookmarkStart w:id="228" w:name="_Toc420197560"/>
      <w:bookmarkEnd w:id="222"/>
      <w:bookmarkEnd w:id="223"/>
      <w:bookmarkEnd w:id="224"/>
      <w:bookmarkEnd w:id="225"/>
      <w:bookmarkEnd w:id="226"/>
      <w:bookmarkEnd w:id="227"/>
      <w:bookmarkEnd w:id="228"/>
      <w:r w:rsidRPr="00C60AD1">
        <w:lastRenderedPageBreak/>
        <w:t>The summary of O&amp;M expen</w:t>
      </w:r>
      <w:r w:rsidR="006255D9">
        <w:t xml:space="preserve">ses approved in the Tariff </w:t>
      </w:r>
      <w:r w:rsidR="00F25597">
        <w:t>Order</w:t>
      </w:r>
      <w:r w:rsidRPr="00C60AD1">
        <w:t xml:space="preserve"> claimed by the Petitioner and as approved by the Commission in this Order for </w:t>
      </w:r>
      <w:r w:rsidR="00F25597">
        <w:t>T</w:t>
      </w:r>
      <w:r w:rsidR="00E212D4" w:rsidRPr="00C60AD1">
        <w:t>ruing</w:t>
      </w:r>
      <w:r w:rsidR="00F25597">
        <w:t>-</w:t>
      </w:r>
      <w:r w:rsidRPr="00C60AD1">
        <w:t>up of ARR for FY 20</w:t>
      </w:r>
      <w:r w:rsidR="00D620ED" w:rsidRPr="00C60AD1">
        <w:t>1</w:t>
      </w:r>
      <w:r w:rsidR="00331F00">
        <w:t>3</w:t>
      </w:r>
      <w:r w:rsidR="00D620ED" w:rsidRPr="00C60AD1">
        <w:t>-1</w:t>
      </w:r>
      <w:r w:rsidR="00331F00">
        <w:t>4</w:t>
      </w:r>
      <w:r w:rsidRPr="00C60AD1">
        <w:t>, is shown in the Table below</w:t>
      </w:r>
      <w:r w:rsidRPr="00C60AD1">
        <w:rPr>
          <w:rFonts w:cs="Calibri"/>
        </w:rPr>
        <w:t>:</w:t>
      </w:r>
    </w:p>
    <w:p w:rsidR="003147B8" w:rsidRPr="00C60AD1" w:rsidRDefault="008A1A72" w:rsidP="00C60AD1">
      <w:pPr>
        <w:spacing w:before="0"/>
        <w:jc w:val="center"/>
        <w:rPr>
          <w:rFonts w:cs="Calibri"/>
          <w:b/>
          <w:sz w:val="22"/>
          <w:szCs w:val="22"/>
          <w:lang w:val="en-US"/>
        </w:rPr>
      </w:pPr>
      <w:bookmarkStart w:id="229" w:name="_Ref396155581"/>
      <w:bookmarkStart w:id="230" w:name="_Toc394490638"/>
      <w:bookmarkStart w:id="231" w:name="_Toc457355611"/>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10</w:t>
      </w:r>
      <w:r w:rsidR="004A2D9E" w:rsidRPr="00C60AD1">
        <w:rPr>
          <w:rFonts w:cs="Calibri"/>
          <w:b/>
          <w:sz w:val="22"/>
          <w:szCs w:val="22"/>
          <w:lang w:val="en-US"/>
        </w:rPr>
        <w:fldChar w:fldCharType="end"/>
      </w:r>
      <w:bookmarkEnd w:id="229"/>
      <w:r w:rsidRPr="00C60AD1">
        <w:rPr>
          <w:rFonts w:cs="Calibri"/>
          <w:b/>
          <w:sz w:val="22"/>
          <w:szCs w:val="22"/>
          <w:lang w:val="en-US"/>
        </w:rPr>
        <w:t>: O&amp;M EXPENSES AS APPROVED BY THE COMMISSION FOR FY 20</w:t>
      </w:r>
      <w:r w:rsidR="0022393E" w:rsidRPr="00C60AD1">
        <w:rPr>
          <w:rFonts w:cs="Calibri"/>
          <w:b/>
          <w:sz w:val="22"/>
          <w:szCs w:val="22"/>
          <w:lang w:val="en-US"/>
        </w:rPr>
        <w:t>1</w:t>
      </w:r>
      <w:r w:rsidR="002C438D">
        <w:rPr>
          <w:rFonts w:cs="Calibri"/>
          <w:b/>
          <w:sz w:val="22"/>
          <w:szCs w:val="22"/>
          <w:lang w:val="en-US"/>
        </w:rPr>
        <w:t>3</w:t>
      </w:r>
      <w:r w:rsidR="0022393E" w:rsidRPr="00C60AD1">
        <w:rPr>
          <w:rFonts w:cs="Calibri"/>
          <w:b/>
          <w:sz w:val="22"/>
          <w:szCs w:val="22"/>
          <w:lang w:val="en-US"/>
        </w:rPr>
        <w:t>-1</w:t>
      </w:r>
      <w:r w:rsidR="002C438D">
        <w:rPr>
          <w:rFonts w:cs="Calibri"/>
          <w:b/>
          <w:sz w:val="22"/>
          <w:szCs w:val="22"/>
          <w:lang w:val="en-US"/>
        </w:rPr>
        <w:t>4</w:t>
      </w:r>
      <w:r w:rsidRPr="00C60AD1">
        <w:rPr>
          <w:rFonts w:cs="Calibri"/>
          <w:b/>
          <w:sz w:val="22"/>
          <w:szCs w:val="22"/>
          <w:lang w:val="en-US"/>
        </w:rPr>
        <w:t xml:space="preserve"> (Rs. Crore)</w:t>
      </w:r>
      <w:bookmarkEnd w:id="230"/>
      <w:bookmarkEnd w:id="231"/>
    </w:p>
    <w:tbl>
      <w:tblPr>
        <w:tblW w:w="5000" w:type="pct"/>
        <w:tblLayout w:type="fixed"/>
        <w:tblLook w:val="04A0"/>
      </w:tblPr>
      <w:tblGrid>
        <w:gridCol w:w="3232"/>
        <w:gridCol w:w="986"/>
        <w:gridCol w:w="1134"/>
        <w:gridCol w:w="993"/>
        <w:gridCol w:w="1278"/>
        <w:gridCol w:w="1262"/>
      </w:tblGrid>
      <w:tr w:rsidR="00D6621C" w:rsidRPr="00C60AD1" w:rsidTr="00145988">
        <w:trPr>
          <w:trHeight w:val="900"/>
          <w:tblHeader/>
        </w:trPr>
        <w:tc>
          <w:tcPr>
            <w:tcW w:w="1819" w:type="pc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555"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Tariff Order</w:t>
            </w:r>
          </w:p>
        </w:tc>
        <w:tc>
          <w:tcPr>
            <w:tcW w:w="638" w:type="pct"/>
            <w:tcBorders>
              <w:top w:val="dotted" w:sz="4" w:space="0" w:color="auto"/>
              <w:left w:val="nil"/>
              <w:bottom w:val="dotted" w:sz="4" w:space="0" w:color="auto"/>
              <w:right w:val="dotted" w:sz="4" w:space="0" w:color="auto"/>
            </w:tcBorders>
            <w:shd w:val="clear" w:color="000000" w:fill="DBE5F1"/>
            <w:hideMark/>
          </w:tcPr>
          <w:p w:rsidR="003267CD" w:rsidRDefault="00E212D4">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Actual</w:t>
            </w:r>
            <w:r w:rsidR="0022393E" w:rsidRPr="00C60AD1">
              <w:rPr>
                <w:rFonts w:asciiTheme="minorHAnsi" w:hAnsiTheme="minorHAnsi"/>
                <w:b/>
                <w:bCs/>
                <w:color w:val="000000"/>
                <w:sz w:val="22"/>
                <w:szCs w:val="22"/>
                <w:lang w:val="en-IN" w:eastAsia="en-IN"/>
              </w:rPr>
              <w:t xml:space="preserve"> as per audited accounts</w:t>
            </w:r>
          </w:p>
        </w:tc>
        <w:tc>
          <w:tcPr>
            <w:tcW w:w="55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True-up Petition</w:t>
            </w:r>
          </w:p>
        </w:tc>
        <w:tc>
          <w:tcPr>
            <w:tcW w:w="719" w:type="pct"/>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Normative</w:t>
            </w:r>
          </w:p>
        </w:tc>
        <w:tc>
          <w:tcPr>
            <w:tcW w:w="710" w:type="pct"/>
            <w:tcBorders>
              <w:top w:val="dotted" w:sz="4" w:space="0" w:color="auto"/>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145988">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Expenses</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127.29</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103.58</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103.58</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130.58</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103.58</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Repair &amp;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53.01</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46.16</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46.16</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51.85</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46.16</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Administrative and General Expenses</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8.23</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22.67</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53.59</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8.46</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22.67</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Gross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188.53</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172.42</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203.33</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190.89</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172.42</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Capitalisation</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s="Arial"/>
                <w:bCs/>
                <w:color w:val="000000"/>
                <w:sz w:val="22"/>
                <w:szCs w:val="22"/>
                <w:lang w:val="en-IN" w:eastAsia="en-IN"/>
              </w:rPr>
            </w:pPr>
            <w:r w:rsidRPr="00023318">
              <w:rPr>
                <w:rFonts w:asciiTheme="minorHAnsi" w:hAnsiTheme="minorHAnsi" w:cs="Arial"/>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s="Arial"/>
                <w:bCs/>
                <w:color w:val="000000"/>
                <w:sz w:val="22"/>
                <w:szCs w:val="22"/>
                <w:lang w:val="en-IN" w:eastAsia="en-IN"/>
              </w:rPr>
            </w:pPr>
            <w:r w:rsidRPr="00023318">
              <w:rPr>
                <w:rFonts w:asciiTheme="minorHAnsi" w:hAnsiTheme="minorHAnsi" w:cs="Arial"/>
                <w:color w:val="000000"/>
                <w:sz w:val="22"/>
                <w:szCs w:val="22"/>
              </w:rPr>
              <w:t> </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Employee Cost Capitalized</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19.09</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1.07</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1.07</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1.07</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1.07</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A&amp;G Expenses Capitalized</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1.23</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0.02</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0.02</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0.02</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0.02</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Total Capitalization</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20.33</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1.09</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1.09</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1.09</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1.09</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Operation and Maintenance Expenses</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168.20</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171.33</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202.25</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189.80</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171.33</w:t>
            </w:r>
          </w:p>
        </w:tc>
      </w:tr>
      <w:tr w:rsidR="001D6887" w:rsidRPr="00C60AD1" w:rsidTr="001D6887">
        <w:trPr>
          <w:trHeight w:val="300"/>
        </w:trPr>
        <w:tc>
          <w:tcPr>
            <w:tcW w:w="1819" w:type="pct"/>
            <w:tcBorders>
              <w:top w:val="nil"/>
              <w:left w:val="dotted" w:sz="4" w:space="0" w:color="auto"/>
              <w:bottom w:val="dotted" w:sz="4" w:space="0" w:color="auto"/>
              <w:right w:val="dotted" w:sz="4" w:space="0" w:color="auto"/>
            </w:tcBorders>
            <w:shd w:val="clear" w:color="auto" w:fill="auto"/>
            <w:noWrap/>
            <w:vAlign w:val="bottom"/>
            <w:hideMark/>
          </w:tcPr>
          <w:p w:rsidR="001D6887" w:rsidRDefault="001D6887">
            <w:pPr>
              <w:spacing w:before="0" w:line="240" w:lineRule="auto"/>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Efficiency Gain</w:t>
            </w:r>
          </w:p>
        </w:tc>
        <w:tc>
          <w:tcPr>
            <w:tcW w:w="555"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 </w:t>
            </w:r>
          </w:p>
        </w:tc>
        <w:tc>
          <w:tcPr>
            <w:tcW w:w="638"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 </w:t>
            </w:r>
          </w:p>
        </w:tc>
        <w:tc>
          <w:tcPr>
            <w:tcW w:w="55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0.00</w:t>
            </w:r>
          </w:p>
        </w:tc>
        <w:tc>
          <w:tcPr>
            <w:tcW w:w="719"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 </w:t>
            </w:r>
          </w:p>
        </w:tc>
        <w:tc>
          <w:tcPr>
            <w:tcW w:w="710" w:type="pct"/>
            <w:tcBorders>
              <w:top w:val="nil"/>
              <w:left w:val="nil"/>
              <w:bottom w:val="dotted" w:sz="4" w:space="0" w:color="auto"/>
              <w:right w:val="dotted" w:sz="4" w:space="0" w:color="auto"/>
            </w:tcBorders>
            <w:shd w:val="clear" w:color="auto" w:fill="auto"/>
            <w:vAlign w:val="center"/>
            <w:hideMark/>
          </w:tcPr>
          <w:p w:rsidR="001D6887" w:rsidRPr="001D6887" w:rsidRDefault="00023318" w:rsidP="001D688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9.24</w:t>
            </w:r>
          </w:p>
        </w:tc>
      </w:tr>
    </w:tbl>
    <w:p w:rsidR="008B0C65" w:rsidRDefault="008B0C65" w:rsidP="008B0C65">
      <w:pPr>
        <w:spacing w:before="0" w:line="240" w:lineRule="auto"/>
        <w:jc w:val="right"/>
        <w:rPr>
          <w:rFonts w:asciiTheme="minorHAnsi" w:hAnsiTheme="minorHAnsi" w:cs="Calibri"/>
          <w:b/>
          <w:bCs/>
          <w:color w:val="000000"/>
          <w:sz w:val="22"/>
          <w:szCs w:val="22"/>
          <w:lang w:val="en-US"/>
        </w:rPr>
      </w:pPr>
      <w:bookmarkStart w:id="232" w:name="_Toc419553085"/>
      <w:bookmarkEnd w:id="232"/>
    </w:p>
    <w:p w:rsidR="003147B8" w:rsidRPr="00C60AD1" w:rsidRDefault="003147B8" w:rsidP="00C60AD1">
      <w:pPr>
        <w:pStyle w:val="Heading2"/>
        <w:rPr>
          <w:rFonts w:cs="Calibri"/>
          <w:b w:val="0"/>
          <w:bCs w:val="0"/>
          <w:szCs w:val="26"/>
          <w:lang w:val="en-US"/>
        </w:rPr>
      </w:pPr>
      <w:bookmarkStart w:id="233" w:name="_Toc455417255"/>
      <w:bookmarkStart w:id="234" w:name="_Toc455486773"/>
      <w:bookmarkStart w:id="235" w:name="_Toc455487072"/>
      <w:bookmarkStart w:id="236" w:name="_Toc455487439"/>
      <w:bookmarkStart w:id="237" w:name="_Toc455493866"/>
      <w:bookmarkStart w:id="238" w:name="_Toc455494166"/>
      <w:bookmarkStart w:id="239" w:name="_Toc455494466"/>
      <w:bookmarkStart w:id="240" w:name="_Toc455496194"/>
      <w:bookmarkStart w:id="241" w:name="_Toc455506913"/>
      <w:bookmarkStart w:id="242" w:name="_Toc455507210"/>
      <w:bookmarkStart w:id="243" w:name="_Toc455574855"/>
      <w:bookmarkStart w:id="244" w:name="_Toc455673466"/>
      <w:bookmarkStart w:id="245" w:name="_Toc419641576"/>
      <w:bookmarkStart w:id="246" w:name="_Toc420005501"/>
      <w:bookmarkStart w:id="247" w:name="_Toc420016192"/>
      <w:bookmarkStart w:id="248" w:name="_Toc420020967"/>
      <w:bookmarkStart w:id="249" w:name="_Toc420193367"/>
      <w:bookmarkStart w:id="250" w:name="_Toc420193509"/>
      <w:bookmarkStart w:id="251" w:name="_Toc420196256"/>
      <w:bookmarkStart w:id="252" w:name="_Toc420197510"/>
      <w:bookmarkStart w:id="253" w:name="_Toc396898409"/>
      <w:bookmarkStart w:id="254" w:name="_Toc396899922"/>
      <w:bookmarkStart w:id="255" w:name="_Toc396945982"/>
      <w:bookmarkStart w:id="256" w:name="_Toc397291156"/>
      <w:bookmarkStart w:id="257" w:name="_Toc399343014"/>
      <w:bookmarkStart w:id="258" w:name="_Toc399520950"/>
      <w:bookmarkStart w:id="259" w:name="_Toc399521174"/>
      <w:bookmarkStart w:id="260" w:name="_Toc399521396"/>
      <w:bookmarkStart w:id="261" w:name="_Toc399521922"/>
      <w:bookmarkStart w:id="262" w:name="_Toc399522195"/>
      <w:bookmarkStart w:id="263" w:name="_Toc399522377"/>
      <w:bookmarkStart w:id="264" w:name="_Toc352568751"/>
      <w:bookmarkStart w:id="265" w:name="_Toc356913000"/>
      <w:bookmarkStart w:id="266" w:name="_Toc457355477"/>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C60AD1">
        <w:rPr>
          <w:rFonts w:cs="Calibri"/>
          <w:szCs w:val="26"/>
          <w:lang w:val="en-US"/>
        </w:rPr>
        <w:t>INTEREST AND FINANCE CHARGES</w:t>
      </w:r>
      <w:bookmarkEnd w:id="264"/>
      <w:bookmarkEnd w:id="265"/>
      <w:bookmarkEnd w:id="266"/>
    </w:p>
    <w:p w:rsidR="00C879D1" w:rsidRDefault="00C879D1">
      <w:pPr>
        <w:pStyle w:val="Heading2"/>
        <w:numPr>
          <w:ilvl w:val="0"/>
          <w:numId w:val="0"/>
        </w:numPr>
        <w:rPr>
          <w:rFonts w:cs="Calibri"/>
          <w:szCs w:val="26"/>
          <w:lang w:val="en-US"/>
        </w:rPr>
      </w:pPr>
    </w:p>
    <w:p w:rsidR="003147B8" w:rsidRPr="00C60AD1" w:rsidRDefault="003147B8" w:rsidP="00C60AD1">
      <w:pPr>
        <w:rPr>
          <w:b/>
        </w:rPr>
      </w:pPr>
      <w:r w:rsidRPr="00C60AD1">
        <w:rPr>
          <w:b/>
        </w:rPr>
        <w:t>Interest on Long Term Loans</w:t>
      </w:r>
    </w:p>
    <w:p w:rsidR="003147B8" w:rsidRPr="00A40190" w:rsidRDefault="008B0C65" w:rsidP="00C60AD1">
      <w:pPr>
        <w:pStyle w:val="Heading3"/>
        <w:tabs>
          <w:tab w:val="clear" w:pos="720"/>
        </w:tabs>
        <w:spacing w:after="240"/>
        <w:ind w:left="993" w:hanging="993"/>
      </w:pPr>
      <w:r w:rsidRPr="008B0C65">
        <w:t xml:space="preserve">The Petitioner has </w:t>
      </w:r>
      <w:r w:rsidR="001D6887">
        <w:t xml:space="preserve">not </w:t>
      </w:r>
      <w:r w:rsidRPr="008B0C65">
        <w:t xml:space="preserve">claimed </w:t>
      </w:r>
      <w:r w:rsidR="001D6887">
        <w:t xml:space="preserve">any amount towards </w:t>
      </w:r>
      <w:r w:rsidRPr="008B0C65">
        <w:t xml:space="preserve">the net Interest on long term loan for FY 2013-14, against the approved expenses of Rs. </w:t>
      </w:r>
      <w:r w:rsidR="001D6887">
        <w:t>2.77</w:t>
      </w:r>
      <w:r w:rsidRPr="008B0C65">
        <w:t xml:space="preserve"> Crore. The Petitioner has </w:t>
      </w:r>
      <w:r w:rsidR="00C37CC7">
        <w:t xml:space="preserve">not </w:t>
      </w:r>
      <w:r w:rsidRPr="008B0C65">
        <w:t xml:space="preserve">capitalized </w:t>
      </w:r>
      <w:r w:rsidR="008479A4">
        <w:t>an</w:t>
      </w:r>
      <w:r w:rsidR="00C37CC7">
        <w:t>y</w:t>
      </w:r>
      <w:r w:rsidR="008479A4">
        <w:t xml:space="preserve"> </w:t>
      </w:r>
      <w:r w:rsidRPr="008B0C65">
        <w:t xml:space="preserve">interest for FY 2013-14, against Rs. </w:t>
      </w:r>
      <w:r w:rsidR="00C37CC7">
        <w:t>0.83</w:t>
      </w:r>
      <w:r w:rsidRPr="008B0C65">
        <w:t xml:space="preserve"> Crore approved by the Commission in the Tariff Order.</w:t>
      </w:r>
    </w:p>
    <w:p w:rsidR="00F70DA9" w:rsidRPr="00C60AD1" w:rsidRDefault="0022393E" w:rsidP="00C60AD1">
      <w:pPr>
        <w:pStyle w:val="Heading3"/>
        <w:tabs>
          <w:tab w:val="clear" w:pos="720"/>
        </w:tabs>
        <w:spacing w:after="240"/>
        <w:ind w:left="993" w:hanging="993"/>
      </w:pPr>
      <w:r w:rsidRPr="00C60AD1">
        <w:t xml:space="preserve">The Petitioner submitted that the Commission in its previous </w:t>
      </w:r>
      <w:r w:rsidR="00D15867">
        <w:t>T</w:t>
      </w:r>
      <w:r w:rsidRPr="00C60AD1">
        <w:t xml:space="preserve">ariff and </w:t>
      </w:r>
      <w:r w:rsidR="00D15867">
        <w:t>T</w:t>
      </w:r>
      <w:r w:rsidRPr="00C60AD1">
        <w:t xml:space="preserve">rue-up </w:t>
      </w:r>
      <w:r w:rsidR="00D15867">
        <w:t>O</w:t>
      </w:r>
      <w:r w:rsidRPr="00C60AD1">
        <w:t xml:space="preserve">rders had considered a normative approach for financing the capital expenditure with a normative debt equity ratio of 70:30. Considering this approach, 70% of the capital expenditure undertaken in any year was considered to be financed through loan and balance 30% was been considered to be financed through equity contributions. The portion of capital expenditure financed through consumer contributions, capital subsidies and grants was separated and the depreciation and interest thereon was not </w:t>
      </w:r>
      <w:r w:rsidRPr="00C60AD1">
        <w:lastRenderedPageBreak/>
        <w:t>charged to the consumers &amp; beneficiaries. The amounts received as consumer contributions, capital subsidies and grants were traced from the audited accounts. Subsequently, the financing of the capital investment was worked out based on the gearing ratio of 70:30 and allowable depreciation was considered as normative loan repayment</w:t>
      </w:r>
      <w:r w:rsidR="00B94C76" w:rsidRPr="00C60AD1">
        <w:t xml:space="preserve">. </w:t>
      </w:r>
    </w:p>
    <w:p w:rsidR="00BA7989" w:rsidRPr="00C60AD1" w:rsidRDefault="008A1A72" w:rsidP="00C60AD1">
      <w:pPr>
        <w:pStyle w:val="Heading3"/>
        <w:tabs>
          <w:tab w:val="clear" w:pos="720"/>
        </w:tabs>
        <w:spacing w:after="240"/>
        <w:ind w:left="993" w:hanging="993"/>
      </w:pPr>
      <w:r w:rsidRPr="00C60AD1">
        <w:t xml:space="preserve">The Petitioner submitted that </w:t>
      </w:r>
      <w:r w:rsidR="00B94C76" w:rsidRPr="00C60AD1">
        <w:rPr>
          <w:rFonts w:cs="Calibri"/>
        </w:rPr>
        <w:t>considering the Capital Work in Progress balances (CWIP) and Gross Fixed Asset (GFA) balances as per audited accounts, it has derived the actual capital investments undertaken by it in FY 201</w:t>
      </w:r>
      <w:r w:rsidR="002D6FD8">
        <w:rPr>
          <w:rFonts w:cs="Calibri"/>
        </w:rPr>
        <w:t>3</w:t>
      </w:r>
      <w:r w:rsidR="00B94C76" w:rsidRPr="00C60AD1">
        <w:rPr>
          <w:rFonts w:cs="Calibri"/>
        </w:rPr>
        <w:t>-1</w:t>
      </w:r>
      <w:r w:rsidR="002D6FD8">
        <w:rPr>
          <w:rFonts w:cs="Calibri"/>
        </w:rPr>
        <w:t>4</w:t>
      </w:r>
      <w:r w:rsidR="00B94C76" w:rsidRPr="00C60AD1">
        <w:rPr>
          <w:rFonts w:cs="Calibri"/>
        </w:rPr>
        <w:t>.</w:t>
      </w:r>
    </w:p>
    <w:p w:rsidR="003147B8" w:rsidRPr="00C60AD1" w:rsidRDefault="0022393E" w:rsidP="00C60AD1">
      <w:pPr>
        <w:pStyle w:val="Heading3"/>
        <w:tabs>
          <w:tab w:val="clear" w:pos="720"/>
        </w:tabs>
        <w:spacing w:after="240"/>
        <w:ind w:left="993" w:hanging="993"/>
      </w:pPr>
      <w:r w:rsidRPr="00C60AD1">
        <w:t>In line with the approach</w:t>
      </w:r>
      <w:r w:rsidRPr="00C60AD1">
        <w:rPr>
          <w:rFonts w:cs="Calibri"/>
        </w:rPr>
        <w:t xml:space="preserve"> adopted by the Commi</w:t>
      </w:r>
      <w:r w:rsidRPr="00C60AD1">
        <w:t>ss</w:t>
      </w:r>
      <w:r w:rsidRPr="00C60AD1">
        <w:rPr>
          <w:rFonts w:cs="Calibri"/>
        </w:rPr>
        <w:t>ion in its previous Orders, interest expenses has been co</w:t>
      </w:r>
      <w:r w:rsidR="003147B8" w:rsidRPr="00C60AD1">
        <w:rPr>
          <w:rFonts w:cs="Calibri"/>
        </w:rPr>
        <w:t>nsidered as an uncontrollable cost as the interest rates are determined by various external factors and the actual loans taken are consequ</w:t>
      </w:r>
      <w:r w:rsidR="003147B8" w:rsidRPr="00C60AD1">
        <w:t xml:space="preserve">ential to the capital expenditure undertaken by the </w:t>
      </w:r>
      <w:r w:rsidR="0077309D">
        <w:t>L</w:t>
      </w:r>
      <w:r w:rsidR="003147B8" w:rsidRPr="00C60AD1">
        <w:t>icensee.</w:t>
      </w:r>
    </w:p>
    <w:p w:rsidR="003147B8" w:rsidRPr="00C60AD1" w:rsidRDefault="003147B8" w:rsidP="00C60AD1">
      <w:pPr>
        <w:pStyle w:val="Heading3"/>
        <w:tabs>
          <w:tab w:val="clear" w:pos="720"/>
        </w:tabs>
        <w:spacing w:after="240"/>
        <w:ind w:left="993" w:hanging="993"/>
      </w:pPr>
      <w:r w:rsidRPr="00C60AD1">
        <w:t>For the above purpose,</w:t>
      </w:r>
      <w:r w:rsidR="00720E8C">
        <w:t xml:space="preserve"> </w:t>
      </w:r>
      <w:r w:rsidRPr="00C60AD1">
        <w:t>the</w:t>
      </w:r>
      <w:r w:rsidR="00720E8C">
        <w:t xml:space="preserve"> </w:t>
      </w:r>
      <w:r w:rsidRPr="00C60AD1">
        <w:t>Commission has derived the actual capital investments undertaken by the Licensee in FY 20</w:t>
      </w:r>
      <w:r w:rsidR="00842127" w:rsidRPr="00C60AD1">
        <w:t>1</w:t>
      </w:r>
      <w:r w:rsidR="002048FF">
        <w:t>3</w:t>
      </w:r>
      <w:r w:rsidR="00842127" w:rsidRPr="00C60AD1">
        <w:t>-1</w:t>
      </w:r>
      <w:r w:rsidR="002048FF">
        <w:t>4</w:t>
      </w:r>
      <w:r w:rsidRPr="00C60AD1">
        <w:t>, based on the audited accounts. The details are provided in the Table below:</w:t>
      </w:r>
    </w:p>
    <w:p w:rsidR="003147B8" w:rsidRPr="00C60AD1" w:rsidRDefault="008A1A72" w:rsidP="00C60AD1">
      <w:pPr>
        <w:spacing w:before="0"/>
        <w:jc w:val="center"/>
        <w:rPr>
          <w:rFonts w:cs="Calibri"/>
          <w:b/>
          <w:sz w:val="22"/>
          <w:szCs w:val="22"/>
          <w:lang w:val="en-US"/>
        </w:rPr>
      </w:pPr>
      <w:bookmarkStart w:id="267" w:name="_Toc356913183"/>
      <w:bookmarkStart w:id="268" w:name="_Toc394490639"/>
      <w:bookmarkStart w:id="269" w:name="_Toc457355612"/>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11</w:t>
      </w:r>
      <w:r w:rsidR="004A2D9E" w:rsidRPr="00C60AD1">
        <w:rPr>
          <w:rFonts w:cs="Calibri"/>
          <w:b/>
          <w:sz w:val="22"/>
          <w:szCs w:val="22"/>
          <w:lang w:val="en-US"/>
        </w:rPr>
        <w:fldChar w:fldCharType="end"/>
      </w:r>
      <w:r w:rsidRPr="00C60AD1">
        <w:rPr>
          <w:rFonts w:cs="Calibri"/>
          <w:b/>
          <w:sz w:val="22"/>
          <w:szCs w:val="22"/>
          <w:lang w:val="en-US"/>
        </w:rPr>
        <w:t>: CAPITAL INVESTMENTS IN FY 201</w:t>
      </w:r>
      <w:r w:rsidR="002048FF">
        <w:rPr>
          <w:rFonts w:cs="Calibri"/>
          <w:b/>
          <w:sz w:val="22"/>
          <w:szCs w:val="22"/>
          <w:lang w:val="en-US"/>
        </w:rPr>
        <w:t>3</w:t>
      </w:r>
      <w:r w:rsidRPr="00C60AD1">
        <w:rPr>
          <w:rFonts w:cs="Calibri"/>
          <w:b/>
          <w:sz w:val="22"/>
          <w:szCs w:val="22"/>
          <w:lang w:val="en-US"/>
        </w:rPr>
        <w:t>-1</w:t>
      </w:r>
      <w:r w:rsidR="002048FF">
        <w:rPr>
          <w:rFonts w:cs="Calibri"/>
          <w:b/>
          <w:sz w:val="22"/>
          <w:szCs w:val="22"/>
          <w:lang w:val="en-US"/>
        </w:rPr>
        <w:t>4</w:t>
      </w:r>
      <w:r w:rsidRPr="00C60AD1">
        <w:rPr>
          <w:rFonts w:cs="Calibri"/>
          <w:b/>
          <w:sz w:val="22"/>
          <w:szCs w:val="22"/>
          <w:lang w:val="en-US"/>
        </w:rPr>
        <w:t xml:space="preserve"> (Rs. Crore)</w:t>
      </w:r>
      <w:bookmarkEnd w:id="267"/>
      <w:bookmarkEnd w:id="268"/>
      <w:bookmarkEnd w:id="269"/>
    </w:p>
    <w:tbl>
      <w:tblPr>
        <w:tblW w:w="9137" w:type="dxa"/>
        <w:tblInd w:w="-252" w:type="dxa"/>
        <w:tblLayout w:type="fixed"/>
        <w:tblLook w:val="04A0"/>
      </w:tblPr>
      <w:tblGrid>
        <w:gridCol w:w="2970"/>
        <w:gridCol w:w="1643"/>
        <w:gridCol w:w="1057"/>
        <w:gridCol w:w="1069"/>
        <w:gridCol w:w="1276"/>
        <w:gridCol w:w="1122"/>
      </w:tblGrid>
      <w:tr w:rsidR="00D6621C" w:rsidRPr="00C60AD1" w:rsidTr="00626946">
        <w:trPr>
          <w:trHeight w:val="300"/>
          <w:tblHeader/>
        </w:trPr>
        <w:tc>
          <w:tcPr>
            <w:tcW w:w="2970"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1643"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Derivation</w:t>
            </w:r>
          </w:p>
        </w:tc>
        <w:tc>
          <w:tcPr>
            <w:tcW w:w="4524"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274CB7">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274CB7">
              <w:rPr>
                <w:rFonts w:asciiTheme="minorHAnsi" w:hAnsiTheme="minorHAnsi"/>
                <w:b/>
                <w:color w:val="000000"/>
                <w:sz w:val="22"/>
                <w:szCs w:val="22"/>
                <w:lang w:val="en-IN" w:eastAsia="en-IN"/>
              </w:rPr>
              <w:t>4</w:t>
            </w:r>
          </w:p>
        </w:tc>
      </w:tr>
      <w:tr w:rsidR="00B07889" w:rsidRPr="00C60AD1" w:rsidTr="00626946">
        <w:trPr>
          <w:trHeight w:val="300"/>
          <w:tblHeader/>
        </w:trPr>
        <w:tc>
          <w:tcPr>
            <w:tcW w:w="297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643"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057"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Tariff Order</w:t>
            </w:r>
          </w:p>
        </w:tc>
        <w:tc>
          <w:tcPr>
            <w:tcW w:w="1069"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276"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22"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C37CC7" w:rsidRPr="00C60AD1" w:rsidTr="00C37CC7">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Opening WIP  as on 1st April</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A</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79.55</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44.09</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44.09</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44.09</w:t>
            </w:r>
          </w:p>
        </w:tc>
      </w:tr>
      <w:tr w:rsidR="00C37CC7" w:rsidRPr="00C60AD1" w:rsidTr="00C37CC7">
        <w:trPr>
          <w:trHeight w:val="285"/>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Investments</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B</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99.90</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12.13</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12.13</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12.13</w:t>
            </w:r>
          </w:p>
        </w:tc>
      </w:tr>
      <w:tr w:rsidR="00C37CC7" w:rsidRPr="00C60AD1" w:rsidTr="00C37CC7">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 xml:space="preserve">Employee Expenses Capitalisation </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C</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19.09</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1.07</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1.07</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1.07</w:t>
            </w:r>
          </w:p>
        </w:tc>
      </w:tr>
      <w:tr w:rsidR="00C37CC7" w:rsidRPr="00C60AD1" w:rsidTr="00C37CC7">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A&amp;G Expenses Capitalisation</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D</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1.23</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0.02</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0.02</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0.02</w:t>
            </w:r>
          </w:p>
        </w:tc>
      </w:tr>
      <w:tr w:rsidR="00C37CC7" w:rsidRPr="00C60AD1" w:rsidTr="00C37CC7">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Interest Capitalisation on Interest on long term loans</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E</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0.83</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C37CC7" w:rsidRPr="00C60AD1" w:rsidTr="00C37CC7">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Total Investments</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F= A+B+C+D+E</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b/>
                <w:sz w:val="22"/>
                <w:szCs w:val="22"/>
                <w:lang w:val="en-IN" w:eastAsia="en-IN"/>
              </w:rPr>
            </w:pPr>
            <w:r w:rsidRPr="00023318">
              <w:rPr>
                <w:rFonts w:asciiTheme="minorHAnsi" w:hAnsiTheme="minorHAnsi" w:cs="Arial"/>
                <w:b/>
                <w:bCs/>
                <w:sz w:val="22"/>
                <w:szCs w:val="22"/>
              </w:rPr>
              <w:t>200.61</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b/>
                <w:bCs/>
                <w:sz w:val="22"/>
                <w:szCs w:val="22"/>
              </w:rPr>
              <w:t>57.30</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b/>
                <w:bCs/>
                <w:sz w:val="22"/>
                <w:szCs w:val="22"/>
              </w:rPr>
              <w:t>57.30</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b/>
                <w:bCs/>
                <w:sz w:val="22"/>
                <w:szCs w:val="22"/>
              </w:rPr>
              <w:t>57.30</w:t>
            </w:r>
          </w:p>
        </w:tc>
      </w:tr>
      <w:tr w:rsidR="00C37CC7" w:rsidRPr="00C60AD1" w:rsidTr="00C37CC7">
        <w:trPr>
          <w:trHeight w:val="6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Transferred to GFA (Total Capitalisation)</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sz w:val="22"/>
                <w:szCs w:val="22"/>
                <w:lang w:val="en-IN" w:eastAsia="en-IN"/>
              </w:rPr>
            </w:pPr>
            <w:r w:rsidRPr="00C60AD1">
              <w:rPr>
                <w:rFonts w:asciiTheme="minorHAnsi" w:hAnsiTheme="minorHAnsi"/>
                <w:sz w:val="22"/>
                <w:szCs w:val="22"/>
                <w:lang w:val="en-IN" w:eastAsia="en-IN"/>
              </w:rPr>
              <w:t>G</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80.24</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32.75</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32.75</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sz w:val="22"/>
                <w:szCs w:val="22"/>
                <w:lang w:val="en-IN" w:eastAsia="en-IN"/>
              </w:rPr>
            </w:pPr>
            <w:r w:rsidRPr="00023318">
              <w:rPr>
                <w:rFonts w:asciiTheme="minorHAnsi" w:hAnsiTheme="minorHAnsi" w:cs="Arial"/>
                <w:sz w:val="22"/>
                <w:szCs w:val="22"/>
              </w:rPr>
              <w:t>32.75</w:t>
            </w:r>
          </w:p>
        </w:tc>
      </w:tr>
      <w:tr w:rsidR="00C37CC7" w:rsidRPr="00C60AD1" w:rsidTr="00C37CC7">
        <w:trPr>
          <w:trHeight w:val="300"/>
        </w:trPr>
        <w:tc>
          <w:tcPr>
            <w:tcW w:w="2970" w:type="dxa"/>
            <w:tcBorders>
              <w:top w:val="nil"/>
              <w:left w:val="dotted" w:sz="4" w:space="0" w:color="auto"/>
              <w:bottom w:val="dotted" w:sz="4" w:space="0" w:color="auto"/>
              <w:right w:val="dotted" w:sz="4" w:space="0" w:color="auto"/>
            </w:tcBorders>
            <w:shd w:val="clear" w:color="auto" w:fill="auto"/>
            <w:vAlign w:val="center"/>
            <w:hideMark/>
          </w:tcPr>
          <w:p w:rsidR="00C37CC7" w:rsidRDefault="00C37CC7">
            <w:pPr>
              <w:spacing w:before="0"/>
              <w:rPr>
                <w:rFonts w:asciiTheme="minorHAnsi" w:hAnsiTheme="minorHAnsi"/>
                <w:b/>
                <w:sz w:val="22"/>
                <w:szCs w:val="22"/>
                <w:lang w:val="en-IN" w:eastAsia="en-IN"/>
              </w:rPr>
            </w:pPr>
            <w:r w:rsidRPr="00C60AD1">
              <w:rPr>
                <w:rFonts w:asciiTheme="minorHAnsi" w:hAnsiTheme="minorHAnsi"/>
                <w:b/>
                <w:sz w:val="22"/>
                <w:szCs w:val="22"/>
                <w:lang w:val="en-IN" w:eastAsia="en-IN"/>
              </w:rPr>
              <w:t>Closing WIP</w:t>
            </w:r>
          </w:p>
        </w:tc>
        <w:tc>
          <w:tcPr>
            <w:tcW w:w="1643" w:type="dxa"/>
            <w:tcBorders>
              <w:top w:val="nil"/>
              <w:left w:val="nil"/>
              <w:bottom w:val="dotted" w:sz="4" w:space="0" w:color="auto"/>
              <w:right w:val="dotted" w:sz="4" w:space="0" w:color="auto"/>
            </w:tcBorders>
            <w:shd w:val="clear" w:color="auto" w:fill="auto"/>
            <w:vAlign w:val="center"/>
            <w:hideMark/>
          </w:tcPr>
          <w:p w:rsidR="00C37CC7" w:rsidRPr="00C60AD1" w:rsidRDefault="00C37CC7" w:rsidP="00C60AD1">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H=  F-G</w:t>
            </w:r>
          </w:p>
        </w:tc>
        <w:tc>
          <w:tcPr>
            <w:tcW w:w="1057"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b/>
                <w:sz w:val="22"/>
                <w:szCs w:val="22"/>
                <w:lang w:val="en-IN" w:eastAsia="en-IN"/>
              </w:rPr>
            </w:pPr>
            <w:r w:rsidRPr="00023318">
              <w:rPr>
                <w:rFonts w:asciiTheme="minorHAnsi" w:hAnsiTheme="minorHAnsi" w:cs="Arial"/>
                <w:b/>
                <w:bCs/>
                <w:sz w:val="22"/>
                <w:szCs w:val="22"/>
              </w:rPr>
              <w:t>120.36</w:t>
            </w:r>
          </w:p>
        </w:tc>
        <w:tc>
          <w:tcPr>
            <w:tcW w:w="1069"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b/>
                <w:sz w:val="22"/>
                <w:szCs w:val="22"/>
                <w:lang w:val="en-IN" w:eastAsia="en-IN"/>
              </w:rPr>
            </w:pPr>
            <w:r w:rsidRPr="00023318">
              <w:rPr>
                <w:rFonts w:asciiTheme="minorHAnsi" w:hAnsiTheme="minorHAnsi" w:cs="Arial"/>
                <w:b/>
                <w:bCs/>
                <w:sz w:val="22"/>
                <w:szCs w:val="22"/>
              </w:rPr>
              <w:t>24.55</w:t>
            </w:r>
          </w:p>
        </w:tc>
        <w:tc>
          <w:tcPr>
            <w:tcW w:w="1276"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b/>
                <w:sz w:val="22"/>
                <w:szCs w:val="22"/>
                <w:lang w:val="en-IN" w:eastAsia="en-IN"/>
              </w:rPr>
            </w:pPr>
            <w:r w:rsidRPr="00023318">
              <w:rPr>
                <w:rFonts w:asciiTheme="minorHAnsi" w:hAnsiTheme="minorHAnsi" w:cs="Arial"/>
                <w:b/>
                <w:bCs/>
                <w:sz w:val="22"/>
                <w:szCs w:val="22"/>
              </w:rPr>
              <w:t>24.55</w:t>
            </w:r>
          </w:p>
        </w:tc>
        <w:tc>
          <w:tcPr>
            <w:tcW w:w="1122" w:type="dxa"/>
            <w:tcBorders>
              <w:top w:val="nil"/>
              <w:left w:val="nil"/>
              <w:bottom w:val="dotted" w:sz="4" w:space="0" w:color="auto"/>
              <w:right w:val="dotted" w:sz="4" w:space="0" w:color="auto"/>
            </w:tcBorders>
            <w:shd w:val="clear" w:color="auto" w:fill="auto"/>
            <w:vAlign w:val="center"/>
            <w:hideMark/>
          </w:tcPr>
          <w:p w:rsidR="00C37CC7" w:rsidRPr="00C37CC7" w:rsidRDefault="00023318" w:rsidP="00C37CC7">
            <w:pPr>
              <w:spacing w:before="0"/>
              <w:jc w:val="right"/>
              <w:rPr>
                <w:rFonts w:asciiTheme="minorHAnsi" w:hAnsiTheme="minorHAnsi"/>
                <w:b/>
                <w:sz w:val="22"/>
                <w:szCs w:val="22"/>
                <w:lang w:val="en-IN" w:eastAsia="en-IN"/>
              </w:rPr>
            </w:pPr>
            <w:r w:rsidRPr="00023318">
              <w:rPr>
                <w:rFonts w:asciiTheme="minorHAnsi" w:hAnsiTheme="minorHAnsi" w:cs="Arial"/>
                <w:b/>
                <w:bCs/>
                <w:sz w:val="22"/>
                <w:szCs w:val="22"/>
              </w:rPr>
              <w:t>24.55</w:t>
            </w:r>
          </w:p>
        </w:tc>
      </w:tr>
    </w:tbl>
    <w:p w:rsidR="006B17F5" w:rsidRPr="00C60AD1" w:rsidRDefault="003147B8" w:rsidP="001571A2">
      <w:pPr>
        <w:pStyle w:val="Heading3"/>
        <w:tabs>
          <w:tab w:val="clear" w:pos="720"/>
        </w:tabs>
        <w:ind w:left="994" w:hanging="994"/>
      </w:pPr>
      <w:r w:rsidRPr="00C60AD1">
        <w:lastRenderedPageBreak/>
        <w:t xml:space="preserve">The Commission has followed the same approach as in previous Orders and therefore, considered the funding of capital expenditure in the ratio of 70:30. Considering this approach, 70% of the capital expenditure undertaken in any year has been considered to be financed through loan and balance 30% has been considered to be financed through equity contributions. </w:t>
      </w:r>
    </w:p>
    <w:p w:rsidR="003147B8" w:rsidRPr="00C60AD1" w:rsidRDefault="003147B8" w:rsidP="001571A2">
      <w:pPr>
        <w:pStyle w:val="Heading3"/>
        <w:tabs>
          <w:tab w:val="clear" w:pos="720"/>
        </w:tabs>
        <w:spacing w:after="240"/>
        <w:ind w:left="994" w:hanging="994"/>
      </w:pPr>
      <w:r w:rsidRPr="00C60AD1">
        <w:t>The Consumer Contributions, capital grants and subsidies as submitted by the Petitioner and as allowed by the Commission are shown in the Table below:</w:t>
      </w:r>
    </w:p>
    <w:p w:rsidR="003147B8" w:rsidRPr="00C60AD1" w:rsidRDefault="007320D7" w:rsidP="00C60AD1">
      <w:pPr>
        <w:spacing w:before="0"/>
        <w:jc w:val="center"/>
        <w:rPr>
          <w:rFonts w:cs="Calibri"/>
          <w:b/>
          <w:sz w:val="22"/>
          <w:szCs w:val="22"/>
          <w:lang w:val="en-US"/>
        </w:rPr>
      </w:pPr>
      <w:bookmarkStart w:id="270" w:name="_Toc356913184"/>
      <w:bookmarkStart w:id="271" w:name="_Toc394490640"/>
      <w:bookmarkStart w:id="272" w:name="_Toc457355613"/>
      <w:r w:rsidRPr="00C60AD1">
        <w:rPr>
          <w:rFonts w:cs="Calibri"/>
          <w:b/>
          <w:sz w:val="22"/>
          <w:szCs w:val="22"/>
          <w:lang w:val="en-US"/>
        </w:rPr>
        <w:t xml:space="preserve">Table </w:t>
      </w:r>
      <w:r w:rsidR="004A2D9E" w:rsidRPr="00C60AD1">
        <w:rPr>
          <w:rFonts w:cs="Calibri"/>
          <w:b/>
          <w:sz w:val="22"/>
          <w:szCs w:val="22"/>
          <w:lang w:val="en-US"/>
        </w:rPr>
        <w:fldChar w:fldCharType="begin"/>
      </w:r>
      <w:r w:rsidR="008A1A72"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008A1A72"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12</w:t>
      </w:r>
      <w:r w:rsidR="004A2D9E" w:rsidRPr="00C60AD1">
        <w:rPr>
          <w:rFonts w:cs="Calibri"/>
          <w:b/>
          <w:sz w:val="22"/>
          <w:szCs w:val="22"/>
          <w:lang w:val="en-US"/>
        </w:rPr>
        <w:fldChar w:fldCharType="end"/>
      </w:r>
      <w:r w:rsidRPr="00C60AD1">
        <w:rPr>
          <w:rFonts w:cs="Calibri"/>
          <w:b/>
          <w:sz w:val="22"/>
          <w:szCs w:val="22"/>
          <w:lang w:val="en-US"/>
        </w:rPr>
        <w:t>: CONSUMER CONTRIBUTIONS, CAPITAL GRANTS AND SUBSIDIES RECEIVED AS ALLOWED BY THE COMMISSION FOR FY 20</w:t>
      </w:r>
      <w:r w:rsidR="008A1A72" w:rsidRPr="00C60AD1">
        <w:rPr>
          <w:rFonts w:cs="Calibri"/>
          <w:b/>
          <w:sz w:val="22"/>
          <w:szCs w:val="22"/>
          <w:lang w:val="en-US"/>
        </w:rPr>
        <w:t>1</w:t>
      </w:r>
      <w:r w:rsidR="00532C6B">
        <w:rPr>
          <w:rFonts w:cs="Calibri"/>
          <w:b/>
          <w:sz w:val="22"/>
          <w:szCs w:val="22"/>
          <w:lang w:val="en-US"/>
        </w:rPr>
        <w:t>3</w:t>
      </w:r>
      <w:r w:rsidR="008A1A72" w:rsidRPr="00C60AD1">
        <w:rPr>
          <w:rFonts w:cs="Calibri"/>
          <w:b/>
          <w:sz w:val="22"/>
          <w:szCs w:val="22"/>
          <w:lang w:val="en-US"/>
        </w:rPr>
        <w:t>-1</w:t>
      </w:r>
      <w:r w:rsidR="00532C6B">
        <w:rPr>
          <w:rFonts w:cs="Calibri"/>
          <w:b/>
          <w:sz w:val="22"/>
          <w:szCs w:val="22"/>
          <w:lang w:val="en-US"/>
        </w:rPr>
        <w:t>4</w:t>
      </w:r>
      <w:r w:rsidR="008A1A72" w:rsidRPr="00C60AD1">
        <w:rPr>
          <w:rFonts w:cs="Calibri"/>
          <w:b/>
          <w:sz w:val="22"/>
          <w:szCs w:val="22"/>
          <w:lang w:val="en-US"/>
        </w:rPr>
        <w:t xml:space="preserve"> (Rs. Crore)</w:t>
      </w:r>
      <w:bookmarkEnd w:id="270"/>
      <w:bookmarkEnd w:id="271"/>
      <w:bookmarkEnd w:id="272"/>
    </w:p>
    <w:tbl>
      <w:tblPr>
        <w:tblW w:w="8360" w:type="dxa"/>
        <w:tblInd w:w="103" w:type="dxa"/>
        <w:tblLayout w:type="fixed"/>
        <w:tblLook w:val="04A0"/>
      </w:tblPr>
      <w:tblGrid>
        <w:gridCol w:w="2885"/>
        <w:gridCol w:w="1170"/>
        <w:gridCol w:w="1170"/>
        <w:gridCol w:w="1406"/>
        <w:gridCol w:w="1729"/>
      </w:tblGrid>
      <w:tr w:rsidR="009F571B" w:rsidRPr="00C60AD1" w:rsidTr="009040B6">
        <w:trPr>
          <w:trHeight w:val="300"/>
          <w:tblHeader/>
        </w:trPr>
        <w:tc>
          <w:tcPr>
            <w:tcW w:w="2885" w:type="dxa"/>
            <w:vMerge w:val="restart"/>
            <w:tcBorders>
              <w:top w:val="dotted" w:sz="4" w:space="0" w:color="auto"/>
              <w:left w:val="dotted" w:sz="4" w:space="0" w:color="auto"/>
              <w:bottom w:val="dotted" w:sz="4" w:space="0" w:color="000000"/>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Particulars</w:t>
            </w:r>
          </w:p>
        </w:tc>
        <w:tc>
          <w:tcPr>
            <w:tcW w:w="5475" w:type="dxa"/>
            <w:gridSpan w:val="4"/>
            <w:tcBorders>
              <w:top w:val="dotted" w:sz="4" w:space="0" w:color="auto"/>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FY 201</w:t>
            </w:r>
            <w:r w:rsidR="00861D60">
              <w:rPr>
                <w:b/>
                <w:bCs/>
                <w:color w:val="000000"/>
                <w:sz w:val="22"/>
                <w:szCs w:val="22"/>
                <w:lang w:val="en-IN" w:eastAsia="en-IN"/>
              </w:rPr>
              <w:t>3</w:t>
            </w:r>
            <w:r w:rsidRPr="00C60AD1">
              <w:rPr>
                <w:b/>
                <w:bCs/>
                <w:color w:val="000000"/>
                <w:sz w:val="22"/>
                <w:szCs w:val="22"/>
                <w:lang w:val="en-IN" w:eastAsia="en-IN"/>
              </w:rPr>
              <w:t>-1</w:t>
            </w:r>
            <w:r w:rsidR="00861D60">
              <w:rPr>
                <w:b/>
                <w:bCs/>
                <w:color w:val="000000"/>
                <w:sz w:val="22"/>
                <w:szCs w:val="22"/>
                <w:lang w:val="en-IN" w:eastAsia="en-IN"/>
              </w:rPr>
              <w:t>4</w:t>
            </w:r>
          </w:p>
        </w:tc>
      </w:tr>
      <w:tr w:rsidR="009F571B" w:rsidRPr="00C60AD1" w:rsidTr="009040B6">
        <w:trPr>
          <w:trHeight w:val="600"/>
          <w:tblHeader/>
        </w:trPr>
        <w:tc>
          <w:tcPr>
            <w:tcW w:w="2885" w:type="dxa"/>
            <w:vMerge/>
            <w:tcBorders>
              <w:top w:val="dotted" w:sz="4" w:space="0" w:color="auto"/>
              <w:left w:val="dotted" w:sz="4" w:space="0" w:color="auto"/>
              <w:bottom w:val="dotted" w:sz="4" w:space="0" w:color="000000"/>
              <w:right w:val="dotted" w:sz="4" w:space="0" w:color="auto"/>
            </w:tcBorders>
            <w:hideMark/>
          </w:tcPr>
          <w:p w:rsidR="003267CD" w:rsidRDefault="003267CD">
            <w:pPr>
              <w:spacing w:before="0" w:line="240" w:lineRule="auto"/>
              <w:jc w:val="center"/>
              <w:rPr>
                <w:b/>
                <w:bCs/>
                <w:color w:val="000000"/>
                <w:sz w:val="22"/>
                <w:szCs w:val="22"/>
                <w:lang w:val="en-IN" w:eastAsia="en-IN"/>
              </w:rPr>
            </w:pPr>
          </w:p>
        </w:tc>
        <w:tc>
          <w:tcPr>
            <w:tcW w:w="1170"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sz w:val="22"/>
                <w:szCs w:val="22"/>
                <w:lang w:val="en-IN" w:eastAsia="en-IN"/>
              </w:rPr>
            </w:pPr>
            <w:r w:rsidRPr="00C60AD1">
              <w:rPr>
                <w:b/>
                <w:bCs/>
                <w:sz w:val="22"/>
                <w:szCs w:val="22"/>
                <w:lang w:val="en-IN" w:eastAsia="en-IN"/>
              </w:rPr>
              <w:t>Tariff Order</w:t>
            </w:r>
          </w:p>
        </w:tc>
        <w:tc>
          <w:tcPr>
            <w:tcW w:w="1170"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Audited</w:t>
            </w:r>
          </w:p>
        </w:tc>
        <w:tc>
          <w:tcPr>
            <w:tcW w:w="1406" w:type="dxa"/>
            <w:tcBorders>
              <w:top w:val="nil"/>
              <w:left w:val="nil"/>
              <w:bottom w:val="dotted" w:sz="4" w:space="0" w:color="auto"/>
              <w:right w:val="dotted" w:sz="4" w:space="0" w:color="auto"/>
            </w:tcBorders>
            <w:shd w:val="clear" w:color="000000" w:fill="DBE5F1"/>
            <w:hideMark/>
          </w:tcPr>
          <w:p w:rsidR="003267CD" w:rsidRDefault="009F571B">
            <w:pPr>
              <w:spacing w:before="0" w:line="240" w:lineRule="auto"/>
              <w:jc w:val="center"/>
              <w:rPr>
                <w:b/>
                <w:bCs/>
                <w:color w:val="000000"/>
                <w:sz w:val="22"/>
                <w:szCs w:val="22"/>
                <w:lang w:val="en-IN" w:eastAsia="en-IN"/>
              </w:rPr>
            </w:pPr>
            <w:r w:rsidRPr="00C60AD1">
              <w:rPr>
                <w:b/>
                <w:bCs/>
                <w:color w:val="000000"/>
                <w:sz w:val="22"/>
                <w:szCs w:val="22"/>
                <w:lang w:val="en-IN" w:eastAsia="en-IN"/>
              </w:rPr>
              <w:t>Petition</w:t>
            </w:r>
          </w:p>
        </w:tc>
        <w:tc>
          <w:tcPr>
            <w:tcW w:w="1729"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5B6FAB" w:rsidRPr="00C60AD1" w:rsidTr="009040B6">
        <w:trPr>
          <w:trHeight w:val="900"/>
        </w:trPr>
        <w:tc>
          <w:tcPr>
            <w:tcW w:w="2885" w:type="dxa"/>
            <w:tcBorders>
              <w:top w:val="nil"/>
              <w:left w:val="dotted" w:sz="4" w:space="0" w:color="auto"/>
              <w:bottom w:val="dotted" w:sz="4" w:space="0" w:color="auto"/>
              <w:right w:val="dotted" w:sz="4" w:space="0" w:color="auto"/>
            </w:tcBorders>
            <w:shd w:val="clear" w:color="auto" w:fill="auto"/>
            <w:hideMark/>
          </w:tcPr>
          <w:p w:rsidR="005B6FAB" w:rsidRDefault="005B6FA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Opening Balance of Consumer Contributions, Grants and Subsidies towards Cost of Capital Assets</w:t>
            </w:r>
          </w:p>
        </w:tc>
        <w:tc>
          <w:tcPr>
            <w:tcW w:w="1170" w:type="dxa"/>
            <w:tcBorders>
              <w:top w:val="nil"/>
              <w:left w:val="nil"/>
              <w:bottom w:val="dotted" w:sz="4" w:space="0" w:color="auto"/>
              <w:right w:val="dotted" w:sz="4" w:space="0" w:color="auto"/>
            </w:tcBorders>
            <w:shd w:val="clear" w:color="auto" w:fill="auto"/>
            <w:vAlign w:val="center"/>
            <w:hideMark/>
          </w:tcPr>
          <w:p w:rsidR="005B6FAB" w:rsidRPr="00407B97" w:rsidRDefault="00023318" w:rsidP="000B54A8">
            <w:pPr>
              <w:spacing w:before="0" w:line="240" w:lineRule="auto"/>
              <w:jc w:val="right"/>
              <w:rPr>
                <w:rFonts w:asciiTheme="minorHAnsi" w:hAnsiTheme="minorHAnsi" w:cs="Arial"/>
                <w:b/>
                <w:bCs/>
                <w:caps/>
                <w:color w:val="000000"/>
                <w:kern w:val="32"/>
                <w:sz w:val="22"/>
                <w:szCs w:val="22"/>
                <w:lang w:val="en-IN" w:eastAsia="en-IN"/>
              </w:rPr>
            </w:pPr>
            <w:r w:rsidRPr="00023318">
              <w:rPr>
                <w:rFonts w:asciiTheme="minorHAnsi" w:hAnsiTheme="minorHAnsi" w:cs="Arial"/>
                <w:color w:val="000000"/>
                <w:sz w:val="22"/>
                <w:szCs w:val="22"/>
              </w:rPr>
              <w:t>64.93</w:t>
            </w:r>
          </w:p>
        </w:tc>
        <w:tc>
          <w:tcPr>
            <w:tcW w:w="1170" w:type="dxa"/>
            <w:tcBorders>
              <w:top w:val="nil"/>
              <w:left w:val="nil"/>
              <w:bottom w:val="dotted" w:sz="4" w:space="0" w:color="auto"/>
              <w:right w:val="dotted" w:sz="4" w:space="0" w:color="auto"/>
            </w:tcBorders>
            <w:shd w:val="clear" w:color="auto" w:fill="auto"/>
            <w:vAlign w:val="center"/>
            <w:hideMark/>
          </w:tcPr>
          <w:p w:rsidR="005B6FAB" w:rsidRPr="00407B97" w:rsidRDefault="005B6FAB">
            <w:pPr>
              <w:spacing w:before="0" w:line="240" w:lineRule="auto"/>
              <w:jc w:val="right"/>
              <w:rPr>
                <w:rFonts w:asciiTheme="minorHAnsi" w:hAnsiTheme="minorHAnsi"/>
                <w:color w:val="000000"/>
                <w:sz w:val="22"/>
                <w:szCs w:val="22"/>
                <w:lang w:val="en-IN" w:eastAsia="en-IN"/>
              </w:rPr>
            </w:pPr>
            <w:r w:rsidRPr="005B6FAB">
              <w:rPr>
                <w:rFonts w:asciiTheme="minorHAnsi" w:hAnsiTheme="minorHAnsi" w:cs="Arial"/>
                <w:color w:val="000000"/>
                <w:sz w:val="22"/>
                <w:szCs w:val="22"/>
              </w:rPr>
              <w:t>215.53</w:t>
            </w:r>
          </w:p>
        </w:tc>
        <w:tc>
          <w:tcPr>
            <w:tcW w:w="1406" w:type="dxa"/>
            <w:tcBorders>
              <w:top w:val="nil"/>
              <w:left w:val="nil"/>
              <w:bottom w:val="dotted" w:sz="4" w:space="0" w:color="auto"/>
              <w:right w:val="dotted" w:sz="4" w:space="0" w:color="auto"/>
            </w:tcBorders>
            <w:shd w:val="clear" w:color="auto" w:fill="auto"/>
            <w:noWrap/>
            <w:vAlign w:val="center"/>
            <w:hideMark/>
          </w:tcPr>
          <w:p w:rsidR="005B6FAB" w:rsidRPr="00407B97" w:rsidRDefault="00023318">
            <w:pPr>
              <w:spacing w:before="0" w:line="240" w:lineRule="auto"/>
              <w:jc w:val="right"/>
              <w:rPr>
                <w:rFonts w:asciiTheme="minorHAnsi" w:hAnsiTheme="minorHAnsi" w:cs="Arial"/>
                <w:b/>
                <w:bCs/>
                <w:caps/>
                <w:color w:val="000000"/>
                <w:kern w:val="32"/>
                <w:sz w:val="22"/>
                <w:szCs w:val="22"/>
                <w:lang w:val="en-IN" w:eastAsia="en-IN"/>
              </w:rPr>
            </w:pPr>
            <w:r w:rsidRPr="00023318">
              <w:rPr>
                <w:rFonts w:asciiTheme="minorHAnsi" w:hAnsiTheme="minorHAnsi" w:cs="Arial"/>
                <w:color w:val="000000"/>
                <w:sz w:val="22"/>
                <w:szCs w:val="22"/>
              </w:rPr>
              <w:t>149.62</w:t>
            </w:r>
          </w:p>
        </w:tc>
        <w:tc>
          <w:tcPr>
            <w:tcW w:w="1729" w:type="dxa"/>
            <w:tcBorders>
              <w:top w:val="nil"/>
              <w:left w:val="nil"/>
              <w:bottom w:val="dotted" w:sz="4" w:space="0" w:color="auto"/>
              <w:right w:val="dotted" w:sz="4" w:space="0" w:color="auto"/>
            </w:tcBorders>
            <w:shd w:val="clear" w:color="auto" w:fill="auto"/>
            <w:vAlign w:val="center"/>
            <w:hideMark/>
          </w:tcPr>
          <w:p w:rsidR="005B6FAB" w:rsidRPr="005B6FAB" w:rsidRDefault="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215.53</w:t>
            </w:r>
          </w:p>
        </w:tc>
      </w:tr>
      <w:tr w:rsidR="005B6FAB" w:rsidRPr="00C60AD1" w:rsidTr="009040B6">
        <w:trPr>
          <w:trHeight w:val="300"/>
        </w:trPr>
        <w:tc>
          <w:tcPr>
            <w:tcW w:w="2885" w:type="dxa"/>
            <w:tcBorders>
              <w:top w:val="nil"/>
              <w:left w:val="dotted" w:sz="4" w:space="0" w:color="auto"/>
              <w:bottom w:val="dotted" w:sz="4" w:space="0" w:color="auto"/>
              <w:right w:val="dotted" w:sz="4" w:space="0" w:color="auto"/>
            </w:tcBorders>
            <w:shd w:val="clear" w:color="auto" w:fill="auto"/>
            <w:hideMark/>
          </w:tcPr>
          <w:p w:rsidR="005B6FAB" w:rsidRDefault="005B6FA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Additions during the year</w:t>
            </w:r>
          </w:p>
        </w:tc>
        <w:tc>
          <w:tcPr>
            <w:tcW w:w="1170" w:type="dxa"/>
            <w:tcBorders>
              <w:top w:val="nil"/>
              <w:left w:val="nil"/>
              <w:bottom w:val="dotted" w:sz="4" w:space="0" w:color="auto"/>
              <w:right w:val="dotted" w:sz="4" w:space="0" w:color="auto"/>
            </w:tcBorders>
            <w:shd w:val="clear" w:color="auto" w:fill="auto"/>
            <w:vAlign w:val="center"/>
            <w:hideMark/>
          </w:tcPr>
          <w:p w:rsidR="005B6FAB" w:rsidRPr="00407B97" w:rsidRDefault="00023318" w:rsidP="000B54A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63.00</w:t>
            </w:r>
          </w:p>
        </w:tc>
        <w:tc>
          <w:tcPr>
            <w:tcW w:w="1170" w:type="dxa"/>
            <w:tcBorders>
              <w:top w:val="nil"/>
              <w:left w:val="nil"/>
              <w:bottom w:val="dotted" w:sz="4" w:space="0" w:color="auto"/>
              <w:right w:val="dotted" w:sz="4" w:space="0" w:color="auto"/>
            </w:tcBorders>
            <w:shd w:val="clear" w:color="auto" w:fill="auto"/>
            <w:vAlign w:val="bottom"/>
            <w:hideMark/>
          </w:tcPr>
          <w:p w:rsidR="005B6FAB" w:rsidRPr="00407B97" w:rsidRDefault="005B6FAB">
            <w:pPr>
              <w:spacing w:before="0" w:line="240" w:lineRule="auto"/>
              <w:jc w:val="right"/>
              <w:rPr>
                <w:rFonts w:asciiTheme="minorHAnsi" w:hAnsiTheme="minorHAnsi"/>
                <w:color w:val="000000"/>
                <w:sz w:val="22"/>
                <w:szCs w:val="22"/>
                <w:lang w:val="en-IN" w:eastAsia="en-IN"/>
              </w:rPr>
            </w:pPr>
            <w:r w:rsidRPr="006901E8">
              <w:rPr>
                <w:rFonts w:asciiTheme="minorHAnsi" w:hAnsiTheme="minorHAnsi" w:cs="Arial"/>
                <w:color w:val="000000"/>
                <w:sz w:val="22"/>
                <w:szCs w:val="22"/>
              </w:rPr>
              <w:t>11.19</w:t>
            </w:r>
          </w:p>
        </w:tc>
        <w:tc>
          <w:tcPr>
            <w:tcW w:w="1406" w:type="dxa"/>
            <w:tcBorders>
              <w:top w:val="nil"/>
              <w:left w:val="nil"/>
              <w:bottom w:val="dotted" w:sz="4" w:space="0" w:color="auto"/>
              <w:right w:val="dotted" w:sz="4" w:space="0" w:color="auto"/>
            </w:tcBorders>
            <w:shd w:val="clear" w:color="auto" w:fill="auto"/>
            <w:noWrap/>
            <w:vAlign w:val="bottom"/>
            <w:hideMark/>
          </w:tcPr>
          <w:p w:rsidR="005B6FAB" w:rsidRPr="00407B97" w:rsidRDefault="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11.19</w:t>
            </w:r>
          </w:p>
        </w:tc>
        <w:tc>
          <w:tcPr>
            <w:tcW w:w="1729" w:type="dxa"/>
            <w:tcBorders>
              <w:top w:val="nil"/>
              <w:left w:val="nil"/>
              <w:bottom w:val="dotted" w:sz="4" w:space="0" w:color="auto"/>
              <w:right w:val="dotted" w:sz="4" w:space="0" w:color="auto"/>
            </w:tcBorders>
            <w:shd w:val="clear" w:color="auto" w:fill="auto"/>
            <w:vAlign w:val="bottom"/>
            <w:hideMark/>
          </w:tcPr>
          <w:p w:rsidR="005B6FAB" w:rsidRPr="00407B97" w:rsidRDefault="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11.19</w:t>
            </w:r>
          </w:p>
        </w:tc>
      </w:tr>
      <w:tr w:rsidR="005B6FAB" w:rsidRPr="00C60AD1" w:rsidTr="009040B6">
        <w:trPr>
          <w:trHeight w:val="300"/>
        </w:trPr>
        <w:tc>
          <w:tcPr>
            <w:tcW w:w="2885" w:type="dxa"/>
            <w:tcBorders>
              <w:top w:val="nil"/>
              <w:left w:val="dotted" w:sz="4" w:space="0" w:color="auto"/>
              <w:bottom w:val="dotted" w:sz="4" w:space="0" w:color="auto"/>
              <w:right w:val="dotted" w:sz="4" w:space="0" w:color="auto"/>
            </w:tcBorders>
            <w:shd w:val="clear" w:color="auto" w:fill="auto"/>
            <w:hideMark/>
          </w:tcPr>
          <w:p w:rsidR="005B6FAB" w:rsidRDefault="005B6FAB">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 xml:space="preserve">Less: Amortisation </w:t>
            </w:r>
          </w:p>
        </w:tc>
        <w:tc>
          <w:tcPr>
            <w:tcW w:w="1170" w:type="dxa"/>
            <w:tcBorders>
              <w:top w:val="nil"/>
              <w:left w:val="nil"/>
              <w:bottom w:val="dotted" w:sz="4" w:space="0" w:color="auto"/>
              <w:right w:val="dotted" w:sz="4" w:space="0" w:color="auto"/>
            </w:tcBorders>
            <w:shd w:val="clear" w:color="auto" w:fill="auto"/>
            <w:vAlign w:val="center"/>
            <w:hideMark/>
          </w:tcPr>
          <w:p w:rsidR="005B6FAB" w:rsidRPr="00407B97" w:rsidRDefault="00023318" w:rsidP="000B54A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18.89</w:t>
            </w:r>
          </w:p>
        </w:tc>
        <w:tc>
          <w:tcPr>
            <w:tcW w:w="1170" w:type="dxa"/>
            <w:tcBorders>
              <w:top w:val="nil"/>
              <w:left w:val="nil"/>
              <w:bottom w:val="dotted" w:sz="4" w:space="0" w:color="auto"/>
              <w:right w:val="dotted" w:sz="4" w:space="0" w:color="auto"/>
            </w:tcBorders>
            <w:shd w:val="clear" w:color="auto" w:fill="auto"/>
            <w:vAlign w:val="bottom"/>
            <w:hideMark/>
          </w:tcPr>
          <w:p w:rsidR="005B6FAB" w:rsidRPr="00407B97" w:rsidRDefault="005B6FAB">
            <w:pPr>
              <w:spacing w:before="0" w:line="240" w:lineRule="auto"/>
              <w:jc w:val="right"/>
              <w:rPr>
                <w:rFonts w:asciiTheme="minorHAnsi" w:hAnsiTheme="minorHAnsi"/>
                <w:color w:val="000000"/>
                <w:sz w:val="22"/>
                <w:szCs w:val="22"/>
                <w:lang w:val="en-IN" w:eastAsia="en-IN"/>
              </w:rPr>
            </w:pPr>
            <w:r w:rsidRPr="005B6FAB">
              <w:rPr>
                <w:rFonts w:asciiTheme="minorHAnsi" w:hAnsiTheme="minorHAnsi" w:cs="Arial"/>
                <w:color w:val="000000"/>
                <w:sz w:val="22"/>
                <w:szCs w:val="22"/>
              </w:rPr>
              <w:t>76.12</w:t>
            </w:r>
          </w:p>
        </w:tc>
        <w:tc>
          <w:tcPr>
            <w:tcW w:w="1406" w:type="dxa"/>
            <w:tcBorders>
              <w:top w:val="nil"/>
              <w:left w:val="nil"/>
              <w:bottom w:val="dotted" w:sz="4" w:space="0" w:color="auto"/>
              <w:right w:val="dotted" w:sz="4" w:space="0" w:color="auto"/>
            </w:tcBorders>
            <w:shd w:val="clear" w:color="auto" w:fill="auto"/>
            <w:noWrap/>
            <w:vAlign w:val="bottom"/>
            <w:hideMark/>
          </w:tcPr>
          <w:p w:rsidR="005B6FAB" w:rsidRPr="00407B97" w:rsidRDefault="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10.22</w:t>
            </w:r>
          </w:p>
        </w:tc>
        <w:tc>
          <w:tcPr>
            <w:tcW w:w="1729" w:type="dxa"/>
            <w:tcBorders>
              <w:top w:val="nil"/>
              <w:left w:val="nil"/>
              <w:bottom w:val="dotted" w:sz="4" w:space="0" w:color="auto"/>
              <w:right w:val="dotted" w:sz="4" w:space="0" w:color="auto"/>
            </w:tcBorders>
            <w:shd w:val="clear" w:color="auto" w:fill="auto"/>
            <w:vAlign w:val="bottom"/>
            <w:hideMark/>
          </w:tcPr>
          <w:p w:rsidR="005B6FAB" w:rsidRPr="005B6FAB" w:rsidRDefault="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76.12</w:t>
            </w:r>
          </w:p>
        </w:tc>
      </w:tr>
      <w:tr w:rsidR="00407B97" w:rsidRPr="00C60AD1" w:rsidTr="009040B6">
        <w:trPr>
          <w:trHeight w:val="300"/>
        </w:trPr>
        <w:tc>
          <w:tcPr>
            <w:tcW w:w="2885" w:type="dxa"/>
            <w:tcBorders>
              <w:top w:val="nil"/>
              <w:left w:val="dotted" w:sz="4" w:space="0" w:color="auto"/>
              <w:bottom w:val="dotted" w:sz="4" w:space="0" w:color="auto"/>
              <w:right w:val="dotted" w:sz="4" w:space="0" w:color="auto"/>
            </w:tcBorders>
            <w:shd w:val="clear" w:color="auto" w:fill="auto"/>
            <w:hideMark/>
          </w:tcPr>
          <w:p w:rsidR="00407B97" w:rsidRDefault="00407B97">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Closing Balance</w:t>
            </w:r>
          </w:p>
        </w:tc>
        <w:tc>
          <w:tcPr>
            <w:tcW w:w="1170" w:type="dxa"/>
            <w:tcBorders>
              <w:top w:val="nil"/>
              <w:left w:val="nil"/>
              <w:bottom w:val="dotted" w:sz="4" w:space="0" w:color="auto"/>
              <w:right w:val="dotted" w:sz="4" w:space="0" w:color="auto"/>
            </w:tcBorders>
            <w:shd w:val="clear" w:color="auto" w:fill="auto"/>
            <w:vAlign w:val="center"/>
            <w:hideMark/>
          </w:tcPr>
          <w:p w:rsidR="00407B97" w:rsidRPr="00407B97" w:rsidRDefault="00023318" w:rsidP="000B54A8">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109.04</w:t>
            </w:r>
          </w:p>
        </w:tc>
        <w:tc>
          <w:tcPr>
            <w:tcW w:w="1170" w:type="dxa"/>
            <w:tcBorders>
              <w:top w:val="nil"/>
              <w:left w:val="nil"/>
              <w:bottom w:val="dotted" w:sz="4" w:space="0" w:color="auto"/>
              <w:right w:val="dotted" w:sz="4" w:space="0" w:color="auto"/>
            </w:tcBorders>
            <w:shd w:val="clear" w:color="auto" w:fill="auto"/>
            <w:vAlign w:val="center"/>
            <w:hideMark/>
          </w:tcPr>
          <w:p w:rsidR="00407B97" w:rsidRPr="00407B97" w:rsidRDefault="00023318">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150.59</w:t>
            </w:r>
          </w:p>
        </w:tc>
        <w:tc>
          <w:tcPr>
            <w:tcW w:w="1406" w:type="dxa"/>
            <w:tcBorders>
              <w:top w:val="nil"/>
              <w:left w:val="nil"/>
              <w:bottom w:val="dotted" w:sz="4" w:space="0" w:color="auto"/>
              <w:right w:val="dotted" w:sz="4" w:space="0" w:color="auto"/>
            </w:tcBorders>
            <w:shd w:val="clear" w:color="auto" w:fill="auto"/>
            <w:noWrap/>
            <w:vAlign w:val="bottom"/>
            <w:hideMark/>
          </w:tcPr>
          <w:p w:rsidR="00407B97" w:rsidRPr="00407B97" w:rsidRDefault="00023318">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150.59</w:t>
            </w:r>
          </w:p>
        </w:tc>
        <w:tc>
          <w:tcPr>
            <w:tcW w:w="1729" w:type="dxa"/>
            <w:tcBorders>
              <w:top w:val="nil"/>
              <w:left w:val="nil"/>
              <w:bottom w:val="dotted" w:sz="4" w:space="0" w:color="auto"/>
              <w:right w:val="dotted" w:sz="4" w:space="0" w:color="auto"/>
            </w:tcBorders>
            <w:shd w:val="clear" w:color="auto" w:fill="auto"/>
            <w:vAlign w:val="bottom"/>
            <w:hideMark/>
          </w:tcPr>
          <w:p w:rsidR="00407B97" w:rsidRPr="00407B97" w:rsidRDefault="00023318">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150.59</w:t>
            </w:r>
          </w:p>
        </w:tc>
      </w:tr>
    </w:tbl>
    <w:p w:rsidR="009F571B" w:rsidRPr="00C60AD1" w:rsidRDefault="009F571B" w:rsidP="00C60AD1">
      <w:pPr>
        <w:spacing w:before="0"/>
        <w:jc w:val="center"/>
        <w:rPr>
          <w:rFonts w:cs="Calibri"/>
          <w:b/>
          <w:sz w:val="22"/>
          <w:szCs w:val="22"/>
          <w:lang w:val="en-US"/>
        </w:rPr>
      </w:pPr>
    </w:p>
    <w:p w:rsidR="003147B8" w:rsidRPr="00C60AD1" w:rsidRDefault="003147B8" w:rsidP="00C60AD1">
      <w:pPr>
        <w:pStyle w:val="Heading3"/>
        <w:tabs>
          <w:tab w:val="clear" w:pos="720"/>
        </w:tabs>
        <w:spacing w:after="240"/>
        <w:ind w:left="993" w:hanging="993"/>
      </w:pPr>
      <w:r w:rsidRPr="00C60AD1">
        <w:t xml:space="preserve">The portion of capital expenditure financed through consumer contributions, capital subsidies and grants has been separated as the depreciation and interest thereon would not be charged to the consumers. The Commission has also verified the above amounts as per the audited accounts of the Petitioner. </w:t>
      </w:r>
    </w:p>
    <w:p w:rsidR="003F2D07" w:rsidRDefault="003147B8">
      <w:pPr>
        <w:pStyle w:val="Heading3"/>
        <w:tabs>
          <w:tab w:val="clear" w:pos="720"/>
        </w:tabs>
        <w:spacing w:after="240"/>
        <w:ind w:left="993" w:hanging="993"/>
        <w:rPr>
          <w:rFonts w:cs="Calibri"/>
          <w:b/>
          <w:sz w:val="22"/>
          <w:szCs w:val="22"/>
          <w:lang w:val="en-US"/>
        </w:rPr>
      </w:pPr>
      <w:r w:rsidRPr="00C60AD1">
        <w:t>Thus, based on the above, the approved financing of the capital investment is depicted in the Table below:</w:t>
      </w:r>
      <w:bookmarkStart w:id="273" w:name="_Toc356913185"/>
      <w:bookmarkStart w:id="274" w:name="_Toc394490641"/>
    </w:p>
    <w:p w:rsidR="003147B8" w:rsidRPr="00C60AD1" w:rsidRDefault="007320D7" w:rsidP="00C60AD1">
      <w:pPr>
        <w:spacing w:before="0"/>
        <w:jc w:val="center"/>
        <w:rPr>
          <w:rFonts w:cs="Calibri"/>
          <w:b/>
          <w:sz w:val="22"/>
          <w:szCs w:val="22"/>
          <w:lang w:val="en-US"/>
        </w:rPr>
      </w:pPr>
      <w:bookmarkStart w:id="275" w:name="_Toc457355614"/>
      <w:r w:rsidRPr="00C60AD1">
        <w:rPr>
          <w:rFonts w:cs="Calibri"/>
          <w:b/>
          <w:sz w:val="22"/>
          <w:szCs w:val="22"/>
          <w:lang w:val="en-US"/>
        </w:rPr>
        <w:t xml:space="preserve">Table </w:t>
      </w:r>
      <w:r w:rsidR="004A2D9E" w:rsidRPr="00C60AD1">
        <w:rPr>
          <w:rFonts w:cs="Calibri"/>
          <w:b/>
          <w:sz w:val="22"/>
          <w:szCs w:val="22"/>
          <w:lang w:val="en-US"/>
        </w:rPr>
        <w:fldChar w:fldCharType="begin"/>
      </w:r>
      <w:r w:rsidR="008A1A72"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008A1A72" w:rsidRPr="00C60AD1">
        <w:rPr>
          <w:rFonts w:cs="Calibri"/>
          <w:b/>
          <w:sz w:val="22"/>
          <w:szCs w:val="22"/>
          <w:lang w:val="en-US"/>
        </w:rPr>
        <w:noBreakHyphen/>
      </w:r>
      <w:r w:rsidR="004A2D9E" w:rsidRPr="00C60AD1">
        <w:rPr>
          <w:rFonts w:cs="Calibri"/>
          <w:b/>
          <w:sz w:val="22"/>
          <w:szCs w:val="22"/>
          <w:lang w:val="en-US"/>
        </w:rPr>
        <w:fldChar w:fldCharType="begin"/>
      </w:r>
      <w:r w:rsidR="008A1A72"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13</w:t>
      </w:r>
      <w:r w:rsidR="004A2D9E" w:rsidRPr="00C60AD1">
        <w:rPr>
          <w:rFonts w:cs="Calibri"/>
          <w:b/>
          <w:sz w:val="22"/>
          <w:szCs w:val="22"/>
          <w:lang w:val="en-US"/>
        </w:rPr>
        <w:fldChar w:fldCharType="end"/>
      </w:r>
      <w:r w:rsidR="008A1A72" w:rsidRPr="00C60AD1">
        <w:rPr>
          <w:rFonts w:cs="Calibri"/>
          <w:b/>
          <w:sz w:val="22"/>
          <w:szCs w:val="22"/>
          <w:lang w:val="en-US"/>
        </w:rPr>
        <w:t>: FINANCING OF THE CAPITAL INVESTMENTS AS APPROVED BY THE COMMISSION FOR FY 201</w:t>
      </w:r>
      <w:r w:rsidR="00A505C3">
        <w:rPr>
          <w:rFonts w:cs="Calibri"/>
          <w:b/>
          <w:sz w:val="22"/>
          <w:szCs w:val="22"/>
          <w:lang w:val="en-US"/>
        </w:rPr>
        <w:t>3</w:t>
      </w:r>
      <w:r w:rsidR="008A1A72" w:rsidRPr="00C60AD1">
        <w:rPr>
          <w:rFonts w:cs="Calibri"/>
          <w:b/>
          <w:sz w:val="22"/>
          <w:szCs w:val="22"/>
          <w:lang w:val="en-US"/>
        </w:rPr>
        <w:t>-1</w:t>
      </w:r>
      <w:r w:rsidR="00A505C3">
        <w:rPr>
          <w:rFonts w:cs="Calibri"/>
          <w:b/>
          <w:sz w:val="22"/>
          <w:szCs w:val="22"/>
          <w:lang w:val="en-US"/>
        </w:rPr>
        <w:t>4</w:t>
      </w:r>
      <w:r w:rsidR="008A1A72" w:rsidRPr="00C60AD1">
        <w:rPr>
          <w:rFonts w:cs="Calibri"/>
          <w:b/>
          <w:sz w:val="22"/>
          <w:szCs w:val="22"/>
          <w:lang w:val="en-US"/>
        </w:rPr>
        <w:t xml:space="preserve"> (Rs. Crore)</w:t>
      </w:r>
      <w:bookmarkEnd w:id="273"/>
      <w:bookmarkEnd w:id="274"/>
      <w:bookmarkEnd w:id="275"/>
    </w:p>
    <w:tbl>
      <w:tblPr>
        <w:tblW w:w="9300" w:type="dxa"/>
        <w:tblInd w:w="103" w:type="dxa"/>
        <w:tblLayout w:type="fixed"/>
        <w:tblLook w:val="04A0"/>
      </w:tblPr>
      <w:tblGrid>
        <w:gridCol w:w="3695"/>
        <w:gridCol w:w="1260"/>
        <w:gridCol w:w="1080"/>
        <w:gridCol w:w="1080"/>
        <w:gridCol w:w="1070"/>
        <w:gridCol w:w="1115"/>
      </w:tblGrid>
      <w:tr w:rsidR="00845289" w:rsidRPr="00C60AD1" w:rsidTr="00826BBF">
        <w:trPr>
          <w:trHeight w:val="300"/>
          <w:tblHeader/>
        </w:trPr>
        <w:tc>
          <w:tcPr>
            <w:tcW w:w="3695"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Particulars</w:t>
            </w:r>
          </w:p>
        </w:tc>
        <w:tc>
          <w:tcPr>
            <w:tcW w:w="5605" w:type="dxa"/>
            <w:gridSpan w:val="5"/>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FY 201</w:t>
            </w:r>
            <w:r w:rsidR="00A505C3">
              <w:rPr>
                <w:rFonts w:asciiTheme="minorHAnsi" w:hAnsiTheme="minorHAnsi"/>
                <w:b/>
                <w:color w:val="000000"/>
                <w:sz w:val="22"/>
                <w:szCs w:val="22"/>
                <w:lang w:val="en-IN" w:eastAsia="en-IN"/>
              </w:rPr>
              <w:t>3</w:t>
            </w:r>
            <w:r w:rsidRPr="00C60AD1">
              <w:rPr>
                <w:rFonts w:asciiTheme="minorHAnsi" w:hAnsiTheme="minorHAnsi"/>
                <w:b/>
                <w:color w:val="000000"/>
                <w:sz w:val="22"/>
                <w:szCs w:val="22"/>
                <w:lang w:val="en-IN" w:eastAsia="en-IN"/>
              </w:rPr>
              <w:t>-1</w:t>
            </w:r>
            <w:r w:rsidR="00A505C3">
              <w:rPr>
                <w:rFonts w:asciiTheme="minorHAnsi" w:hAnsiTheme="minorHAnsi"/>
                <w:b/>
                <w:color w:val="000000"/>
                <w:sz w:val="22"/>
                <w:szCs w:val="22"/>
                <w:lang w:val="en-IN" w:eastAsia="en-IN"/>
              </w:rPr>
              <w:t>4</w:t>
            </w:r>
          </w:p>
        </w:tc>
      </w:tr>
      <w:tr w:rsidR="003847E9" w:rsidRPr="00C60AD1" w:rsidTr="00826BBF">
        <w:trPr>
          <w:trHeight w:val="600"/>
          <w:tblHeader/>
        </w:trPr>
        <w:tc>
          <w:tcPr>
            <w:tcW w:w="3695"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jc w:val="center"/>
              <w:rPr>
                <w:rFonts w:asciiTheme="minorHAnsi" w:hAnsiTheme="minorHAnsi"/>
                <w:b/>
                <w:sz w:val="22"/>
                <w:szCs w:val="22"/>
                <w:lang w:val="en-IN" w:eastAsia="en-IN"/>
              </w:rPr>
            </w:pPr>
          </w:p>
        </w:tc>
        <w:tc>
          <w:tcPr>
            <w:tcW w:w="126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Derivation</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sz w:val="22"/>
                <w:szCs w:val="22"/>
                <w:lang w:val="en-IN" w:eastAsia="en-IN"/>
              </w:rPr>
            </w:pPr>
            <w:r w:rsidRPr="00C60AD1">
              <w:rPr>
                <w:rFonts w:asciiTheme="minorHAnsi" w:hAnsiTheme="minorHAnsi"/>
                <w:b/>
                <w:sz w:val="22"/>
                <w:szCs w:val="22"/>
                <w:lang w:val="en-IN" w:eastAsia="en-IN"/>
              </w:rPr>
              <w:t>Tariff Order</w:t>
            </w:r>
          </w:p>
        </w:tc>
        <w:tc>
          <w:tcPr>
            <w:tcW w:w="108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Audited</w:t>
            </w:r>
          </w:p>
        </w:tc>
        <w:tc>
          <w:tcPr>
            <w:tcW w:w="1070" w:type="dxa"/>
            <w:tcBorders>
              <w:top w:val="nil"/>
              <w:left w:val="nil"/>
              <w:bottom w:val="dotted" w:sz="4" w:space="0" w:color="auto"/>
              <w:right w:val="dotted" w:sz="4" w:space="0" w:color="auto"/>
            </w:tcBorders>
            <w:shd w:val="clear" w:color="000000" w:fill="DBE5F1"/>
            <w:hideMark/>
          </w:tcPr>
          <w:p w:rsidR="003267CD" w:rsidRDefault="0022393E">
            <w:pPr>
              <w:spacing w:before="0"/>
              <w:jc w:val="center"/>
              <w:rPr>
                <w:rFonts w:asciiTheme="minorHAnsi" w:hAnsiTheme="minorHAnsi"/>
                <w:b/>
                <w:color w:val="000000"/>
                <w:sz w:val="22"/>
                <w:szCs w:val="22"/>
                <w:lang w:val="en-IN" w:eastAsia="en-IN"/>
              </w:rPr>
            </w:pPr>
            <w:r w:rsidRPr="00C60AD1">
              <w:rPr>
                <w:rFonts w:asciiTheme="minorHAnsi" w:hAnsiTheme="minorHAnsi"/>
                <w:b/>
                <w:color w:val="000000"/>
                <w:sz w:val="22"/>
                <w:szCs w:val="22"/>
                <w:lang w:val="en-IN" w:eastAsia="en-IN"/>
              </w:rPr>
              <w:t>Petition</w:t>
            </w:r>
          </w:p>
        </w:tc>
        <w:tc>
          <w:tcPr>
            <w:tcW w:w="1115" w:type="dxa"/>
            <w:tcBorders>
              <w:top w:val="nil"/>
              <w:left w:val="nil"/>
              <w:bottom w:val="dotted" w:sz="4" w:space="0" w:color="auto"/>
              <w:right w:val="dotted" w:sz="4" w:space="0" w:color="auto"/>
            </w:tcBorders>
            <w:shd w:val="clear" w:color="000000" w:fill="DBE5F1"/>
            <w:hideMark/>
          </w:tcPr>
          <w:p w:rsidR="003267CD" w:rsidRDefault="00180245">
            <w:pPr>
              <w:spacing w:before="0"/>
              <w:jc w:val="center"/>
              <w:rPr>
                <w:rFonts w:asciiTheme="minorHAnsi" w:hAnsiTheme="minorHAnsi"/>
                <w:b/>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E61434"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w:t>
            </w:r>
          </w:p>
        </w:tc>
        <w:tc>
          <w:tcPr>
            <w:tcW w:w="1260" w:type="dxa"/>
            <w:tcBorders>
              <w:top w:val="nil"/>
              <w:left w:val="nil"/>
              <w:bottom w:val="dotted" w:sz="4" w:space="0" w:color="auto"/>
              <w:right w:val="dotted" w:sz="4" w:space="0" w:color="auto"/>
            </w:tcBorders>
            <w:shd w:val="clear" w:color="auto" w:fill="auto"/>
            <w:hideMark/>
          </w:tcPr>
          <w:p w:rsidR="00E61434" w:rsidRDefault="00E61434">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A</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99.90</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12.13 </w:t>
            </w:r>
          </w:p>
        </w:tc>
        <w:tc>
          <w:tcPr>
            <w:tcW w:w="1070" w:type="dxa"/>
            <w:tcBorders>
              <w:top w:val="nil"/>
              <w:left w:val="nil"/>
              <w:bottom w:val="dotted" w:sz="4" w:space="0" w:color="auto"/>
              <w:right w:val="dotted" w:sz="4" w:space="0" w:color="auto"/>
            </w:tcBorders>
            <w:shd w:val="clear" w:color="auto" w:fill="auto"/>
            <w:noWrap/>
            <w:vAlign w:val="center"/>
            <w:hideMark/>
          </w:tcPr>
          <w:p w:rsidR="00E61434" w:rsidRPr="00E61434" w:rsidRDefault="00023318">
            <w:pPr>
              <w:spacing w:before="0"/>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12.13 </w:t>
            </w:r>
          </w:p>
        </w:tc>
        <w:tc>
          <w:tcPr>
            <w:tcW w:w="1115"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 xml:space="preserve"> 12.13 </w:t>
            </w:r>
          </w:p>
        </w:tc>
      </w:tr>
      <w:tr w:rsidR="00E61434"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Less:</w:t>
            </w:r>
          </w:p>
        </w:tc>
        <w:tc>
          <w:tcPr>
            <w:tcW w:w="1260" w:type="dxa"/>
            <w:tcBorders>
              <w:top w:val="nil"/>
              <w:left w:val="nil"/>
              <w:bottom w:val="dotted" w:sz="4" w:space="0" w:color="auto"/>
              <w:right w:val="dotted" w:sz="4" w:space="0" w:color="auto"/>
            </w:tcBorders>
            <w:shd w:val="clear" w:color="auto" w:fill="auto"/>
            <w:hideMark/>
          </w:tcPr>
          <w:p w:rsidR="00E61434" w:rsidRPr="00C60AD1" w:rsidRDefault="00E61434" w:rsidP="00C60AD1">
            <w:pPr>
              <w:spacing w:before="0"/>
              <w:jc w:val="center"/>
              <w:rPr>
                <w:rFonts w:asciiTheme="minorHAnsi" w:hAnsiTheme="minorHAnsi" w:cs="Arial"/>
                <w:bCs/>
                <w:color w:val="000000"/>
                <w:sz w:val="22"/>
                <w:szCs w:val="22"/>
                <w:lang w:val="en-IN" w:eastAsia="en-IN"/>
              </w:rPr>
            </w:pPr>
          </w:p>
        </w:tc>
        <w:tc>
          <w:tcPr>
            <w:tcW w:w="1080" w:type="dxa"/>
            <w:tcBorders>
              <w:top w:val="nil"/>
              <w:left w:val="nil"/>
              <w:bottom w:val="dotted" w:sz="4" w:space="0" w:color="auto"/>
              <w:right w:val="dotted" w:sz="4" w:space="0" w:color="auto"/>
            </w:tcBorders>
            <w:shd w:val="clear" w:color="auto" w:fill="auto"/>
            <w:vAlign w:val="center"/>
            <w:hideMark/>
          </w:tcPr>
          <w:p w:rsidR="00023318" w:rsidRDefault="00023318" w:rsidP="00023318">
            <w:pPr>
              <w:numPr>
                <w:ilvl w:val="2"/>
                <w:numId w:val="11"/>
              </w:numPr>
              <w:tabs>
                <w:tab w:val="left" w:pos="720"/>
              </w:tabs>
              <w:spacing w:before="0"/>
              <w:jc w:val="right"/>
              <w:outlineLvl w:val="2"/>
              <w:rPr>
                <w:rFonts w:asciiTheme="minorHAnsi" w:hAnsiTheme="minorHAnsi" w:cs="Arial"/>
                <w:bCs/>
                <w:sz w:val="22"/>
                <w:szCs w:val="22"/>
                <w:lang w:val="en-IN" w:eastAsia="en-IN"/>
              </w:rPr>
            </w:pPr>
            <w:r w:rsidRPr="00023318">
              <w:rPr>
                <w:rFonts w:asciiTheme="minorHAnsi" w:hAnsiTheme="minorHAnsi" w:cs="Arial"/>
                <w:sz w:val="22"/>
                <w:szCs w:val="22"/>
              </w:rPr>
              <w:t> </w:t>
            </w:r>
          </w:p>
        </w:tc>
        <w:tc>
          <w:tcPr>
            <w:tcW w:w="1080" w:type="dxa"/>
            <w:tcBorders>
              <w:top w:val="nil"/>
              <w:left w:val="nil"/>
              <w:bottom w:val="dotted" w:sz="4" w:space="0" w:color="auto"/>
              <w:right w:val="dotted" w:sz="4" w:space="0" w:color="auto"/>
            </w:tcBorders>
            <w:shd w:val="clear" w:color="auto" w:fill="auto"/>
            <w:vAlign w:val="center"/>
            <w:hideMark/>
          </w:tcPr>
          <w:p w:rsidR="00023318" w:rsidRDefault="00023318" w:rsidP="00023318">
            <w:pPr>
              <w:numPr>
                <w:ilvl w:val="2"/>
                <w:numId w:val="11"/>
              </w:numPr>
              <w:tabs>
                <w:tab w:val="left" w:pos="720"/>
              </w:tabs>
              <w:spacing w:before="0"/>
              <w:jc w:val="right"/>
              <w:outlineLvl w:val="2"/>
              <w:rPr>
                <w:rFonts w:asciiTheme="minorHAnsi" w:hAnsiTheme="minorHAnsi"/>
                <w:sz w:val="22"/>
                <w:szCs w:val="22"/>
                <w:lang w:val="en-IN" w:eastAsia="en-IN"/>
              </w:rPr>
            </w:pPr>
            <w:r w:rsidRPr="00023318">
              <w:rPr>
                <w:rFonts w:asciiTheme="minorHAnsi" w:hAnsiTheme="minorHAnsi" w:cs="Arial"/>
                <w:color w:val="000000"/>
                <w:sz w:val="22"/>
                <w:szCs w:val="22"/>
              </w:rPr>
              <w:t> </w:t>
            </w:r>
          </w:p>
        </w:tc>
        <w:tc>
          <w:tcPr>
            <w:tcW w:w="1070" w:type="dxa"/>
            <w:tcBorders>
              <w:top w:val="nil"/>
              <w:left w:val="nil"/>
              <w:bottom w:val="dotted" w:sz="4" w:space="0" w:color="auto"/>
              <w:right w:val="dotted" w:sz="4" w:space="0" w:color="auto"/>
            </w:tcBorders>
            <w:shd w:val="clear" w:color="auto" w:fill="auto"/>
            <w:noWrap/>
            <w:vAlign w:val="center"/>
            <w:hideMark/>
          </w:tcPr>
          <w:p w:rsidR="00023318" w:rsidRDefault="00023318" w:rsidP="00023318">
            <w:pPr>
              <w:numPr>
                <w:ilvl w:val="2"/>
                <w:numId w:val="11"/>
              </w:numPr>
              <w:tabs>
                <w:tab w:val="left" w:pos="720"/>
              </w:tabs>
              <w:spacing w:before="0"/>
              <w:jc w:val="right"/>
              <w:outlineLvl w:val="2"/>
              <w:rPr>
                <w:rFonts w:asciiTheme="minorHAnsi" w:hAnsiTheme="minorHAnsi"/>
                <w:color w:val="000000"/>
                <w:sz w:val="22"/>
                <w:szCs w:val="22"/>
                <w:lang w:val="en-IN" w:eastAsia="en-IN"/>
              </w:rPr>
            </w:pPr>
            <w:r w:rsidRPr="00023318">
              <w:rPr>
                <w:rFonts w:asciiTheme="minorHAnsi" w:hAnsiTheme="minorHAnsi" w:cs="Arial"/>
                <w:color w:val="000000"/>
                <w:sz w:val="22"/>
                <w:szCs w:val="22"/>
              </w:rPr>
              <w:t> </w:t>
            </w:r>
          </w:p>
        </w:tc>
        <w:tc>
          <w:tcPr>
            <w:tcW w:w="1115" w:type="dxa"/>
            <w:tcBorders>
              <w:top w:val="nil"/>
              <w:left w:val="nil"/>
              <w:bottom w:val="dotted" w:sz="4" w:space="0" w:color="auto"/>
              <w:right w:val="dotted" w:sz="4" w:space="0" w:color="auto"/>
            </w:tcBorders>
            <w:shd w:val="clear" w:color="auto" w:fill="auto"/>
            <w:vAlign w:val="center"/>
            <w:hideMark/>
          </w:tcPr>
          <w:p w:rsidR="00023318" w:rsidRDefault="00023318" w:rsidP="00023318">
            <w:pPr>
              <w:numPr>
                <w:ilvl w:val="2"/>
                <w:numId w:val="11"/>
              </w:numPr>
              <w:tabs>
                <w:tab w:val="left" w:pos="720"/>
              </w:tabs>
              <w:spacing w:before="0"/>
              <w:jc w:val="right"/>
              <w:outlineLvl w:val="2"/>
              <w:rPr>
                <w:rFonts w:asciiTheme="minorHAnsi" w:hAnsiTheme="minorHAnsi"/>
                <w:sz w:val="22"/>
                <w:szCs w:val="22"/>
                <w:lang w:val="en-IN" w:eastAsia="en-IN"/>
              </w:rPr>
            </w:pPr>
            <w:r w:rsidRPr="00023318">
              <w:rPr>
                <w:rFonts w:asciiTheme="minorHAnsi" w:hAnsiTheme="minorHAnsi" w:cs="Arial"/>
                <w:sz w:val="22"/>
                <w:szCs w:val="22"/>
              </w:rPr>
              <w:t> </w:t>
            </w:r>
          </w:p>
        </w:tc>
      </w:tr>
      <w:tr w:rsidR="00E61434"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Consumer Contribution</w:t>
            </w:r>
          </w:p>
        </w:tc>
        <w:tc>
          <w:tcPr>
            <w:tcW w:w="1260" w:type="dxa"/>
            <w:tcBorders>
              <w:top w:val="nil"/>
              <w:left w:val="nil"/>
              <w:bottom w:val="dotted" w:sz="4" w:space="0" w:color="auto"/>
              <w:right w:val="dotted" w:sz="4" w:space="0" w:color="auto"/>
            </w:tcBorders>
            <w:shd w:val="clear" w:color="auto" w:fill="auto"/>
            <w:hideMark/>
          </w:tcPr>
          <w:p w:rsidR="00E61434" w:rsidRDefault="00E61434">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B</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63.00</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11.19 </w:t>
            </w:r>
          </w:p>
        </w:tc>
        <w:tc>
          <w:tcPr>
            <w:tcW w:w="1070" w:type="dxa"/>
            <w:tcBorders>
              <w:top w:val="nil"/>
              <w:left w:val="nil"/>
              <w:bottom w:val="dotted" w:sz="4" w:space="0" w:color="auto"/>
              <w:right w:val="dotted" w:sz="4" w:space="0" w:color="auto"/>
            </w:tcBorders>
            <w:shd w:val="clear" w:color="auto" w:fill="auto"/>
            <w:noWrap/>
            <w:vAlign w:val="center"/>
            <w:hideMark/>
          </w:tcPr>
          <w:p w:rsidR="00E61434" w:rsidRPr="00E61434" w:rsidRDefault="00023318">
            <w:pPr>
              <w:spacing w:before="0"/>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11.19 </w:t>
            </w:r>
          </w:p>
        </w:tc>
        <w:tc>
          <w:tcPr>
            <w:tcW w:w="1115"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 xml:space="preserve">11.19 </w:t>
            </w:r>
          </w:p>
        </w:tc>
      </w:tr>
      <w:tr w:rsidR="00E61434"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Investment funded by debt and equity</w:t>
            </w:r>
          </w:p>
        </w:tc>
        <w:tc>
          <w:tcPr>
            <w:tcW w:w="1260" w:type="dxa"/>
            <w:tcBorders>
              <w:top w:val="nil"/>
              <w:left w:val="nil"/>
              <w:bottom w:val="dotted" w:sz="4" w:space="0" w:color="auto"/>
              <w:right w:val="dotted" w:sz="4" w:space="0" w:color="auto"/>
            </w:tcBorders>
            <w:shd w:val="clear" w:color="auto" w:fill="auto"/>
            <w:hideMark/>
          </w:tcPr>
          <w:p w:rsidR="00E61434" w:rsidRDefault="00E61434">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C=A-B</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36.90</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rsidP="00E61434">
            <w:pPr>
              <w:spacing w:before="0"/>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0.94 </w:t>
            </w:r>
          </w:p>
        </w:tc>
        <w:tc>
          <w:tcPr>
            <w:tcW w:w="1070" w:type="dxa"/>
            <w:tcBorders>
              <w:top w:val="nil"/>
              <w:left w:val="nil"/>
              <w:bottom w:val="dotted" w:sz="4" w:space="0" w:color="auto"/>
              <w:right w:val="dotted" w:sz="4" w:space="0" w:color="auto"/>
            </w:tcBorders>
            <w:shd w:val="clear" w:color="auto" w:fill="auto"/>
            <w:noWrap/>
            <w:vAlign w:val="center"/>
            <w:hideMark/>
          </w:tcPr>
          <w:p w:rsidR="00E61434" w:rsidRPr="00E61434" w:rsidRDefault="00023318">
            <w:pPr>
              <w:spacing w:before="0"/>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0.94 </w:t>
            </w:r>
          </w:p>
        </w:tc>
        <w:tc>
          <w:tcPr>
            <w:tcW w:w="1115"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 xml:space="preserve"> 0.94 </w:t>
            </w:r>
          </w:p>
        </w:tc>
      </w:tr>
      <w:tr w:rsidR="00E61434" w:rsidRPr="00C60AD1" w:rsidTr="00C13FBA">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lastRenderedPageBreak/>
              <w:t>Debt Funded</w:t>
            </w:r>
          </w:p>
        </w:tc>
        <w:tc>
          <w:tcPr>
            <w:tcW w:w="1260" w:type="dxa"/>
            <w:tcBorders>
              <w:top w:val="nil"/>
              <w:left w:val="nil"/>
              <w:bottom w:val="dotted" w:sz="4" w:space="0" w:color="auto"/>
              <w:right w:val="dotted" w:sz="4" w:space="0" w:color="auto"/>
            </w:tcBorders>
            <w:shd w:val="clear" w:color="auto" w:fill="auto"/>
            <w:hideMark/>
          </w:tcPr>
          <w:p w:rsidR="00E61434" w:rsidRDefault="00E61434">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70%</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25.83</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0.66 </w:t>
            </w:r>
          </w:p>
        </w:tc>
        <w:tc>
          <w:tcPr>
            <w:tcW w:w="1070" w:type="dxa"/>
            <w:tcBorders>
              <w:top w:val="nil"/>
              <w:left w:val="nil"/>
              <w:bottom w:val="dotted" w:sz="4" w:space="0" w:color="auto"/>
              <w:right w:val="dotted" w:sz="4" w:space="0" w:color="auto"/>
            </w:tcBorders>
            <w:shd w:val="clear" w:color="auto" w:fill="auto"/>
            <w:noWrap/>
            <w:vAlign w:val="center"/>
            <w:hideMark/>
          </w:tcPr>
          <w:p w:rsidR="00E61434" w:rsidRPr="00E61434" w:rsidRDefault="00023318">
            <w:pPr>
              <w:spacing w:before="0"/>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0.66 </w:t>
            </w:r>
          </w:p>
        </w:tc>
        <w:tc>
          <w:tcPr>
            <w:tcW w:w="1115"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 xml:space="preserve">0.66 </w:t>
            </w:r>
          </w:p>
        </w:tc>
      </w:tr>
      <w:tr w:rsidR="00E61434" w:rsidRPr="00C60AD1" w:rsidTr="005A3471">
        <w:trPr>
          <w:trHeight w:val="300"/>
        </w:trPr>
        <w:tc>
          <w:tcPr>
            <w:tcW w:w="3695" w:type="dxa"/>
            <w:tcBorders>
              <w:top w:val="nil"/>
              <w:left w:val="dotted" w:sz="4" w:space="0" w:color="auto"/>
              <w:bottom w:val="dotted" w:sz="4" w:space="0" w:color="auto"/>
              <w:right w:val="dotted" w:sz="4" w:space="0" w:color="auto"/>
            </w:tcBorders>
            <w:shd w:val="clear" w:color="auto" w:fill="auto"/>
            <w:hideMark/>
          </w:tcPr>
          <w:p w:rsidR="00E61434" w:rsidRDefault="00E61434">
            <w:pPr>
              <w:spacing w:before="0"/>
              <w:rPr>
                <w:rFonts w:asciiTheme="minorHAnsi" w:hAnsiTheme="minorHAnsi"/>
                <w:sz w:val="22"/>
                <w:szCs w:val="22"/>
                <w:lang w:val="en-IN" w:eastAsia="en-IN"/>
              </w:rPr>
            </w:pPr>
            <w:r w:rsidRPr="00C60AD1">
              <w:rPr>
                <w:rFonts w:asciiTheme="minorHAnsi" w:hAnsiTheme="minorHAnsi"/>
                <w:sz w:val="22"/>
                <w:szCs w:val="22"/>
                <w:lang w:val="en-IN" w:eastAsia="en-IN"/>
              </w:rPr>
              <w:t>Equity Funded</w:t>
            </w:r>
          </w:p>
        </w:tc>
        <w:tc>
          <w:tcPr>
            <w:tcW w:w="1260" w:type="dxa"/>
            <w:tcBorders>
              <w:top w:val="nil"/>
              <w:left w:val="nil"/>
              <w:bottom w:val="dotted" w:sz="4" w:space="0" w:color="auto"/>
              <w:right w:val="dotted" w:sz="4" w:space="0" w:color="auto"/>
            </w:tcBorders>
            <w:shd w:val="clear" w:color="auto" w:fill="auto"/>
            <w:hideMark/>
          </w:tcPr>
          <w:p w:rsidR="00E61434" w:rsidRDefault="00E61434">
            <w:pPr>
              <w:spacing w:before="0"/>
              <w:jc w:val="center"/>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30%</w:t>
            </w:r>
          </w:p>
        </w:tc>
        <w:tc>
          <w:tcPr>
            <w:tcW w:w="1080" w:type="dxa"/>
            <w:tcBorders>
              <w:top w:val="nil"/>
              <w:left w:val="nil"/>
              <w:bottom w:val="dotted" w:sz="4" w:space="0" w:color="auto"/>
              <w:right w:val="dotted" w:sz="4" w:space="0" w:color="auto"/>
            </w:tcBorders>
            <w:shd w:val="clear" w:color="auto" w:fill="auto"/>
            <w:vAlign w:val="center"/>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11.07</w:t>
            </w:r>
          </w:p>
        </w:tc>
        <w:tc>
          <w:tcPr>
            <w:tcW w:w="1080" w:type="dxa"/>
            <w:tcBorders>
              <w:top w:val="nil"/>
              <w:left w:val="nil"/>
              <w:bottom w:val="dotted" w:sz="4" w:space="0" w:color="auto"/>
              <w:right w:val="dotted" w:sz="4" w:space="0" w:color="auto"/>
            </w:tcBorders>
            <w:shd w:val="clear" w:color="auto" w:fill="auto"/>
            <w:vAlign w:val="bottom"/>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0.28 </w:t>
            </w:r>
          </w:p>
        </w:tc>
        <w:tc>
          <w:tcPr>
            <w:tcW w:w="1070" w:type="dxa"/>
            <w:tcBorders>
              <w:top w:val="nil"/>
              <w:left w:val="nil"/>
              <w:bottom w:val="dotted" w:sz="4" w:space="0" w:color="auto"/>
              <w:right w:val="dotted" w:sz="4" w:space="0" w:color="auto"/>
            </w:tcBorders>
            <w:shd w:val="clear" w:color="auto" w:fill="auto"/>
            <w:noWrap/>
            <w:vAlign w:val="bottom"/>
            <w:hideMark/>
          </w:tcPr>
          <w:p w:rsidR="00E61434" w:rsidRPr="00E61434" w:rsidRDefault="00023318">
            <w:pPr>
              <w:spacing w:before="0"/>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0.28 </w:t>
            </w:r>
          </w:p>
        </w:tc>
        <w:tc>
          <w:tcPr>
            <w:tcW w:w="1115" w:type="dxa"/>
            <w:tcBorders>
              <w:top w:val="nil"/>
              <w:left w:val="nil"/>
              <w:bottom w:val="dotted" w:sz="4" w:space="0" w:color="auto"/>
              <w:right w:val="dotted" w:sz="4" w:space="0" w:color="auto"/>
            </w:tcBorders>
            <w:shd w:val="clear" w:color="auto" w:fill="auto"/>
            <w:hideMark/>
          </w:tcPr>
          <w:p w:rsidR="00E61434" w:rsidRPr="00E61434" w:rsidRDefault="00023318">
            <w:pPr>
              <w:spacing w:before="0"/>
              <w:jc w:val="right"/>
              <w:rPr>
                <w:rFonts w:asciiTheme="minorHAnsi" w:hAnsiTheme="minorHAnsi"/>
                <w:sz w:val="22"/>
                <w:szCs w:val="22"/>
                <w:lang w:val="en-IN" w:eastAsia="en-IN"/>
              </w:rPr>
            </w:pPr>
            <w:r w:rsidRPr="00023318">
              <w:rPr>
                <w:rFonts w:asciiTheme="minorHAnsi" w:hAnsiTheme="minorHAnsi" w:cs="Arial"/>
                <w:sz w:val="22"/>
                <w:szCs w:val="22"/>
              </w:rPr>
              <w:t xml:space="preserve">  0.28 </w:t>
            </w:r>
          </w:p>
        </w:tc>
      </w:tr>
    </w:tbl>
    <w:p w:rsidR="00332CAE" w:rsidRDefault="00332CAE">
      <w:pPr>
        <w:pStyle w:val="Heading3"/>
        <w:numPr>
          <w:ilvl w:val="0"/>
          <w:numId w:val="0"/>
        </w:numPr>
        <w:tabs>
          <w:tab w:val="clear" w:pos="720"/>
        </w:tabs>
        <w:spacing w:before="0"/>
        <w:ind w:left="993"/>
      </w:pPr>
    </w:p>
    <w:p w:rsidR="003267CD" w:rsidRDefault="003147B8" w:rsidP="005A3471">
      <w:pPr>
        <w:pStyle w:val="Heading3"/>
        <w:tabs>
          <w:tab w:val="clear" w:pos="720"/>
        </w:tabs>
        <w:spacing w:before="0"/>
        <w:ind w:left="993" w:hanging="993"/>
      </w:pPr>
      <w:r w:rsidRPr="00C60AD1">
        <w:t>From the above tables, it is seen that the total investments made in distribution segment in FY 20</w:t>
      </w:r>
      <w:r w:rsidR="00842127" w:rsidRPr="00C60AD1">
        <w:t>1</w:t>
      </w:r>
      <w:r w:rsidR="00D36841">
        <w:t>3</w:t>
      </w:r>
      <w:r w:rsidR="00842127" w:rsidRPr="00C60AD1">
        <w:t>-1</w:t>
      </w:r>
      <w:r w:rsidR="00D36841">
        <w:t>4</w:t>
      </w:r>
      <w:r w:rsidRPr="00C60AD1">
        <w:t xml:space="preserve"> were to the tune of Rs. </w:t>
      </w:r>
      <w:r w:rsidR="005A3471">
        <w:t>12.13</w:t>
      </w:r>
      <w:r w:rsidRPr="00C60AD1">
        <w:t xml:space="preserve"> Crore. The consumer contributions, capital subsidies and grants received during the corresponding period is Rs. </w:t>
      </w:r>
      <w:r w:rsidR="005A3471">
        <w:t>11.19</w:t>
      </w:r>
      <w:r w:rsidRPr="00C60AD1">
        <w:t xml:space="preserve"> Crore. Thus, balance Rs. </w:t>
      </w:r>
      <w:r w:rsidR="005A3471">
        <w:t>0.94</w:t>
      </w:r>
      <w:r w:rsidRPr="00C60AD1">
        <w:t xml:space="preserve"> Crore have been funded through debt and equity. Considering a debt equity ratio of 70:30, Rs. </w:t>
      </w:r>
      <w:r w:rsidR="005A3471">
        <w:t>0.66</w:t>
      </w:r>
      <w:r w:rsidRPr="00C60AD1">
        <w:t xml:space="preserve"> Crore or 70% of the capital investment is approved to be funded through debt and balance 30% equivalent to Rs. </w:t>
      </w:r>
      <w:r w:rsidR="005A3471">
        <w:t>0.28</w:t>
      </w:r>
      <w:r w:rsidRPr="00C60AD1">
        <w:t xml:space="preserve"> Crore through equity. Allowable depreciation for the year has been considered as normative loan repayment. </w:t>
      </w:r>
    </w:p>
    <w:p w:rsidR="00EF09EB" w:rsidRPr="004749F4" w:rsidRDefault="008B0C65" w:rsidP="00C60AD1">
      <w:pPr>
        <w:pStyle w:val="Heading3"/>
        <w:tabs>
          <w:tab w:val="clear" w:pos="720"/>
        </w:tabs>
        <w:spacing w:after="240"/>
        <w:ind w:left="993" w:hanging="993"/>
      </w:pPr>
      <w:r w:rsidRPr="008B0C65">
        <w:t>In reply to the Commission’s query regarding detailed computation of the weighted average interest rate, the Petitioner has submitted the detailed computation with due reconciliation with the audited accounts of FY 2013-14 for the loans used to fund the capital expenditure. Accordingly, the weighted average rate has been considered for computing the interest on long term loan.</w:t>
      </w:r>
    </w:p>
    <w:p w:rsidR="003147B8" w:rsidRPr="00C60AD1" w:rsidRDefault="003147B8" w:rsidP="00C60AD1">
      <w:pPr>
        <w:pStyle w:val="Heading3"/>
        <w:tabs>
          <w:tab w:val="clear" w:pos="720"/>
        </w:tabs>
        <w:spacing w:after="240"/>
        <w:ind w:left="993" w:hanging="993"/>
      </w:pPr>
      <w:r w:rsidRPr="00C60AD1">
        <w:t>The Commission considered the closing loan balance of FY 20</w:t>
      </w:r>
      <w:r w:rsidR="00141D14" w:rsidRPr="00C60AD1">
        <w:t>1</w:t>
      </w:r>
      <w:r w:rsidR="006E34AE">
        <w:t>2</w:t>
      </w:r>
      <w:r w:rsidR="00141D14" w:rsidRPr="00C60AD1">
        <w:t>-1</w:t>
      </w:r>
      <w:r w:rsidR="006E34AE">
        <w:t>3</w:t>
      </w:r>
      <w:r w:rsidRPr="00C60AD1">
        <w:t xml:space="preserve"> as the opening loan balance of FY 20</w:t>
      </w:r>
      <w:r w:rsidR="00141D14" w:rsidRPr="00C60AD1">
        <w:t>1</w:t>
      </w:r>
      <w:r w:rsidR="006E34AE">
        <w:t>3</w:t>
      </w:r>
      <w:r w:rsidR="00141D14" w:rsidRPr="00C60AD1">
        <w:t>-1</w:t>
      </w:r>
      <w:r w:rsidR="006E34AE">
        <w:t>4</w:t>
      </w:r>
      <w:r w:rsidRPr="00C60AD1">
        <w:t xml:space="preserve">. </w:t>
      </w:r>
    </w:p>
    <w:p w:rsidR="003147B8" w:rsidRDefault="003147B8" w:rsidP="00C60AD1">
      <w:pPr>
        <w:pStyle w:val="Heading3"/>
        <w:tabs>
          <w:tab w:val="clear" w:pos="720"/>
        </w:tabs>
        <w:spacing w:after="240"/>
        <w:ind w:left="993" w:hanging="993"/>
      </w:pPr>
      <w:r w:rsidRPr="00C60AD1">
        <w:t xml:space="preserve">Considering </w:t>
      </w:r>
      <w:r w:rsidR="00023318" w:rsidRPr="00023318">
        <w:t>the above, the gross interest on long term loan has been worked out as shown in the Table below. The</w:t>
      </w:r>
      <w:r w:rsidRPr="00C60AD1">
        <w:t xml:space="preserve"> interest capitalisation has been considered at the same rate as per audited accounts.</w:t>
      </w:r>
    </w:p>
    <w:p w:rsidR="003147B8" w:rsidRPr="00C60AD1" w:rsidRDefault="003147B8" w:rsidP="00C60AD1">
      <w:pPr>
        <w:spacing w:before="0"/>
        <w:jc w:val="center"/>
        <w:rPr>
          <w:rFonts w:cs="Calibri"/>
          <w:b/>
          <w:sz w:val="22"/>
          <w:szCs w:val="22"/>
          <w:lang w:val="en-US"/>
        </w:rPr>
      </w:pPr>
      <w:bookmarkStart w:id="276" w:name="_Toc356913186"/>
      <w:bookmarkStart w:id="277" w:name="_Toc394490642"/>
      <w:bookmarkStart w:id="278" w:name="_Toc457355615"/>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14</w:t>
      </w:r>
      <w:r w:rsidR="004A2D9E" w:rsidRPr="00C60AD1">
        <w:rPr>
          <w:rFonts w:cs="Calibri"/>
          <w:b/>
          <w:sz w:val="22"/>
          <w:szCs w:val="22"/>
          <w:lang w:val="en-US"/>
        </w:rPr>
        <w:fldChar w:fldCharType="end"/>
      </w:r>
      <w:r w:rsidRPr="00C60AD1">
        <w:rPr>
          <w:rFonts w:cs="Calibri"/>
          <w:b/>
          <w:sz w:val="22"/>
          <w:szCs w:val="22"/>
          <w:lang w:val="en-US"/>
        </w:rPr>
        <w:t>: INTEREST ON LONG TERM LOAN FOR FY 20</w:t>
      </w:r>
      <w:r w:rsidR="00141D14" w:rsidRPr="00C60AD1">
        <w:rPr>
          <w:rFonts w:cs="Calibri"/>
          <w:b/>
          <w:sz w:val="22"/>
          <w:szCs w:val="22"/>
          <w:lang w:val="en-US"/>
        </w:rPr>
        <w:t>1</w:t>
      </w:r>
      <w:r w:rsidR="003E52B6">
        <w:rPr>
          <w:rFonts w:cs="Calibri"/>
          <w:b/>
          <w:sz w:val="22"/>
          <w:szCs w:val="22"/>
          <w:lang w:val="en-US"/>
        </w:rPr>
        <w:t>3</w:t>
      </w:r>
      <w:r w:rsidR="00141D14" w:rsidRPr="00C60AD1">
        <w:rPr>
          <w:rFonts w:cs="Calibri"/>
          <w:b/>
          <w:sz w:val="22"/>
          <w:szCs w:val="22"/>
          <w:lang w:val="en-US"/>
        </w:rPr>
        <w:t>-1</w:t>
      </w:r>
      <w:r w:rsidR="003E52B6">
        <w:rPr>
          <w:rFonts w:cs="Calibri"/>
          <w:b/>
          <w:sz w:val="22"/>
          <w:szCs w:val="22"/>
          <w:lang w:val="en-US"/>
        </w:rPr>
        <w:t>4</w:t>
      </w:r>
      <w:r w:rsidRPr="00C60AD1">
        <w:rPr>
          <w:rFonts w:cs="Calibri"/>
          <w:b/>
          <w:sz w:val="22"/>
          <w:szCs w:val="22"/>
          <w:lang w:val="en-US"/>
        </w:rPr>
        <w:t xml:space="preserve"> (Rs Crore)</w:t>
      </w:r>
      <w:bookmarkEnd w:id="276"/>
      <w:bookmarkEnd w:id="277"/>
      <w:bookmarkEnd w:id="278"/>
    </w:p>
    <w:tbl>
      <w:tblPr>
        <w:tblW w:w="9166"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415"/>
        <w:gridCol w:w="2287"/>
        <w:gridCol w:w="1494"/>
        <w:gridCol w:w="1970"/>
      </w:tblGrid>
      <w:tr w:rsidR="00DE7B31" w:rsidRPr="00C60AD1" w:rsidTr="00CE2DD9">
        <w:trPr>
          <w:trHeight w:val="299"/>
          <w:tblHeader/>
        </w:trPr>
        <w:tc>
          <w:tcPr>
            <w:tcW w:w="3415" w:type="dxa"/>
            <w:vMerge w:val="restart"/>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Particulars</w:t>
            </w:r>
          </w:p>
        </w:tc>
        <w:tc>
          <w:tcPr>
            <w:tcW w:w="5751" w:type="dxa"/>
            <w:gridSpan w:val="3"/>
            <w:shd w:val="clear" w:color="000000" w:fill="DBE5F1"/>
            <w:hideMark/>
          </w:tcPr>
          <w:p w:rsidR="00DE7B31" w:rsidRPr="00C60AD1" w:rsidRDefault="00DE7B31"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FY 201</w:t>
            </w:r>
            <w:r w:rsidR="003E52B6">
              <w:rPr>
                <w:rFonts w:asciiTheme="minorHAnsi" w:hAnsiTheme="minorHAnsi"/>
                <w:b/>
                <w:bCs/>
                <w:color w:val="000000"/>
                <w:sz w:val="22"/>
                <w:szCs w:val="22"/>
                <w:lang w:val="en-IN" w:eastAsia="en-IN"/>
              </w:rPr>
              <w:t>3</w:t>
            </w:r>
            <w:r w:rsidRPr="00C60AD1">
              <w:rPr>
                <w:rFonts w:asciiTheme="minorHAnsi" w:hAnsiTheme="minorHAnsi"/>
                <w:b/>
                <w:bCs/>
                <w:color w:val="000000"/>
                <w:sz w:val="22"/>
                <w:szCs w:val="22"/>
                <w:lang w:val="en-IN" w:eastAsia="en-IN"/>
              </w:rPr>
              <w:t>-1</w:t>
            </w:r>
            <w:r w:rsidR="003E52B6">
              <w:rPr>
                <w:rFonts w:asciiTheme="minorHAnsi" w:hAnsiTheme="minorHAnsi"/>
                <w:b/>
                <w:bCs/>
                <w:color w:val="000000"/>
                <w:sz w:val="22"/>
                <w:szCs w:val="22"/>
                <w:lang w:val="en-IN" w:eastAsia="en-IN"/>
              </w:rPr>
              <w:t>4</w:t>
            </w:r>
          </w:p>
        </w:tc>
      </w:tr>
      <w:tr w:rsidR="00DA0654" w:rsidRPr="00C60AD1" w:rsidTr="00CE2DD9">
        <w:trPr>
          <w:trHeight w:val="598"/>
          <w:tblHeader/>
        </w:trPr>
        <w:tc>
          <w:tcPr>
            <w:tcW w:w="3415" w:type="dxa"/>
            <w:vMerge/>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p>
        </w:tc>
        <w:tc>
          <w:tcPr>
            <w:tcW w:w="2287" w:type="dxa"/>
            <w:shd w:val="clear" w:color="000000" w:fill="DBE5F1"/>
            <w:hideMark/>
          </w:tcPr>
          <w:p w:rsidR="00DA0654" w:rsidRPr="00C60AD1" w:rsidRDefault="00DA0654" w:rsidP="00C60AD1">
            <w:pPr>
              <w:spacing w:before="0" w:line="240" w:lineRule="auto"/>
              <w:jc w:val="center"/>
              <w:rPr>
                <w:rFonts w:asciiTheme="minorHAnsi" w:hAnsiTheme="minorHAnsi"/>
                <w:b/>
                <w:bCs/>
                <w:sz w:val="22"/>
                <w:szCs w:val="22"/>
                <w:lang w:val="en-IN" w:eastAsia="en-IN"/>
              </w:rPr>
            </w:pPr>
            <w:r w:rsidRPr="00C60AD1">
              <w:rPr>
                <w:rFonts w:asciiTheme="minorHAnsi" w:hAnsiTheme="minorHAnsi"/>
                <w:b/>
                <w:bCs/>
                <w:sz w:val="22"/>
                <w:szCs w:val="22"/>
                <w:lang w:val="en-IN" w:eastAsia="en-IN"/>
              </w:rPr>
              <w:t>Tariff Order</w:t>
            </w:r>
          </w:p>
        </w:tc>
        <w:tc>
          <w:tcPr>
            <w:tcW w:w="1494" w:type="dxa"/>
            <w:shd w:val="clear" w:color="000000" w:fill="DBE5F1"/>
            <w:hideMark/>
          </w:tcPr>
          <w:p w:rsidR="00DA0654" w:rsidRPr="00C60AD1" w:rsidRDefault="00DA0654"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Petition</w:t>
            </w:r>
          </w:p>
        </w:tc>
        <w:tc>
          <w:tcPr>
            <w:tcW w:w="1970" w:type="dxa"/>
            <w:shd w:val="clear" w:color="000000" w:fill="DBE5F1"/>
            <w:hideMark/>
          </w:tcPr>
          <w:p w:rsidR="00DA0654" w:rsidRPr="00C60AD1" w:rsidRDefault="00180245" w:rsidP="00C60AD1">
            <w:pPr>
              <w:spacing w:before="0" w:line="240" w:lineRule="auto"/>
              <w:jc w:val="center"/>
              <w:rPr>
                <w:rFonts w:asciiTheme="minorHAnsi" w:hAnsiTheme="minorHAnsi"/>
                <w:b/>
                <w:bCs/>
                <w:color w:val="000000"/>
                <w:sz w:val="22"/>
                <w:szCs w:val="22"/>
                <w:lang w:val="en-IN" w:eastAsia="en-IN"/>
              </w:rPr>
            </w:pPr>
            <w:r w:rsidRPr="00C60AD1">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C60AD1">
              <w:rPr>
                <w:rFonts w:asciiTheme="minorHAnsi" w:hAnsiTheme="minorHAnsi"/>
                <w:b/>
                <w:sz w:val="22"/>
                <w:szCs w:val="22"/>
                <w:lang w:val="en-IN" w:eastAsia="en-IN"/>
              </w:rPr>
              <w:t>p</w:t>
            </w:r>
          </w:p>
        </w:tc>
      </w:tr>
      <w:tr w:rsidR="005A3471" w:rsidRPr="00C60AD1"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Opening Loan</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29.99</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   </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   </w:t>
            </w:r>
          </w:p>
        </w:tc>
      </w:tr>
      <w:tr w:rsidR="005A3471" w:rsidRPr="00C60AD1"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Loan Additions (70% of Investments)</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25.83</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0.66 </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0.66 </w:t>
            </w:r>
          </w:p>
        </w:tc>
      </w:tr>
      <w:tr w:rsidR="005A3471" w:rsidRPr="00C60AD1"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Repayments (Depreciation allowable for the year)</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32.55</w:t>
            </w:r>
          </w:p>
        </w:tc>
        <w:tc>
          <w:tcPr>
            <w:tcW w:w="1494" w:type="dxa"/>
            <w:shd w:val="clear" w:color="auto" w:fill="auto"/>
            <w:vAlign w:val="center"/>
            <w:hideMark/>
          </w:tcPr>
          <w:p w:rsidR="005A3471" w:rsidRPr="005A3471" w:rsidRDefault="00CE2DD9" w:rsidP="005A3471">
            <w:pPr>
              <w:spacing w:before="0" w:line="240" w:lineRule="auto"/>
              <w:jc w:val="right"/>
              <w:rPr>
                <w:rFonts w:asciiTheme="minorHAnsi" w:hAnsiTheme="minorHAnsi"/>
                <w:color w:val="000000"/>
                <w:sz w:val="22"/>
                <w:szCs w:val="22"/>
                <w:lang w:val="en-IN" w:eastAsia="en-IN"/>
              </w:rPr>
            </w:pPr>
            <w:r>
              <w:rPr>
                <w:rFonts w:asciiTheme="minorHAnsi" w:hAnsiTheme="minorHAnsi" w:cs="Arial"/>
                <w:color w:val="000000"/>
                <w:sz w:val="22"/>
                <w:szCs w:val="22"/>
              </w:rPr>
              <w:t>36.80</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0.66 </w:t>
            </w:r>
          </w:p>
        </w:tc>
      </w:tr>
      <w:tr w:rsidR="00CE2DD9" w:rsidRPr="00C60AD1" w:rsidTr="00CE2DD9">
        <w:trPr>
          <w:trHeight w:val="299"/>
        </w:trPr>
        <w:tc>
          <w:tcPr>
            <w:tcW w:w="3415" w:type="dxa"/>
            <w:shd w:val="clear" w:color="auto" w:fill="auto"/>
            <w:hideMark/>
          </w:tcPr>
          <w:p w:rsidR="00CE2DD9" w:rsidRDefault="00CE2DD9">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lastRenderedPageBreak/>
              <w:t>Closing Loan Balance</w:t>
            </w:r>
          </w:p>
        </w:tc>
        <w:tc>
          <w:tcPr>
            <w:tcW w:w="2287" w:type="dxa"/>
            <w:shd w:val="clear" w:color="auto" w:fill="auto"/>
            <w:noWrap/>
            <w:vAlign w:val="center"/>
            <w:hideMark/>
          </w:tcPr>
          <w:p w:rsidR="00CE2DD9" w:rsidRPr="005A3471" w:rsidRDefault="00023318" w:rsidP="005A3471">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23.27</w:t>
            </w:r>
          </w:p>
        </w:tc>
        <w:tc>
          <w:tcPr>
            <w:tcW w:w="1494" w:type="dxa"/>
            <w:shd w:val="clear" w:color="auto" w:fill="auto"/>
            <w:vAlign w:val="center"/>
            <w:hideMark/>
          </w:tcPr>
          <w:p w:rsidR="00CE2DD9" w:rsidRPr="005A3471" w:rsidRDefault="00CE2DD9" w:rsidP="005A3471">
            <w:pPr>
              <w:spacing w:before="0" w:line="240" w:lineRule="auto"/>
              <w:jc w:val="right"/>
              <w:rPr>
                <w:rFonts w:asciiTheme="minorHAnsi" w:hAnsiTheme="minorHAnsi"/>
                <w:color w:val="000000"/>
                <w:sz w:val="22"/>
                <w:szCs w:val="22"/>
                <w:lang w:val="en-IN" w:eastAsia="en-IN"/>
              </w:rPr>
            </w:pPr>
            <w:r w:rsidRPr="006901E8">
              <w:rPr>
                <w:rFonts w:asciiTheme="minorHAnsi" w:hAnsiTheme="minorHAnsi" w:cs="Arial"/>
                <w:b/>
                <w:bCs/>
                <w:color w:val="000000"/>
                <w:sz w:val="22"/>
                <w:szCs w:val="22"/>
              </w:rPr>
              <w:t xml:space="preserve">               -   </w:t>
            </w:r>
          </w:p>
        </w:tc>
        <w:tc>
          <w:tcPr>
            <w:tcW w:w="1970" w:type="dxa"/>
            <w:shd w:val="clear" w:color="auto" w:fill="auto"/>
            <w:vAlign w:val="center"/>
            <w:hideMark/>
          </w:tcPr>
          <w:p w:rsidR="00CE2DD9"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   </w:t>
            </w:r>
          </w:p>
        </w:tc>
      </w:tr>
      <w:tr w:rsidR="00CE2DD9" w:rsidRPr="00C60AD1" w:rsidTr="00CE2DD9">
        <w:trPr>
          <w:trHeight w:val="299"/>
        </w:trPr>
        <w:tc>
          <w:tcPr>
            <w:tcW w:w="3415" w:type="dxa"/>
            <w:shd w:val="clear" w:color="auto" w:fill="auto"/>
            <w:hideMark/>
          </w:tcPr>
          <w:p w:rsidR="00CE2DD9" w:rsidRDefault="00CE2DD9">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Weighted Average Rate of Interest</w:t>
            </w:r>
          </w:p>
        </w:tc>
        <w:tc>
          <w:tcPr>
            <w:tcW w:w="2287" w:type="dxa"/>
            <w:shd w:val="clear" w:color="auto" w:fill="auto"/>
            <w:noWrap/>
            <w:vAlign w:val="center"/>
            <w:hideMark/>
          </w:tcPr>
          <w:p w:rsidR="00CE2DD9" w:rsidRPr="005A3471" w:rsidRDefault="00023318" w:rsidP="005A3471">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13.52%</w:t>
            </w:r>
          </w:p>
        </w:tc>
        <w:tc>
          <w:tcPr>
            <w:tcW w:w="1494" w:type="dxa"/>
            <w:shd w:val="clear" w:color="auto" w:fill="auto"/>
            <w:vAlign w:val="center"/>
            <w:hideMark/>
          </w:tcPr>
          <w:p w:rsidR="00CE2DD9" w:rsidRPr="005A3471" w:rsidRDefault="00CE2DD9" w:rsidP="00CE2DD9">
            <w:pPr>
              <w:spacing w:before="0" w:line="240" w:lineRule="auto"/>
              <w:jc w:val="right"/>
              <w:rPr>
                <w:rFonts w:asciiTheme="minorHAnsi" w:hAnsiTheme="minorHAnsi"/>
                <w:color w:val="000000"/>
                <w:sz w:val="22"/>
                <w:szCs w:val="22"/>
                <w:lang w:val="en-IN" w:eastAsia="en-IN"/>
              </w:rPr>
            </w:pPr>
            <w:r>
              <w:rPr>
                <w:rFonts w:asciiTheme="minorHAnsi" w:hAnsiTheme="minorHAnsi" w:cs="Arial"/>
                <w:color w:val="000000"/>
                <w:sz w:val="22"/>
                <w:szCs w:val="22"/>
              </w:rPr>
              <w:t>12.90</w:t>
            </w:r>
            <w:r w:rsidR="00023318" w:rsidRPr="00023318">
              <w:rPr>
                <w:rFonts w:asciiTheme="minorHAnsi" w:hAnsiTheme="minorHAnsi" w:cs="Arial"/>
                <w:color w:val="000000"/>
                <w:sz w:val="22"/>
                <w:szCs w:val="22"/>
              </w:rPr>
              <w:t>%</w:t>
            </w:r>
          </w:p>
        </w:tc>
        <w:tc>
          <w:tcPr>
            <w:tcW w:w="1970" w:type="dxa"/>
            <w:shd w:val="clear" w:color="auto" w:fill="auto"/>
            <w:vAlign w:val="center"/>
            <w:hideMark/>
          </w:tcPr>
          <w:p w:rsidR="00CE2DD9" w:rsidRPr="005A3471" w:rsidRDefault="00CE2DD9" w:rsidP="005A3471">
            <w:pPr>
              <w:spacing w:before="0" w:line="240" w:lineRule="auto"/>
              <w:jc w:val="right"/>
              <w:rPr>
                <w:rFonts w:asciiTheme="minorHAnsi" w:hAnsiTheme="minorHAnsi"/>
                <w:color w:val="000000"/>
                <w:sz w:val="22"/>
                <w:szCs w:val="22"/>
                <w:lang w:val="en-IN" w:eastAsia="en-IN"/>
              </w:rPr>
            </w:pPr>
            <w:r w:rsidRPr="006901E8">
              <w:rPr>
                <w:rFonts w:asciiTheme="minorHAnsi" w:hAnsiTheme="minorHAnsi" w:cs="Arial"/>
                <w:color w:val="000000"/>
                <w:sz w:val="22"/>
                <w:szCs w:val="22"/>
              </w:rPr>
              <w:t xml:space="preserve">                -   </w:t>
            </w:r>
          </w:p>
        </w:tc>
      </w:tr>
      <w:tr w:rsidR="005A3471" w:rsidRPr="00C60AD1" w:rsidTr="00CE2DD9">
        <w:trPr>
          <w:trHeight w:val="299"/>
        </w:trPr>
        <w:tc>
          <w:tcPr>
            <w:tcW w:w="3415" w:type="dxa"/>
            <w:shd w:val="clear" w:color="auto" w:fill="auto"/>
            <w:hideMark/>
          </w:tcPr>
          <w:p w:rsidR="005A3471" w:rsidRDefault="005A347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Interest on long term loan</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color w:val="000000"/>
                <w:sz w:val="22"/>
                <w:szCs w:val="22"/>
              </w:rPr>
              <w:t>3.60</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 xml:space="preserve">               -   </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 xml:space="preserve">                -   </w:t>
            </w:r>
          </w:p>
        </w:tc>
      </w:tr>
      <w:tr w:rsidR="005A3471" w:rsidRPr="00C60AD1"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Less: Interest Capitalized</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0.83</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   </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 xml:space="preserve">                -   </w:t>
            </w:r>
          </w:p>
        </w:tc>
      </w:tr>
      <w:tr w:rsidR="005A3471" w:rsidRPr="00E52427"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b/>
                <w:bCs/>
                <w:color w:val="000000"/>
                <w:sz w:val="22"/>
                <w:szCs w:val="22"/>
                <w:lang w:val="en-IN" w:eastAsia="en-IN"/>
              </w:rPr>
            </w:pPr>
            <w:r w:rsidRPr="00C60AD1">
              <w:rPr>
                <w:rFonts w:asciiTheme="minorHAnsi" w:hAnsiTheme="minorHAnsi"/>
                <w:b/>
                <w:bCs/>
                <w:color w:val="000000"/>
                <w:sz w:val="22"/>
                <w:szCs w:val="22"/>
                <w:lang w:val="en-IN" w:eastAsia="en-IN"/>
              </w:rPr>
              <w:t>Net Interest Charged</w:t>
            </w:r>
          </w:p>
        </w:tc>
        <w:tc>
          <w:tcPr>
            <w:tcW w:w="2287" w:type="dxa"/>
            <w:shd w:val="clear" w:color="auto" w:fill="auto"/>
            <w:noWrap/>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2.77</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 xml:space="preserve">               -   </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 xml:space="preserve">                -   </w:t>
            </w:r>
          </w:p>
        </w:tc>
      </w:tr>
      <w:tr w:rsidR="005A3471" w:rsidRPr="00C60AD1" w:rsidTr="00CE2DD9">
        <w:trPr>
          <w:trHeight w:val="299"/>
        </w:trPr>
        <w:tc>
          <w:tcPr>
            <w:tcW w:w="3415" w:type="dxa"/>
            <w:shd w:val="clear" w:color="auto" w:fill="auto"/>
            <w:hideMark/>
          </w:tcPr>
          <w:p w:rsidR="005A3471" w:rsidRPr="00C60AD1" w:rsidRDefault="005A3471" w:rsidP="00C60AD1">
            <w:pPr>
              <w:spacing w:before="0" w:line="240" w:lineRule="auto"/>
              <w:jc w:val="left"/>
              <w:rPr>
                <w:rFonts w:asciiTheme="minorHAnsi" w:hAnsiTheme="minorHAnsi"/>
                <w:color w:val="000000"/>
                <w:sz w:val="22"/>
                <w:szCs w:val="22"/>
                <w:lang w:val="en-IN" w:eastAsia="en-IN"/>
              </w:rPr>
            </w:pPr>
            <w:r w:rsidRPr="00C60AD1">
              <w:rPr>
                <w:rFonts w:asciiTheme="minorHAnsi" w:hAnsiTheme="minorHAnsi"/>
                <w:color w:val="000000"/>
                <w:sz w:val="22"/>
                <w:szCs w:val="22"/>
                <w:lang w:val="en-IN" w:eastAsia="en-IN"/>
              </w:rPr>
              <w:t>Interest Capitalisation Rate</w:t>
            </w:r>
          </w:p>
        </w:tc>
        <w:tc>
          <w:tcPr>
            <w:tcW w:w="2287" w:type="dxa"/>
            <w:shd w:val="clear" w:color="auto" w:fill="auto"/>
            <w:noWrap/>
            <w:vAlign w:val="center"/>
            <w:hideMark/>
          </w:tcPr>
          <w:p w:rsidR="00023318" w:rsidRDefault="00023318" w:rsidP="00023318">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23.00%</w:t>
            </w:r>
          </w:p>
        </w:tc>
        <w:tc>
          <w:tcPr>
            <w:tcW w:w="1494"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w:t>
            </w:r>
          </w:p>
        </w:tc>
        <w:tc>
          <w:tcPr>
            <w:tcW w:w="1970" w:type="dxa"/>
            <w:shd w:val="clear" w:color="auto" w:fill="auto"/>
            <w:vAlign w:val="center"/>
            <w:hideMark/>
          </w:tcPr>
          <w:p w:rsidR="005A3471" w:rsidRPr="005A3471" w:rsidRDefault="00023318" w:rsidP="005A3471">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w:t>
            </w:r>
          </w:p>
        </w:tc>
      </w:tr>
    </w:tbl>
    <w:p w:rsidR="009040B6" w:rsidRDefault="009040B6" w:rsidP="009040B6">
      <w:pPr>
        <w:spacing w:before="0"/>
        <w:rPr>
          <w:b/>
          <w:lang w:val="en-US"/>
        </w:rPr>
      </w:pPr>
    </w:p>
    <w:p w:rsidR="003147B8" w:rsidRPr="00C60AD1" w:rsidRDefault="003147B8" w:rsidP="00C60AD1">
      <w:pPr>
        <w:rPr>
          <w:b/>
        </w:rPr>
      </w:pPr>
      <w:r w:rsidRPr="00C60AD1">
        <w:rPr>
          <w:b/>
          <w:lang w:val="en-US"/>
        </w:rPr>
        <w:t>Finance Charges</w:t>
      </w:r>
    </w:p>
    <w:p w:rsidR="003147B8" w:rsidRPr="00C60AD1" w:rsidRDefault="003147B8" w:rsidP="00C60AD1">
      <w:pPr>
        <w:pStyle w:val="Heading3"/>
        <w:tabs>
          <w:tab w:val="clear" w:pos="720"/>
        </w:tabs>
        <w:spacing w:after="240"/>
        <w:ind w:left="993" w:hanging="993"/>
      </w:pPr>
      <w:r w:rsidRPr="00C60AD1">
        <w:t xml:space="preserve">The Petitioner </w:t>
      </w:r>
      <w:r w:rsidR="00023318" w:rsidRPr="00023318">
        <w:t xml:space="preserve">has claimed Rs. </w:t>
      </w:r>
      <w:r w:rsidR="00A81BF3">
        <w:t>8.10</w:t>
      </w:r>
      <w:r w:rsidR="00023318" w:rsidRPr="00023318">
        <w:t xml:space="preserve"> Crore against Rs. </w:t>
      </w:r>
      <w:r w:rsidR="00A81BF3">
        <w:t>7.99</w:t>
      </w:r>
      <w:r w:rsidR="00023318" w:rsidRPr="00023318">
        <w:t xml:space="preserve"> Crore approved by the Commission towards total finance charges during FY</w:t>
      </w:r>
      <w:r w:rsidRPr="00C60AD1">
        <w:t xml:space="preserve"> 20</w:t>
      </w:r>
      <w:r w:rsidR="00421273" w:rsidRPr="00C60AD1">
        <w:t>1</w:t>
      </w:r>
      <w:r w:rsidR="00480663">
        <w:t>3</w:t>
      </w:r>
      <w:r w:rsidR="00421273" w:rsidRPr="00C60AD1">
        <w:t>-1</w:t>
      </w:r>
      <w:r w:rsidR="00480663">
        <w:t>4</w:t>
      </w:r>
      <w:r w:rsidRPr="00C60AD1">
        <w:t>.</w:t>
      </w:r>
    </w:p>
    <w:p w:rsidR="003147B8" w:rsidRPr="00C60AD1" w:rsidRDefault="003147B8" w:rsidP="00C60AD1">
      <w:pPr>
        <w:pStyle w:val="Heading3"/>
        <w:tabs>
          <w:tab w:val="clear" w:pos="720"/>
        </w:tabs>
        <w:spacing w:after="240"/>
        <w:ind w:left="993" w:hanging="993"/>
      </w:pPr>
      <w:r w:rsidRPr="00C60AD1">
        <w:t xml:space="preserve">The bank charges and interest on consumer security deposits and finance charges have been allowed at actual based on audited accounts. </w:t>
      </w:r>
    </w:p>
    <w:p w:rsidR="003147B8" w:rsidRPr="00C60AD1" w:rsidRDefault="003147B8" w:rsidP="00C60AD1">
      <w:pPr>
        <w:pStyle w:val="Heading3"/>
        <w:tabs>
          <w:tab w:val="clear" w:pos="720"/>
        </w:tabs>
        <w:spacing w:after="240"/>
        <w:ind w:left="993" w:hanging="993"/>
      </w:pPr>
      <w:r w:rsidRPr="00C60AD1">
        <w:t xml:space="preserve">Thus, the Commission has approved finance charges amounting to Rs. </w:t>
      </w:r>
      <w:r w:rsidR="00A81BF3">
        <w:t>8.10</w:t>
      </w:r>
      <w:r w:rsidR="00E56F1D">
        <w:t xml:space="preserve"> </w:t>
      </w:r>
      <w:r w:rsidRPr="00C60AD1">
        <w:t>Crore as claimed by the Petitioner for FY 20</w:t>
      </w:r>
      <w:r w:rsidR="00421273" w:rsidRPr="00C60AD1">
        <w:t>1</w:t>
      </w:r>
      <w:r w:rsidR="00480663">
        <w:t>3</w:t>
      </w:r>
      <w:r w:rsidR="00421273" w:rsidRPr="00C60AD1">
        <w:t>-1</w:t>
      </w:r>
      <w:r w:rsidR="00480663">
        <w:t>4</w:t>
      </w:r>
      <w:r w:rsidRPr="00C60AD1">
        <w:t>.</w:t>
      </w:r>
    </w:p>
    <w:p w:rsidR="003147B8" w:rsidRPr="00C60AD1" w:rsidRDefault="008B56DE" w:rsidP="00C60AD1">
      <w:pPr>
        <w:spacing w:before="0"/>
        <w:jc w:val="center"/>
        <w:rPr>
          <w:rFonts w:cs="Calibri"/>
          <w:b/>
          <w:sz w:val="22"/>
          <w:szCs w:val="22"/>
          <w:lang w:val="en-US"/>
        </w:rPr>
      </w:pPr>
      <w:bookmarkStart w:id="279" w:name="_Toc394490643"/>
      <w:bookmarkStart w:id="280" w:name="_Toc457355616"/>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15</w:t>
      </w:r>
      <w:r w:rsidR="004A2D9E" w:rsidRPr="00C60AD1">
        <w:rPr>
          <w:rFonts w:cs="Calibri"/>
          <w:b/>
          <w:sz w:val="22"/>
          <w:szCs w:val="22"/>
          <w:lang w:val="en-US"/>
        </w:rPr>
        <w:fldChar w:fldCharType="end"/>
      </w:r>
      <w:r>
        <w:rPr>
          <w:rFonts w:cs="Calibri"/>
          <w:b/>
          <w:sz w:val="22"/>
          <w:szCs w:val="22"/>
          <w:lang w:val="en-US"/>
        </w:rPr>
        <w:t>: A</w:t>
      </w:r>
      <w:r w:rsidR="007320D7" w:rsidRPr="00C60AD1">
        <w:rPr>
          <w:rFonts w:cs="Calibri"/>
          <w:b/>
          <w:sz w:val="22"/>
          <w:szCs w:val="22"/>
          <w:lang w:val="en-US"/>
        </w:rPr>
        <w:t>LLOWABLE FINANCE CHARGES FOR FY 20</w:t>
      </w:r>
      <w:r w:rsidR="0022393E" w:rsidRPr="00C60AD1">
        <w:rPr>
          <w:rFonts w:cs="Calibri"/>
          <w:b/>
          <w:sz w:val="22"/>
          <w:szCs w:val="22"/>
          <w:lang w:val="en-US"/>
        </w:rPr>
        <w:t>1</w:t>
      </w:r>
      <w:r w:rsidR="007D7B34">
        <w:rPr>
          <w:rFonts w:cs="Calibri"/>
          <w:b/>
          <w:sz w:val="22"/>
          <w:szCs w:val="22"/>
          <w:lang w:val="en-US"/>
        </w:rPr>
        <w:t>3</w:t>
      </w:r>
      <w:r w:rsidR="0022393E" w:rsidRPr="00C60AD1">
        <w:rPr>
          <w:rFonts w:cs="Calibri"/>
          <w:b/>
          <w:sz w:val="22"/>
          <w:szCs w:val="22"/>
          <w:lang w:val="en-US"/>
        </w:rPr>
        <w:t>-1</w:t>
      </w:r>
      <w:r w:rsidR="007D7B34">
        <w:rPr>
          <w:rFonts w:cs="Calibri"/>
          <w:b/>
          <w:sz w:val="22"/>
          <w:szCs w:val="22"/>
          <w:lang w:val="en-US"/>
        </w:rPr>
        <w:t>4</w:t>
      </w:r>
      <w:r w:rsidR="008A1A72" w:rsidRPr="00C60AD1">
        <w:rPr>
          <w:rFonts w:cs="Calibri"/>
          <w:b/>
          <w:sz w:val="22"/>
          <w:szCs w:val="22"/>
          <w:lang w:val="en-US"/>
        </w:rPr>
        <w:t xml:space="preserve"> (Rs. Crore)</w:t>
      </w:r>
      <w:bookmarkEnd w:id="279"/>
      <w:bookmarkEnd w:id="280"/>
    </w:p>
    <w:tbl>
      <w:tblPr>
        <w:tblW w:w="6848" w:type="dxa"/>
        <w:jc w:val="center"/>
        <w:tblInd w:w="1599" w:type="dxa"/>
        <w:tblLook w:val="04A0"/>
      </w:tblPr>
      <w:tblGrid>
        <w:gridCol w:w="2640"/>
        <w:gridCol w:w="960"/>
        <w:gridCol w:w="960"/>
        <w:gridCol w:w="1108"/>
        <w:gridCol w:w="1180"/>
      </w:tblGrid>
      <w:tr w:rsidR="001A4952" w:rsidRPr="00A82B9C" w:rsidTr="00A81BF3">
        <w:trPr>
          <w:trHeight w:val="600"/>
          <w:jc w:val="center"/>
        </w:trPr>
        <w:tc>
          <w:tcPr>
            <w:tcW w:w="2640" w:type="dxa"/>
            <w:tcBorders>
              <w:top w:val="dotted" w:sz="4" w:space="0" w:color="auto"/>
              <w:left w:val="dotted" w:sz="4" w:space="0" w:color="auto"/>
              <w:bottom w:val="dotted" w:sz="4" w:space="0" w:color="auto"/>
              <w:right w:val="dotted" w:sz="4" w:space="0" w:color="auto"/>
            </w:tcBorders>
            <w:shd w:val="clear" w:color="000000" w:fill="DBE5F1"/>
            <w:hideMark/>
          </w:tcPr>
          <w:p w:rsidR="001A4952"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Particulars</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Tariff Order</w:t>
            </w:r>
          </w:p>
        </w:tc>
        <w:tc>
          <w:tcPr>
            <w:tcW w:w="96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Audited</w:t>
            </w:r>
          </w:p>
        </w:tc>
        <w:tc>
          <w:tcPr>
            <w:tcW w:w="1108"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Petition</w:t>
            </w:r>
          </w:p>
        </w:tc>
        <w:tc>
          <w:tcPr>
            <w:tcW w:w="1180" w:type="dxa"/>
            <w:tcBorders>
              <w:top w:val="dotted" w:sz="4" w:space="0" w:color="auto"/>
              <w:left w:val="nil"/>
              <w:bottom w:val="dotted" w:sz="4" w:space="0" w:color="auto"/>
              <w:right w:val="dotted" w:sz="4" w:space="0" w:color="auto"/>
            </w:tcBorders>
            <w:shd w:val="clear" w:color="000000" w:fill="DBE5F1"/>
            <w:hideMark/>
          </w:tcPr>
          <w:p w:rsidR="00B94C76" w:rsidRPr="00A82B9C" w:rsidRDefault="00027D0D" w:rsidP="009D7EE0">
            <w:pPr>
              <w:spacing w:before="0" w:line="240" w:lineRule="auto"/>
              <w:jc w:val="center"/>
              <w:rPr>
                <w:rFonts w:asciiTheme="minorHAnsi" w:hAnsiTheme="minorHAnsi"/>
                <w:b/>
                <w:sz w:val="22"/>
                <w:lang w:val="en-IN" w:eastAsia="en-IN"/>
              </w:rPr>
            </w:pPr>
            <w:r w:rsidRPr="00027D0D">
              <w:rPr>
                <w:rFonts w:asciiTheme="minorHAnsi" w:hAnsiTheme="minorHAnsi"/>
                <w:b/>
                <w:sz w:val="22"/>
                <w:lang w:val="en-IN" w:eastAsia="en-IN"/>
              </w:rPr>
              <w:t>Approved upon Truing Up</w:t>
            </w:r>
          </w:p>
        </w:tc>
      </w:tr>
      <w:tr w:rsidR="00A81BF3" w:rsidRPr="00A82B9C" w:rsidTr="00A81BF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A81BF3" w:rsidRDefault="00A81BF3">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Interest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sz w:val="22"/>
                <w:lang w:val="en-IN" w:eastAsia="en-IN"/>
              </w:rPr>
            </w:pPr>
            <w:r>
              <w:rPr>
                <w:rFonts w:asciiTheme="minorHAnsi" w:hAnsiTheme="minorHAnsi"/>
                <w:color w:val="000000"/>
                <w:sz w:val="22"/>
                <w:szCs w:val="22"/>
              </w:rPr>
              <w:t>7.08</w:t>
            </w:r>
          </w:p>
        </w:tc>
        <w:tc>
          <w:tcPr>
            <w:tcW w:w="96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sz w:val="22"/>
                <w:lang w:val="en-IN" w:eastAsia="en-IN"/>
              </w:rPr>
            </w:pPr>
            <w:r>
              <w:rPr>
                <w:rFonts w:asciiTheme="minorHAnsi" w:hAnsiTheme="minorHAnsi"/>
                <w:color w:val="000000"/>
                <w:sz w:val="22"/>
                <w:szCs w:val="22"/>
              </w:rPr>
              <w:t>8.10</w:t>
            </w:r>
          </w:p>
        </w:tc>
        <w:tc>
          <w:tcPr>
            <w:tcW w:w="1108"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sz w:val="22"/>
                <w:lang w:val="en-IN" w:eastAsia="en-IN"/>
              </w:rPr>
            </w:pPr>
            <w:r>
              <w:rPr>
                <w:rFonts w:asciiTheme="minorHAnsi" w:hAnsiTheme="minorHAnsi"/>
                <w:color w:val="000000"/>
                <w:sz w:val="22"/>
                <w:szCs w:val="22"/>
              </w:rPr>
              <w:t>8.10</w:t>
            </w:r>
          </w:p>
        </w:tc>
        <w:tc>
          <w:tcPr>
            <w:tcW w:w="118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sz w:val="22"/>
                <w:lang w:val="en-IN" w:eastAsia="en-IN"/>
              </w:rPr>
            </w:pPr>
            <w:r>
              <w:rPr>
                <w:rFonts w:asciiTheme="minorHAnsi" w:hAnsiTheme="minorHAnsi"/>
                <w:color w:val="000000"/>
                <w:sz w:val="22"/>
                <w:szCs w:val="22"/>
              </w:rPr>
              <w:t>8.10</w:t>
            </w:r>
          </w:p>
        </w:tc>
      </w:tr>
      <w:tr w:rsidR="00EF2AEC" w:rsidRPr="00A82B9C" w:rsidTr="00A81BF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F2AEC" w:rsidRDefault="00EF2AEC">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Bank Charges</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lang w:val="en-IN" w:eastAsia="en-IN"/>
              </w:rPr>
            </w:pPr>
            <w:r>
              <w:rPr>
                <w:rFonts w:asciiTheme="minorHAnsi" w:hAnsiTheme="minorHAnsi"/>
                <w:color w:val="000000"/>
                <w:sz w:val="22"/>
                <w:szCs w:val="22"/>
              </w:rPr>
              <w:t>0.01</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lang w:val="en-IN" w:eastAsia="en-IN"/>
              </w:rPr>
            </w:pPr>
            <w:r>
              <w:rPr>
                <w:rFonts w:asciiTheme="minorHAnsi" w:hAnsiTheme="minorHAnsi"/>
                <w:color w:val="000000"/>
                <w:sz w:val="22"/>
                <w:szCs w:val="22"/>
              </w:rPr>
              <w:t>0.00</w:t>
            </w:r>
          </w:p>
        </w:tc>
        <w:tc>
          <w:tcPr>
            <w:tcW w:w="1108"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lang w:val="en-IN" w:eastAsia="en-IN"/>
              </w:rPr>
            </w:pPr>
            <w:r>
              <w:rPr>
                <w:rFonts w:asciiTheme="minorHAnsi" w:hAnsiTheme="minorHAnsi"/>
                <w:color w:val="000000"/>
                <w:sz w:val="22"/>
                <w:szCs w:val="22"/>
              </w:rPr>
              <w:t>0.00</w:t>
            </w:r>
          </w:p>
        </w:tc>
        <w:tc>
          <w:tcPr>
            <w:tcW w:w="118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lang w:val="en-IN" w:eastAsia="en-IN"/>
              </w:rPr>
            </w:pPr>
            <w:r>
              <w:rPr>
                <w:rFonts w:asciiTheme="minorHAnsi" w:hAnsiTheme="minorHAnsi"/>
                <w:color w:val="000000"/>
                <w:sz w:val="22"/>
                <w:szCs w:val="22"/>
              </w:rPr>
              <w:t>0.00</w:t>
            </w:r>
          </w:p>
        </w:tc>
      </w:tr>
      <w:tr w:rsidR="00EF2AEC" w:rsidRPr="00A82B9C" w:rsidTr="00A81BF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F2AEC" w:rsidRDefault="00EF2AEC">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Discount to Consumers</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0.90</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c>
          <w:tcPr>
            <w:tcW w:w="1108"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c>
          <w:tcPr>
            <w:tcW w:w="118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r>
      <w:tr w:rsidR="00EF2AEC" w:rsidRPr="00A82B9C" w:rsidTr="00A81BF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EF2AEC" w:rsidRDefault="00EF2AEC">
            <w:pPr>
              <w:spacing w:before="0" w:line="240" w:lineRule="auto"/>
              <w:rPr>
                <w:rFonts w:asciiTheme="minorHAnsi" w:hAnsiTheme="minorHAnsi"/>
                <w:sz w:val="22"/>
                <w:lang w:val="en-IN" w:eastAsia="en-IN"/>
              </w:rPr>
            </w:pPr>
            <w:r w:rsidRPr="00027D0D">
              <w:rPr>
                <w:rFonts w:asciiTheme="minorHAnsi" w:hAnsiTheme="minorHAnsi"/>
                <w:sz w:val="22"/>
                <w:lang w:val="en-IN" w:eastAsia="en-IN"/>
              </w:rPr>
              <w:t>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c>
          <w:tcPr>
            <w:tcW w:w="96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c>
          <w:tcPr>
            <w:tcW w:w="1108"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c>
          <w:tcPr>
            <w:tcW w:w="1180" w:type="dxa"/>
            <w:tcBorders>
              <w:top w:val="nil"/>
              <w:left w:val="nil"/>
              <w:bottom w:val="dotted" w:sz="4" w:space="0" w:color="auto"/>
              <w:right w:val="dotted" w:sz="4" w:space="0" w:color="auto"/>
            </w:tcBorders>
            <w:shd w:val="clear" w:color="auto" w:fill="auto"/>
            <w:noWrap/>
            <w:vAlign w:val="center"/>
            <w:hideMark/>
          </w:tcPr>
          <w:p w:rsidR="00EF2AEC" w:rsidRDefault="00EF2AEC">
            <w:pPr>
              <w:spacing w:before="0" w:line="240" w:lineRule="auto"/>
              <w:jc w:val="right"/>
              <w:rPr>
                <w:rFonts w:asciiTheme="minorHAnsi" w:hAnsiTheme="minorHAnsi"/>
                <w:sz w:val="22"/>
              </w:rPr>
            </w:pPr>
            <w:r>
              <w:rPr>
                <w:rFonts w:asciiTheme="minorHAnsi" w:hAnsiTheme="minorHAnsi"/>
                <w:color w:val="000000"/>
                <w:sz w:val="22"/>
                <w:szCs w:val="22"/>
              </w:rPr>
              <w:t>0.00</w:t>
            </w:r>
          </w:p>
        </w:tc>
      </w:tr>
      <w:tr w:rsidR="00A81BF3" w:rsidRPr="00A82B9C" w:rsidTr="00A81BF3">
        <w:trPr>
          <w:trHeight w:val="300"/>
          <w:jc w:val="center"/>
        </w:trPr>
        <w:tc>
          <w:tcPr>
            <w:tcW w:w="2640" w:type="dxa"/>
            <w:tcBorders>
              <w:top w:val="nil"/>
              <w:left w:val="dotted" w:sz="4" w:space="0" w:color="auto"/>
              <w:bottom w:val="dotted" w:sz="4" w:space="0" w:color="auto"/>
              <w:right w:val="dotted" w:sz="4" w:space="0" w:color="auto"/>
            </w:tcBorders>
            <w:shd w:val="clear" w:color="auto" w:fill="auto"/>
            <w:noWrap/>
            <w:vAlign w:val="center"/>
            <w:hideMark/>
          </w:tcPr>
          <w:p w:rsidR="00A81BF3" w:rsidRDefault="00A81BF3">
            <w:pPr>
              <w:spacing w:before="0" w:line="240" w:lineRule="auto"/>
              <w:rPr>
                <w:rFonts w:asciiTheme="minorHAnsi" w:hAnsiTheme="minorHAnsi"/>
                <w:sz w:val="22"/>
                <w:szCs w:val="18"/>
                <w:lang w:val="en-IN" w:eastAsia="en-IN"/>
              </w:rPr>
            </w:pPr>
            <w:r w:rsidRPr="00027D0D">
              <w:rPr>
                <w:rFonts w:asciiTheme="minorHAnsi" w:hAnsiTheme="minorHAnsi"/>
                <w:sz w:val="22"/>
                <w:lang w:val="en-IN" w:eastAsia="en-IN"/>
              </w:rPr>
              <w:t>Total Finance Charges</w:t>
            </w:r>
          </w:p>
        </w:tc>
        <w:tc>
          <w:tcPr>
            <w:tcW w:w="96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b/>
                <w:sz w:val="22"/>
                <w:lang w:val="en-IN" w:eastAsia="en-IN"/>
              </w:rPr>
            </w:pPr>
            <w:r>
              <w:rPr>
                <w:rFonts w:asciiTheme="minorHAnsi" w:hAnsiTheme="minorHAnsi"/>
                <w:color w:val="000000"/>
                <w:sz w:val="22"/>
                <w:szCs w:val="22"/>
              </w:rPr>
              <w:t>7.99</w:t>
            </w:r>
          </w:p>
        </w:tc>
        <w:tc>
          <w:tcPr>
            <w:tcW w:w="96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b/>
                <w:sz w:val="22"/>
                <w:lang w:val="en-IN" w:eastAsia="en-IN"/>
              </w:rPr>
            </w:pPr>
            <w:r>
              <w:rPr>
                <w:rFonts w:asciiTheme="minorHAnsi" w:hAnsiTheme="minorHAnsi"/>
                <w:color w:val="000000"/>
                <w:sz w:val="22"/>
                <w:szCs w:val="22"/>
              </w:rPr>
              <w:t>8.10</w:t>
            </w:r>
          </w:p>
        </w:tc>
        <w:tc>
          <w:tcPr>
            <w:tcW w:w="1108"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b/>
                <w:sz w:val="22"/>
                <w:lang w:val="en-IN" w:eastAsia="en-IN"/>
              </w:rPr>
            </w:pPr>
            <w:r>
              <w:rPr>
                <w:rFonts w:asciiTheme="minorHAnsi" w:hAnsiTheme="minorHAnsi"/>
                <w:color w:val="000000"/>
                <w:sz w:val="22"/>
                <w:szCs w:val="22"/>
              </w:rPr>
              <w:t>8.10</w:t>
            </w:r>
          </w:p>
        </w:tc>
        <w:tc>
          <w:tcPr>
            <w:tcW w:w="1180" w:type="dxa"/>
            <w:tcBorders>
              <w:top w:val="nil"/>
              <w:left w:val="nil"/>
              <w:bottom w:val="dotted" w:sz="4" w:space="0" w:color="auto"/>
              <w:right w:val="dotted" w:sz="4" w:space="0" w:color="auto"/>
            </w:tcBorders>
            <w:shd w:val="clear" w:color="auto" w:fill="auto"/>
            <w:noWrap/>
            <w:vAlign w:val="center"/>
            <w:hideMark/>
          </w:tcPr>
          <w:p w:rsidR="00A81BF3" w:rsidRDefault="00A81BF3">
            <w:pPr>
              <w:spacing w:before="0" w:line="240" w:lineRule="auto"/>
              <w:jc w:val="right"/>
              <w:rPr>
                <w:rFonts w:asciiTheme="minorHAnsi" w:hAnsiTheme="minorHAnsi"/>
                <w:b/>
                <w:sz w:val="22"/>
                <w:lang w:val="en-IN" w:eastAsia="en-IN"/>
              </w:rPr>
            </w:pPr>
            <w:r>
              <w:rPr>
                <w:rFonts w:asciiTheme="minorHAnsi" w:hAnsiTheme="minorHAnsi"/>
                <w:color w:val="000000"/>
                <w:sz w:val="22"/>
                <w:szCs w:val="22"/>
              </w:rPr>
              <w:t>8.10</w:t>
            </w:r>
          </w:p>
        </w:tc>
      </w:tr>
    </w:tbl>
    <w:p w:rsidR="003267CD" w:rsidRDefault="003267CD">
      <w:pPr>
        <w:spacing w:before="0" w:line="240" w:lineRule="auto"/>
        <w:jc w:val="left"/>
        <w:rPr>
          <w:b/>
          <w:lang w:val="en-US"/>
        </w:rPr>
      </w:pPr>
    </w:p>
    <w:p w:rsidR="00FE4615" w:rsidRDefault="003147B8" w:rsidP="005607D3">
      <w:pPr>
        <w:spacing w:before="0" w:line="240" w:lineRule="auto"/>
        <w:jc w:val="left"/>
        <w:rPr>
          <w:b/>
          <w:lang w:val="en-US"/>
        </w:rPr>
      </w:pPr>
      <w:r w:rsidRPr="00C60AD1">
        <w:rPr>
          <w:b/>
          <w:lang w:val="en-US"/>
        </w:rPr>
        <w:t>Interest on Working Capital:</w:t>
      </w:r>
    </w:p>
    <w:p w:rsidR="003147B8" w:rsidRPr="00C60AD1" w:rsidRDefault="003147B8" w:rsidP="00C60AD1">
      <w:pPr>
        <w:pStyle w:val="Heading3"/>
        <w:tabs>
          <w:tab w:val="clear" w:pos="720"/>
        </w:tabs>
        <w:spacing w:after="240"/>
        <w:ind w:left="993" w:hanging="993"/>
      </w:pPr>
      <w:r w:rsidRPr="00C60AD1">
        <w:t xml:space="preserve">The Petitioner submitted that the Tariff Regulations provide for normative interest on working capital based on the principles outlined in the Distribution Tariff Regulations, 2006. </w:t>
      </w:r>
      <w:r w:rsidR="00126717" w:rsidRPr="00C60AD1">
        <w:t>T</w:t>
      </w:r>
      <w:r w:rsidRPr="00C60AD1">
        <w:t xml:space="preserve">he Petitioner has claimed the normative interest on working capital as Rs. </w:t>
      </w:r>
      <w:r w:rsidR="0090306A">
        <w:t>21.13</w:t>
      </w:r>
      <w:r w:rsidRPr="00C60AD1">
        <w:t xml:space="preserve"> Crore against the approved expenses of Rs. </w:t>
      </w:r>
      <w:r w:rsidR="0090306A">
        <w:t>21.11</w:t>
      </w:r>
      <w:r w:rsidR="002C62F0">
        <w:t xml:space="preserve"> </w:t>
      </w:r>
      <w:r w:rsidRPr="00C60AD1">
        <w:t>Crore.</w:t>
      </w:r>
    </w:p>
    <w:p w:rsidR="003147B8" w:rsidRPr="00C60AD1" w:rsidRDefault="003147B8" w:rsidP="00C60AD1">
      <w:pPr>
        <w:pStyle w:val="Heading3"/>
        <w:tabs>
          <w:tab w:val="clear" w:pos="720"/>
        </w:tabs>
        <w:spacing w:after="240"/>
        <w:ind w:left="993" w:hanging="993"/>
      </w:pPr>
      <w:r w:rsidRPr="00C60AD1">
        <w:t>Regulation 4.8(2) of the Distribution Tariff Regulations, 2006 specifies as follows:</w:t>
      </w:r>
    </w:p>
    <w:p w:rsidR="003147B8" w:rsidRPr="00C60AD1" w:rsidRDefault="003147B8" w:rsidP="00C60AD1">
      <w:pPr>
        <w:spacing w:before="0" w:after="200"/>
        <w:ind w:left="1440"/>
        <w:rPr>
          <w:bCs/>
          <w:i/>
          <w:szCs w:val="22"/>
        </w:rPr>
      </w:pPr>
      <w:r w:rsidRPr="00C60AD1">
        <w:rPr>
          <w:bCs/>
          <w:i/>
          <w:szCs w:val="22"/>
        </w:rPr>
        <w:lastRenderedPageBreak/>
        <w:t>“2. Interest on working capital</w:t>
      </w:r>
    </w:p>
    <w:p w:rsidR="003147B8" w:rsidRPr="00C60AD1" w:rsidRDefault="003147B8" w:rsidP="00C60AD1">
      <w:pPr>
        <w:spacing w:before="0" w:after="200"/>
        <w:ind w:left="1440"/>
        <w:rPr>
          <w:bCs/>
          <w:i/>
          <w:szCs w:val="22"/>
        </w:rPr>
      </w:pPr>
      <w:r w:rsidRPr="00C60AD1">
        <w:rPr>
          <w:bCs/>
          <w:i/>
          <w:szCs w:val="22"/>
        </w:rPr>
        <w:t>(a) Working capital shall be worked out to cover</w:t>
      </w:r>
    </w:p>
    <w:p w:rsidR="003147B8" w:rsidRPr="00C60AD1" w:rsidRDefault="003147B8" w:rsidP="00C60AD1">
      <w:pPr>
        <w:spacing w:before="0" w:after="200"/>
        <w:ind w:left="2160"/>
        <w:rPr>
          <w:bCs/>
          <w:i/>
          <w:szCs w:val="22"/>
        </w:rPr>
      </w:pPr>
      <w:r w:rsidRPr="00C60AD1">
        <w:rPr>
          <w:bCs/>
          <w:i/>
          <w:szCs w:val="22"/>
        </w:rPr>
        <w:t>(i) Operation and Maintenance expenses, which includes Employee costs, R&amp;M expenses and A&amp;G expenses, for one month;</w:t>
      </w:r>
    </w:p>
    <w:p w:rsidR="003147B8" w:rsidRPr="00C60AD1" w:rsidRDefault="003147B8" w:rsidP="00C60AD1">
      <w:pPr>
        <w:spacing w:before="0" w:after="200"/>
        <w:ind w:left="2160"/>
        <w:rPr>
          <w:bCs/>
          <w:i/>
          <w:szCs w:val="22"/>
        </w:rPr>
      </w:pPr>
      <w:r w:rsidRPr="00C60AD1">
        <w:rPr>
          <w:bCs/>
          <w:i/>
          <w:szCs w:val="22"/>
        </w:rPr>
        <w:t>(ii) One-twelfth of the sum of the book value of stores, materials and supplies at the end of each month of such financial year.</w:t>
      </w:r>
    </w:p>
    <w:p w:rsidR="003147B8" w:rsidRPr="00C60AD1" w:rsidRDefault="003147B8" w:rsidP="00C60AD1">
      <w:pPr>
        <w:spacing w:before="0" w:after="200"/>
        <w:ind w:left="2160"/>
        <w:rPr>
          <w:bCs/>
          <w:i/>
          <w:szCs w:val="22"/>
        </w:rPr>
      </w:pPr>
      <w:r w:rsidRPr="00C60AD1">
        <w:rPr>
          <w:bCs/>
          <w:i/>
          <w:szCs w:val="22"/>
        </w:rPr>
        <w:t>(iii) Receivables equivalent to 60 days average billing of consumers less security deposits by the consumers minus amount, if any, held as security deposits under clause (b) of sub-section (1) of Section 47 of the Act from consumers and Distribution System Users.</w:t>
      </w:r>
    </w:p>
    <w:p w:rsidR="003147B8" w:rsidRPr="00C60AD1" w:rsidRDefault="003147B8" w:rsidP="00C60AD1">
      <w:pPr>
        <w:spacing w:before="0" w:after="200"/>
        <w:ind w:left="1440"/>
        <w:rPr>
          <w:bCs/>
          <w:i/>
          <w:szCs w:val="22"/>
        </w:rPr>
      </w:pPr>
      <w:r w:rsidRPr="00C60AD1">
        <w:rPr>
          <w:i/>
          <w:szCs w:val="22"/>
          <w:lang w:val="en-US"/>
        </w:rPr>
        <w:t>(</w:t>
      </w:r>
      <w:r w:rsidRPr="00C60AD1">
        <w:rPr>
          <w:bCs/>
          <w:i/>
          <w:szCs w:val="22"/>
        </w:rPr>
        <w:t>b) Rate of interest on working capital shall be the Bank Rate as specified by Reserve Bank of India for the relevant year plus a margin as decided by the Commission.”</w:t>
      </w:r>
    </w:p>
    <w:p w:rsidR="00AF4644" w:rsidRPr="00C60AD1" w:rsidRDefault="003147B8" w:rsidP="0090306A">
      <w:pPr>
        <w:pStyle w:val="Heading3"/>
        <w:tabs>
          <w:tab w:val="clear" w:pos="720"/>
        </w:tabs>
        <w:spacing w:after="240"/>
        <w:ind w:left="993" w:hanging="993"/>
      </w:pPr>
      <w:r w:rsidRPr="00C60AD1">
        <w:t xml:space="preserve">Based on the methodology specified in the above Regulations, the Commission in </w:t>
      </w:r>
      <w:r w:rsidR="00D861ED" w:rsidRPr="00C60AD1">
        <w:t xml:space="preserve">its </w:t>
      </w:r>
      <w:r w:rsidRPr="00C60AD1">
        <w:t>Tariff Order for FY 20</w:t>
      </w:r>
      <w:r w:rsidR="00534897" w:rsidRPr="00C60AD1">
        <w:t>1</w:t>
      </w:r>
      <w:r w:rsidR="00184A97">
        <w:t>3</w:t>
      </w:r>
      <w:r w:rsidR="00534897" w:rsidRPr="00C60AD1">
        <w:t>-1</w:t>
      </w:r>
      <w:r w:rsidR="00184A97">
        <w:t>4</w:t>
      </w:r>
      <w:r w:rsidRPr="00C60AD1">
        <w:t xml:space="preserve"> had allowed normative interest on working capital of Rs. </w:t>
      </w:r>
      <w:r w:rsidR="0090306A">
        <w:t>21.11</w:t>
      </w:r>
      <w:r w:rsidR="000A4645">
        <w:t xml:space="preserve"> </w:t>
      </w:r>
      <w:r w:rsidRPr="00C60AD1">
        <w:t xml:space="preserve">Crore. Following the similar approach and in accordance with the Regulations, the Commission in this Order has assessed the working capital and interest thereon based on the trued up ARR of the Petitioner. </w:t>
      </w:r>
    </w:p>
    <w:p w:rsidR="003147B8" w:rsidRPr="00C60AD1" w:rsidRDefault="003147B8" w:rsidP="00C60AD1">
      <w:pPr>
        <w:pStyle w:val="Heading3"/>
        <w:tabs>
          <w:tab w:val="clear" w:pos="720"/>
        </w:tabs>
        <w:spacing w:after="240"/>
        <w:ind w:left="993" w:hanging="993"/>
      </w:pPr>
      <w:r w:rsidRPr="00C60AD1">
        <w:t>The summary of the interest on working capital approved by the Commission in the Tariff Order for FY 20</w:t>
      </w:r>
      <w:r w:rsidR="00534897" w:rsidRPr="00C60AD1">
        <w:t>1</w:t>
      </w:r>
      <w:r w:rsidR="00937DF7">
        <w:t>3</w:t>
      </w:r>
      <w:r w:rsidR="00534897" w:rsidRPr="00C60AD1">
        <w:t>-1</w:t>
      </w:r>
      <w:r w:rsidR="00937DF7">
        <w:t>4</w:t>
      </w:r>
      <w:r w:rsidRPr="00C60AD1">
        <w:t>, claimed by the Petitioner and that approved by the Commission in the present Truing up Order is shown in the Table below:</w:t>
      </w:r>
    </w:p>
    <w:p w:rsidR="003147B8" w:rsidRPr="00C60AD1" w:rsidRDefault="007320D7" w:rsidP="00C60AD1">
      <w:pPr>
        <w:spacing w:before="0"/>
        <w:jc w:val="center"/>
        <w:rPr>
          <w:rFonts w:cs="Calibri"/>
          <w:b/>
          <w:sz w:val="22"/>
          <w:szCs w:val="22"/>
          <w:lang w:val="en-US"/>
        </w:rPr>
      </w:pPr>
      <w:bookmarkStart w:id="281" w:name="_Toc394490644"/>
      <w:bookmarkStart w:id="282" w:name="_Toc457355617"/>
      <w:r w:rsidRPr="00C60AD1">
        <w:rPr>
          <w:rFonts w:cs="Calibri"/>
          <w:b/>
          <w:sz w:val="22"/>
          <w:szCs w:val="22"/>
          <w:lang w:val="en-US"/>
        </w:rPr>
        <w:t xml:space="preserve">Table </w:t>
      </w:r>
      <w:r w:rsidR="004A2D9E" w:rsidRPr="00C60AD1">
        <w:rPr>
          <w:rFonts w:cs="Calibri"/>
          <w:b/>
          <w:sz w:val="22"/>
          <w:szCs w:val="22"/>
          <w:lang w:val="en-US"/>
        </w:rPr>
        <w:fldChar w:fldCharType="begin"/>
      </w:r>
      <w:r w:rsidR="008A1A72"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008A1A72"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16</w:t>
      </w:r>
      <w:r w:rsidR="004A2D9E" w:rsidRPr="00C60AD1">
        <w:rPr>
          <w:rFonts w:cs="Calibri"/>
          <w:b/>
          <w:sz w:val="22"/>
          <w:szCs w:val="22"/>
          <w:lang w:val="en-US"/>
        </w:rPr>
        <w:fldChar w:fldCharType="end"/>
      </w:r>
      <w:r w:rsidRPr="00C60AD1">
        <w:rPr>
          <w:rFonts w:cs="Calibri"/>
          <w:b/>
          <w:sz w:val="22"/>
          <w:szCs w:val="22"/>
          <w:lang w:val="en-US"/>
        </w:rPr>
        <w:t>: INTEREST ON WORKING CAPITAL FOR FY 20</w:t>
      </w:r>
      <w:r w:rsidR="008A1A72" w:rsidRPr="00C60AD1">
        <w:rPr>
          <w:rFonts w:cs="Calibri"/>
          <w:b/>
          <w:sz w:val="22"/>
          <w:szCs w:val="22"/>
          <w:lang w:val="en-US"/>
        </w:rPr>
        <w:t>1</w:t>
      </w:r>
      <w:r w:rsidR="00586F2F">
        <w:rPr>
          <w:rFonts w:cs="Calibri"/>
          <w:b/>
          <w:sz w:val="22"/>
          <w:szCs w:val="22"/>
          <w:lang w:val="en-US"/>
        </w:rPr>
        <w:t>3</w:t>
      </w:r>
      <w:r w:rsidR="008A1A72" w:rsidRPr="00C60AD1">
        <w:rPr>
          <w:rFonts w:cs="Calibri"/>
          <w:b/>
          <w:sz w:val="22"/>
          <w:szCs w:val="22"/>
          <w:lang w:val="en-US"/>
        </w:rPr>
        <w:t>-1</w:t>
      </w:r>
      <w:r w:rsidR="00586F2F">
        <w:rPr>
          <w:rFonts w:cs="Calibri"/>
          <w:b/>
          <w:sz w:val="22"/>
          <w:szCs w:val="22"/>
          <w:lang w:val="en-US"/>
        </w:rPr>
        <w:t>4</w:t>
      </w:r>
      <w:r w:rsidR="008A1A72" w:rsidRPr="00C60AD1">
        <w:rPr>
          <w:rFonts w:cs="Calibri"/>
          <w:b/>
          <w:sz w:val="22"/>
          <w:szCs w:val="22"/>
          <w:lang w:val="en-US"/>
        </w:rPr>
        <w:t xml:space="preserve"> (Rs. Crore)</w:t>
      </w:r>
      <w:bookmarkEnd w:id="281"/>
      <w:bookmarkEnd w:id="282"/>
    </w:p>
    <w:tbl>
      <w:tblPr>
        <w:tblW w:w="8782" w:type="dxa"/>
        <w:tblInd w:w="103" w:type="dxa"/>
        <w:tblLayout w:type="fixed"/>
        <w:tblLook w:val="04A0"/>
      </w:tblPr>
      <w:tblGrid>
        <w:gridCol w:w="4400"/>
        <w:gridCol w:w="1095"/>
        <w:gridCol w:w="990"/>
        <w:gridCol w:w="990"/>
        <w:gridCol w:w="1307"/>
      </w:tblGrid>
      <w:tr w:rsidR="00D861ED" w:rsidRPr="004339F0" w:rsidTr="00755821">
        <w:trPr>
          <w:trHeight w:val="300"/>
          <w:tblHeader/>
        </w:trPr>
        <w:tc>
          <w:tcPr>
            <w:tcW w:w="4400" w:type="dxa"/>
            <w:vMerge w:val="restart"/>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Particulars</w:t>
            </w:r>
          </w:p>
        </w:tc>
        <w:tc>
          <w:tcPr>
            <w:tcW w:w="4382" w:type="dxa"/>
            <w:gridSpan w:val="4"/>
            <w:tcBorders>
              <w:top w:val="dotted" w:sz="4" w:space="0" w:color="auto"/>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FY 201</w:t>
            </w:r>
            <w:r w:rsidR="00586F2F" w:rsidRPr="004339F0">
              <w:rPr>
                <w:rFonts w:asciiTheme="minorHAnsi" w:hAnsiTheme="minorHAnsi"/>
                <w:b/>
                <w:sz w:val="22"/>
                <w:szCs w:val="22"/>
                <w:lang w:val="en-IN" w:eastAsia="en-IN"/>
              </w:rPr>
              <w:t>3</w:t>
            </w:r>
            <w:r w:rsidRPr="004339F0">
              <w:rPr>
                <w:rFonts w:asciiTheme="minorHAnsi" w:hAnsiTheme="minorHAnsi"/>
                <w:b/>
                <w:sz w:val="22"/>
                <w:szCs w:val="22"/>
                <w:lang w:val="en-IN" w:eastAsia="en-IN"/>
              </w:rPr>
              <w:t>-1</w:t>
            </w:r>
            <w:r w:rsidR="00586F2F" w:rsidRPr="004339F0">
              <w:rPr>
                <w:rFonts w:asciiTheme="minorHAnsi" w:hAnsiTheme="minorHAnsi"/>
                <w:b/>
                <w:sz w:val="22"/>
                <w:szCs w:val="22"/>
                <w:lang w:val="en-IN" w:eastAsia="en-IN"/>
              </w:rPr>
              <w:t>4</w:t>
            </w:r>
          </w:p>
        </w:tc>
      </w:tr>
      <w:tr w:rsidR="005A65C5" w:rsidRPr="004339F0" w:rsidTr="00755821">
        <w:trPr>
          <w:trHeight w:val="600"/>
          <w:tblHeader/>
        </w:trPr>
        <w:tc>
          <w:tcPr>
            <w:tcW w:w="4400" w:type="dxa"/>
            <w:vMerge/>
            <w:tcBorders>
              <w:top w:val="dotted" w:sz="4" w:space="0" w:color="auto"/>
              <w:left w:val="dotted" w:sz="4" w:space="0" w:color="auto"/>
              <w:bottom w:val="dotted" w:sz="4" w:space="0" w:color="auto"/>
              <w:right w:val="dotted" w:sz="4" w:space="0" w:color="auto"/>
            </w:tcBorders>
            <w:hideMark/>
          </w:tcPr>
          <w:p w:rsidR="003267CD" w:rsidRDefault="003267CD">
            <w:pPr>
              <w:spacing w:before="0" w:line="240" w:lineRule="auto"/>
              <w:jc w:val="center"/>
              <w:rPr>
                <w:rFonts w:asciiTheme="minorHAnsi" w:hAnsiTheme="minorHAnsi"/>
                <w:b/>
                <w:sz w:val="22"/>
                <w:szCs w:val="22"/>
                <w:lang w:val="en-IN" w:eastAsia="en-IN"/>
              </w:rPr>
            </w:pPr>
          </w:p>
        </w:tc>
        <w:tc>
          <w:tcPr>
            <w:tcW w:w="1095"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Tariff Order</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Audited</w:t>
            </w:r>
          </w:p>
        </w:tc>
        <w:tc>
          <w:tcPr>
            <w:tcW w:w="990" w:type="dxa"/>
            <w:tcBorders>
              <w:top w:val="nil"/>
              <w:left w:val="nil"/>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Petition</w:t>
            </w:r>
          </w:p>
        </w:tc>
        <w:tc>
          <w:tcPr>
            <w:tcW w:w="1307" w:type="dxa"/>
            <w:tcBorders>
              <w:top w:val="nil"/>
              <w:left w:val="nil"/>
              <w:bottom w:val="dotted" w:sz="4" w:space="0" w:color="auto"/>
              <w:right w:val="dotted" w:sz="4" w:space="0" w:color="auto"/>
            </w:tcBorders>
            <w:shd w:val="clear" w:color="000000" w:fill="DBE5F1"/>
            <w:hideMark/>
          </w:tcPr>
          <w:p w:rsidR="003267CD" w:rsidRDefault="00180245">
            <w:pPr>
              <w:spacing w:before="0" w:line="240" w:lineRule="auto"/>
              <w:jc w:val="center"/>
              <w:rPr>
                <w:rFonts w:asciiTheme="minorHAnsi" w:hAnsiTheme="minorHAnsi"/>
                <w:b/>
                <w:sz w:val="22"/>
                <w:szCs w:val="22"/>
                <w:lang w:val="en-IN" w:eastAsia="en-IN"/>
              </w:rPr>
            </w:pPr>
            <w:r w:rsidRPr="004339F0">
              <w:rPr>
                <w:rFonts w:asciiTheme="minorHAnsi" w:hAnsiTheme="minorHAnsi"/>
                <w:b/>
                <w:sz w:val="22"/>
                <w:szCs w:val="22"/>
                <w:lang w:val="en-IN" w:eastAsia="en-IN"/>
              </w:rPr>
              <w:t xml:space="preserve">Approved upon Truing </w:t>
            </w:r>
            <w:r w:rsidR="00F9361E">
              <w:rPr>
                <w:rFonts w:asciiTheme="minorHAnsi" w:hAnsiTheme="minorHAnsi"/>
                <w:b/>
                <w:sz w:val="22"/>
                <w:szCs w:val="22"/>
                <w:lang w:val="en-IN" w:eastAsia="en-IN"/>
              </w:rPr>
              <w:t>u</w:t>
            </w:r>
            <w:r w:rsidRPr="004339F0">
              <w:rPr>
                <w:rFonts w:asciiTheme="minorHAnsi" w:hAnsiTheme="minorHAnsi"/>
                <w:b/>
                <w:sz w:val="22"/>
                <w:szCs w:val="22"/>
                <w:lang w:val="en-IN" w:eastAsia="en-IN"/>
              </w:rPr>
              <w:t>p</w:t>
            </w:r>
          </w:p>
        </w:tc>
      </w:tr>
      <w:tr w:rsidR="0090306A" w:rsidRPr="004339F0" w:rsidTr="0090306A">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90306A" w:rsidRDefault="0090306A">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 month's O &amp; M Expenses</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14.02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16.94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14.28 </w:t>
            </w:r>
          </w:p>
        </w:tc>
      </w:tr>
      <w:tr w:rsidR="0090306A" w:rsidRPr="004339F0" w:rsidTr="0090306A">
        <w:trPr>
          <w:trHeight w:val="900"/>
        </w:trPr>
        <w:tc>
          <w:tcPr>
            <w:tcW w:w="4400" w:type="dxa"/>
            <w:tcBorders>
              <w:top w:val="nil"/>
              <w:left w:val="dotted" w:sz="4" w:space="0" w:color="auto"/>
              <w:bottom w:val="dotted" w:sz="4" w:space="0" w:color="auto"/>
              <w:right w:val="dotted" w:sz="4" w:space="0" w:color="auto"/>
            </w:tcBorders>
            <w:shd w:val="clear" w:color="auto" w:fill="auto"/>
            <w:hideMark/>
          </w:tcPr>
          <w:p w:rsidR="0090306A" w:rsidRDefault="0090306A">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One-twelfth of the sum of the book value of materials in stores at the end of each month of such financial year.</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0.99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2.52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2.52 </w:t>
            </w:r>
          </w:p>
        </w:tc>
      </w:tr>
      <w:tr w:rsidR="0090306A" w:rsidRPr="004339F0" w:rsidTr="0090306A">
        <w:trPr>
          <w:trHeight w:val="600"/>
        </w:trPr>
        <w:tc>
          <w:tcPr>
            <w:tcW w:w="4400" w:type="dxa"/>
            <w:tcBorders>
              <w:top w:val="nil"/>
              <w:left w:val="dotted" w:sz="4" w:space="0" w:color="auto"/>
              <w:bottom w:val="dotted" w:sz="4" w:space="0" w:color="auto"/>
              <w:right w:val="dotted" w:sz="4" w:space="0" w:color="auto"/>
            </w:tcBorders>
            <w:shd w:val="clear" w:color="auto" w:fill="auto"/>
            <w:hideMark/>
          </w:tcPr>
          <w:p w:rsidR="0090306A" w:rsidRDefault="0090306A">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lastRenderedPageBreak/>
              <w:t>Receivables equivalent to 60 days average billing on consumers</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241.45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254.01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254.01 </w:t>
            </w:r>
          </w:p>
        </w:tc>
      </w:tr>
      <w:tr w:rsidR="0090306A" w:rsidRPr="004339F0" w:rsidTr="0090306A">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Grand Total</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A03B82"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color w:val="000000"/>
                <w:sz w:val="22"/>
                <w:szCs w:val="22"/>
              </w:rPr>
              <w:t xml:space="preserve">     256.46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A03B82"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A03B82"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color w:val="000000"/>
                <w:sz w:val="22"/>
                <w:szCs w:val="22"/>
              </w:rPr>
              <w:t xml:space="preserve"> 273.48 </w:t>
            </w:r>
          </w:p>
        </w:tc>
        <w:tc>
          <w:tcPr>
            <w:tcW w:w="1307" w:type="dxa"/>
            <w:tcBorders>
              <w:top w:val="nil"/>
              <w:left w:val="nil"/>
              <w:bottom w:val="dotted" w:sz="4" w:space="0" w:color="auto"/>
              <w:right w:val="dotted" w:sz="4" w:space="0" w:color="auto"/>
            </w:tcBorders>
            <w:shd w:val="clear" w:color="auto" w:fill="auto"/>
            <w:vAlign w:val="center"/>
            <w:hideMark/>
          </w:tcPr>
          <w:p w:rsidR="0090306A" w:rsidRPr="00A03B82"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color w:val="000000"/>
                <w:sz w:val="22"/>
                <w:szCs w:val="22"/>
              </w:rPr>
              <w:t xml:space="preserve">     270.81 </w:t>
            </w:r>
          </w:p>
        </w:tc>
      </w:tr>
      <w:tr w:rsidR="0090306A" w:rsidRPr="004339F0" w:rsidTr="0090306A">
        <w:trPr>
          <w:trHeight w:val="1084"/>
        </w:trPr>
        <w:tc>
          <w:tcPr>
            <w:tcW w:w="4400" w:type="dxa"/>
            <w:tcBorders>
              <w:top w:val="nil"/>
              <w:left w:val="dotted" w:sz="4" w:space="0" w:color="auto"/>
              <w:bottom w:val="dotted" w:sz="4" w:space="0" w:color="auto"/>
              <w:right w:val="dotted" w:sz="4" w:space="0" w:color="auto"/>
            </w:tcBorders>
            <w:shd w:val="clear" w:color="auto" w:fill="auto"/>
            <w:hideMark/>
          </w:tcPr>
          <w:p w:rsidR="0090306A" w:rsidRPr="004339F0" w:rsidRDefault="0090306A"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Less: Total Security Deposits by the Consumers reduced by Security Deposits under section 47(1)(b) of the Electricity Act 2003</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87.58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 xml:space="preserve">104.45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 xml:space="preserve">     104.45 </w:t>
            </w:r>
          </w:p>
        </w:tc>
      </w:tr>
      <w:tr w:rsidR="0090306A" w:rsidRPr="004339F0" w:rsidTr="0090306A">
        <w:trPr>
          <w:trHeight w:val="300"/>
        </w:trPr>
        <w:tc>
          <w:tcPr>
            <w:tcW w:w="4400" w:type="dxa"/>
            <w:tcBorders>
              <w:top w:val="nil"/>
              <w:left w:val="dotted" w:sz="4" w:space="0" w:color="auto"/>
              <w:bottom w:val="dotted" w:sz="4" w:space="0" w:color="auto"/>
              <w:right w:val="dotted" w:sz="4" w:space="0" w:color="auto"/>
            </w:tcBorders>
            <w:shd w:val="clear" w:color="auto" w:fill="auto"/>
            <w:hideMark/>
          </w:tcPr>
          <w:p w:rsid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Net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 xml:space="preserve">     168.88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 xml:space="preserve">169.03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 xml:space="preserve">     166.36 </w:t>
            </w:r>
          </w:p>
        </w:tc>
      </w:tr>
      <w:tr w:rsidR="0090306A" w:rsidRPr="004339F0" w:rsidTr="0090306A">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90306A" w:rsidRPr="004339F0" w:rsidRDefault="0090306A" w:rsidP="004339F0">
            <w:pPr>
              <w:spacing w:before="0" w:line="240" w:lineRule="auto"/>
              <w:rPr>
                <w:rFonts w:asciiTheme="minorHAnsi" w:hAnsiTheme="minorHAnsi"/>
                <w:sz w:val="22"/>
                <w:szCs w:val="22"/>
                <w:lang w:val="en-IN" w:eastAsia="en-IN"/>
              </w:rPr>
            </w:pPr>
            <w:r w:rsidRPr="004339F0">
              <w:rPr>
                <w:rFonts w:asciiTheme="minorHAnsi" w:hAnsiTheme="minorHAnsi"/>
                <w:sz w:val="22"/>
                <w:szCs w:val="22"/>
                <w:lang w:val="en-IN" w:eastAsia="en-IN"/>
              </w:rPr>
              <w:t>Rate of 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color w:val="000000"/>
                <w:sz w:val="22"/>
                <w:szCs w:val="22"/>
              </w:rPr>
              <w:t>12.50%</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12.50%</w:t>
            </w:r>
          </w:p>
        </w:tc>
        <w:tc>
          <w:tcPr>
            <w:tcW w:w="1307"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12.50%</w:t>
            </w:r>
          </w:p>
        </w:tc>
      </w:tr>
      <w:tr w:rsidR="0090306A" w:rsidRPr="004339F0" w:rsidTr="0090306A">
        <w:trPr>
          <w:trHeight w:val="300"/>
        </w:trPr>
        <w:tc>
          <w:tcPr>
            <w:tcW w:w="4400" w:type="dxa"/>
            <w:tcBorders>
              <w:top w:val="nil"/>
              <w:left w:val="dotted" w:sz="4" w:space="0" w:color="auto"/>
              <w:bottom w:val="dotted" w:sz="4" w:space="0" w:color="auto"/>
              <w:right w:val="dotted" w:sz="4" w:space="0" w:color="auto"/>
            </w:tcBorders>
            <w:shd w:val="clear" w:color="auto" w:fill="auto"/>
            <w:noWrap/>
            <w:hideMark/>
          </w:tcPr>
          <w:p w:rsidR="0090306A" w:rsidRPr="00832D27" w:rsidRDefault="0090306A" w:rsidP="004339F0">
            <w:pPr>
              <w:spacing w:before="0" w:line="240" w:lineRule="auto"/>
              <w:rPr>
                <w:rFonts w:asciiTheme="minorHAnsi" w:hAnsiTheme="minorHAnsi"/>
                <w:b/>
                <w:sz w:val="22"/>
                <w:szCs w:val="22"/>
                <w:lang w:val="en-IN" w:eastAsia="en-IN"/>
              </w:rPr>
            </w:pPr>
            <w:r w:rsidRPr="0073065A">
              <w:rPr>
                <w:rFonts w:asciiTheme="minorHAnsi" w:hAnsiTheme="minorHAnsi"/>
                <w:b/>
                <w:sz w:val="22"/>
                <w:szCs w:val="22"/>
                <w:lang w:val="en-IN" w:eastAsia="en-IN"/>
              </w:rPr>
              <w:t>Interest on Working Capital</w:t>
            </w:r>
          </w:p>
        </w:tc>
        <w:tc>
          <w:tcPr>
            <w:tcW w:w="1095" w:type="dxa"/>
            <w:tcBorders>
              <w:top w:val="nil"/>
              <w:left w:val="nil"/>
              <w:bottom w:val="dotted" w:sz="4" w:space="0" w:color="auto"/>
              <w:right w:val="dotted" w:sz="4" w:space="0" w:color="auto"/>
            </w:tcBorders>
            <w:shd w:val="clear" w:color="auto" w:fill="auto"/>
            <w:noWrap/>
            <w:vAlign w:val="center"/>
            <w:hideMark/>
          </w:tcPr>
          <w:p w:rsidR="0090306A" w:rsidRPr="0090306A"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 xml:space="preserve"> 21.11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 xml:space="preserve"> -   </w:t>
            </w:r>
          </w:p>
        </w:tc>
        <w:tc>
          <w:tcPr>
            <w:tcW w:w="990"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 xml:space="preserve"> 21.13 </w:t>
            </w:r>
          </w:p>
        </w:tc>
        <w:tc>
          <w:tcPr>
            <w:tcW w:w="1307" w:type="dxa"/>
            <w:tcBorders>
              <w:top w:val="nil"/>
              <w:left w:val="nil"/>
              <w:bottom w:val="dotted" w:sz="4" w:space="0" w:color="auto"/>
              <w:right w:val="dotted" w:sz="4" w:space="0" w:color="auto"/>
            </w:tcBorders>
            <w:shd w:val="clear" w:color="auto" w:fill="auto"/>
            <w:vAlign w:val="center"/>
            <w:hideMark/>
          </w:tcPr>
          <w:p w:rsidR="0090306A" w:rsidRPr="0090306A" w:rsidRDefault="00023318" w:rsidP="0090306A">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 xml:space="preserve">        20.80 </w:t>
            </w:r>
          </w:p>
        </w:tc>
      </w:tr>
    </w:tbl>
    <w:p w:rsidR="003147B8" w:rsidRPr="00C60AD1" w:rsidRDefault="003147B8" w:rsidP="00C60AD1">
      <w:pPr>
        <w:pStyle w:val="Heading3"/>
        <w:tabs>
          <w:tab w:val="clear" w:pos="720"/>
        </w:tabs>
        <w:spacing w:after="240"/>
        <w:ind w:left="993" w:hanging="993"/>
      </w:pPr>
      <w:r w:rsidRPr="00C60AD1">
        <w:t>The following table summarises the interest and finance charges approved by the Commission in the Tariff Order, interest and finance charges claimed by the Petitioner and that approved by the Commission in this Order:</w:t>
      </w:r>
    </w:p>
    <w:p w:rsidR="003147B8" w:rsidRPr="00C60AD1" w:rsidRDefault="00DF191A" w:rsidP="004339F0">
      <w:pPr>
        <w:spacing w:before="0" w:line="240" w:lineRule="auto"/>
        <w:jc w:val="center"/>
        <w:rPr>
          <w:rFonts w:cs="Calibri"/>
          <w:b/>
          <w:sz w:val="22"/>
          <w:szCs w:val="22"/>
          <w:lang w:val="en-US"/>
        </w:rPr>
      </w:pPr>
      <w:bookmarkStart w:id="283" w:name="_Toc394490645"/>
      <w:bookmarkStart w:id="284" w:name="_Toc457355618"/>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17</w:t>
      </w:r>
      <w:r w:rsidR="004A2D9E" w:rsidRPr="00C60AD1">
        <w:rPr>
          <w:rFonts w:cs="Calibri"/>
          <w:b/>
          <w:sz w:val="22"/>
          <w:szCs w:val="22"/>
          <w:lang w:val="en-US"/>
        </w:rPr>
        <w:fldChar w:fldCharType="end"/>
      </w:r>
      <w:r>
        <w:rPr>
          <w:rFonts w:cs="Calibri"/>
          <w:b/>
          <w:sz w:val="22"/>
          <w:szCs w:val="22"/>
          <w:lang w:val="en-US"/>
        </w:rPr>
        <w:t>: A</w:t>
      </w:r>
      <w:r w:rsidR="00B94C76" w:rsidRPr="00C60AD1">
        <w:rPr>
          <w:rFonts w:cs="Calibri"/>
          <w:b/>
          <w:sz w:val="22"/>
          <w:szCs w:val="22"/>
          <w:lang w:val="en-US"/>
        </w:rPr>
        <w:t>LLOWABLE INTEREST AND FINANCE CHARGES FOR FY 201</w:t>
      </w:r>
      <w:r w:rsidR="0059502F">
        <w:rPr>
          <w:rFonts w:cs="Calibri"/>
          <w:b/>
          <w:sz w:val="22"/>
          <w:szCs w:val="22"/>
          <w:lang w:val="en-US"/>
        </w:rPr>
        <w:t>3</w:t>
      </w:r>
      <w:r w:rsidR="00B94C76" w:rsidRPr="00C60AD1">
        <w:rPr>
          <w:rFonts w:cs="Calibri"/>
          <w:b/>
          <w:sz w:val="22"/>
          <w:szCs w:val="22"/>
          <w:lang w:val="en-US"/>
        </w:rPr>
        <w:t>-1</w:t>
      </w:r>
      <w:r w:rsidR="0059502F">
        <w:rPr>
          <w:rFonts w:cs="Calibri"/>
          <w:b/>
          <w:sz w:val="22"/>
          <w:szCs w:val="22"/>
          <w:lang w:val="en-US"/>
        </w:rPr>
        <w:t>4</w:t>
      </w:r>
      <w:r w:rsidR="00B94C76" w:rsidRPr="00C60AD1">
        <w:rPr>
          <w:rFonts w:cs="Calibri"/>
          <w:b/>
          <w:sz w:val="22"/>
          <w:szCs w:val="22"/>
          <w:lang w:val="en-US"/>
        </w:rPr>
        <w:t xml:space="preserve"> (Rs. Crore)</w:t>
      </w:r>
      <w:bookmarkEnd w:id="283"/>
      <w:bookmarkEnd w:id="284"/>
    </w:p>
    <w:tbl>
      <w:tblPr>
        <w:tblW w:w="8782" w:type="dxa"/>
        <w:tblInd w:w="103" w:type="dxa"/>
        <w:tblLayout w:type="fixed"/>
        <w:tblLook w:val="04A0"/>
      </w:tblPr>
      <w:tblGrid>
        <w:gridCol w:w="3691"/>
        <w:gridCol w:w="1134"/>
        <w:gridCol w:w="1559"/>
        <w:gridCol w:w="1134"/>
        <w:gridCol w:w="1264"/>
      </w:tblGrid>
      <w:tr w:rsidR="001B682E" w:rsidRPr="00DC3DC8" w:rsidTr="00DC3DC8">
        <w:trPr>
          <w:trHeight w:val="600"/>
          <w:tblHeader/>
        </w:trPr>
        <w:tc>
          <w:tcPr>
            <w:tcW w:w="3691" w:type="dxa"/>
            <w:tcBorders>
              <w:top w:val="dotted" w:sz="4" w:space="0" w:color="auto"/>
              <w:left w:val="dotted" w:sz="4" w:space="0" w:color="auto"/>
              <w:bottom w:val="dotted" w:sz="4" w:space="0" w:color="auto"/>
              <w:right w:val="dotted" w:sz="4" w:space="0" w:color="auto"/>
            </w:tcBorders>
            <w:shd w:val="clear" w:color="000000" w:fill="DBE5F1"/>
            <w:noWrap/>
            <w:hideMark/>
          </w:tcPr>
          <w:p w:rsidR="00D66C42" w:rsidRDefault="00023318">
            <w:pPr>
              <w:spacing w:before="0" w:line="240" w:lineRule="auto"/>
              <w:jc w:val="center"/>
              <w:rPr>
                <w:rFonts w:asciiTheme="minorHAnsi" w:hAnsiTheme="minorHAnsi"/>
                <w:b/>
                <w:sz w:val="22"/>
                <w:szCs w:val="22"/>
                <w:lang w:val="en-IN" w:eastAsia="en-IN"/>
              </w:rPr>
            </w:pPr>
            <w:bookmarkStart w:id="285" w:name="_Toc356137613"/>
            <w:r w:rsidRPr="00023318">
              <w:rPr>
                <w:rFonts w:asciiTheme="minorHAnsi" w:hAnsiTheme="minorHAnsi"/>
                <w:b/>
                <w:sz w:val="22"/>
                <w:szCs w:val="22"/>
                <w:lang w:val="en-IN" w:eastAsia="en-IN"/>
              </w:rPr>
              <w:t>Particulars</w:t>
            </w:r>
          </w:p>
        </w:tc>
        <w:tc>
          <w:tcPr>
            <w:tcW w:w="1134" w:type="dxa"/>
            <w:tcBorders>
              <w:top w:val="dotted" w:sz="4" w:space="0" w:color="auto"/>
              <w:left w:val="nil"/>
              <w:bottom w:val="dotted" w:sz="4" w:space="0" w:color="auto"/>
              <w:right w:val="dotted" w:sz="4" w:space="0" w:color="auto"/>
            </w:tcBorders>
            <w:shd w:val="clear" w:color="000000" w:fill="DBE5F1"/>
            <w:hideMark/>
          </w:tcPr>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Tariff</w:t>
            </w:r>
          </w:p>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Order</w:t>
            </w:r>
          </w:p>
        </w:tc>
        <w:tc>
          <w:tcPr>
            <w:tcW w:w="1559" w:type="dxa"/>
            <w:tcBorders>
              <w:top w:val="dotted" w:sz="4" w:space="0" w:color="auto"/>
              <w:left w:val="nil"/>
              <w:bottom w:val="dotted" w:sz="4" w:space="0" w:color="auto"/>
              <w:right w:val="dotted" w:sz="4" w:space="0" w:color="auto"/>
            </w:tcBorders>
            <w:shd w:val="clear" w:color="000000" w:fill="DBE5F1"/>
            <w:hideMark/>
          </w:tcPr>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Actual as per audited accounts</w:t>
            </w:r>
          </w:p>
        </w:tc>
        <w:tc>
          <w:tcPr>
            <w:tcW w:w="1134" w:type="dxa"/>
            <w:tcBorders>
              <w:top w:val="dotted" w:sz="4" w:space="0" w:color="auto"/>
              <w:left w:val="nil"/>
              <w:bottom w:val="dotted" w:sz="4" w:space="0" w:color="auto"/>
              <w:right w:val="dotted" w:sz="4" w:space="0" w:color="auto"/>
            </w:tcBorders>
            <w:shd w:val="clear" w:color="000000" w:fill="DBE5F1"/>
            <w:hideMark/>
          </w:tcPr>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True-up</w:t>
            </w:r>
          </w:p>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Petition</w:t>
            </w:r>
          </w:p>
        </w:tc>
        <w:tc>
          <w:tcPr>
            <w:tcW w:w="1264" w:type="dxa"/>
            <w:tcBorders>
              <w:top w:val="dotted" w:sz="4" w:space="0" w:color="auto"/>
              <w:left w:val="nil"/>
              <w:bottom w:val="dotted" w:sz="4" w:space="0" w:color="auto"/>
              <w:right w:val="dotted" w:sz="4" w:space="0" w:color="auto"/>
            </w:tcBorders>
            <w:shd w:val="clear" w:color="000000" w:fill="DBE5F1"/>
            <w:hideMark/>
          </w:tcPr>
          <w:p w:rsidR="00D66C42" w:rsidRDefault="00023318">
            <w:pPr>
              <w:spacing w:before="0" w:line="240" w:lineRule="auto"/>
              <w:jc w:val="center"/>
              <w:rPr>
                <w:rFonts w:asciiTheme="minorHAnsi" w:hAnsiTheme="minorHAnsi"/>
                <w:b/>
                <w:sz w:val="22"/>
                <w:szCs w:val="22"/>
                <w:lang w:val="en-IN" w:eastAsia="en-IN"/>
              </w:rPr>
            </w:pPr>
            <w:r w:rsidRPr="00023318">
              <w:rPr>
                <w:rFonts w:asciiTheme="minorHAnsi" w:hAnsiTheme="minorHAnsi"/>
                <w:b/>
                <w:sz w:val="22"/>
                <w:szCs w:val="22"/>
                <w:lang w:val="en-IN" w:eastAsia="en-IN"/>
              </w:rPr>
              <w:t>Approved upon Truing up</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A:Interest on Long Term Loans</w:t>
            </w:r>
          </w:p>
        </w:tc>
        <w:tc>
          <w:tcPr>
            <w:tcW w:w="113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559"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13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26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Gross Interest on Long Term Loan</w:t>
            </w:r>
          </w:p>
        </w:tc>
        <w:tc>
          <w:tcPr>
            <w:tcW w:w="1134" w:type="dxa"/>
            <w:tcBorders>
              <w:top w:val="nil"/>
              <w:left w:val="nil"/>
              <w:bottom w:val="dotted" w:sz="4" w:space="0" w:color="auto"/>
              <w:right w:val="dotted" w:sz="4" w:space="0" w:color="auto"/>
            </w:tcBorders>
            <w:shd w:val="clear" w:color="000000" w:fill="FFFFFF"/>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3.60</w:t>
            </w:r>
          </w:p>
        </w:tc>
        <w:tc>
          <w:tcPr>
            <w:tcW w:w="1559" w:type="dxa"/>
            <w:tcBorders>
              <w:top w:val="nil"/>
              <w:left w:val="nil"/>
              <w:bottom w:val="dotted" w:sz="4" w:space="0" w:color="auto"/>
              <w:right w:val="dotted" w:sz="4" w:space="0" w:color="auto"/>
            </w:tcBorders>
            <w:shd w:val="clear" w:color="000000" w:fill="FFFFFF"/>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294.34</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0.00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Less: Interest Capitalisation</w:t>
            </w:r>
          </w:p>
        </w:tc>
        <w:tc>
          <w:tcPr>
            <w:tcW w:w="1134" w:type="dxa"/>
            <w:tcBorders>
              <w:top w:val="nil"/>
              <w:left w:val="nil"/>
              <w:bottom w:val="dotted" w:sz="4" w:space="0" w:color="auto"/>
              <w:right w:val="dotted" w:sz="4" w:space="0" w:color="auto"/>
            </w:tcBorders>
            <w:shd w:val="clear" w:color="000000" w:fill="FFFFFF"/>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0.83</w:t>
            </w:r>
          </w:p>
        </w:tc>
        <w:tc>
          <w:tcPr>
            <w:tcW w:w="1559" w:type="dxa"/>
            <w:tcBorders>
              <w:top w:val="nil"/>
              <w:left w:val="nil"/>
              <w:bottom w:val="dotted" w:sz="4" w:space="0" w:color="auto"/>
              <w:right w:val="dotted" w:sz="4" w:space="0" w:color="auto"/>
            </w:tcBorders>
            <w:shd w:val="clear" w:color="000000" w:fill="FFFFFF"/>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0.00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Net Interest on Long Term Loans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2.77</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294.34</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color w:val="000000"/>
                <w:sz w:val="22"/>
                <w:szCs w:val="22"/>
              </w:rPr>
            </w:pPr>
            <w:r w:rsidRPr="00023318">
              <w:rPr>
                <w:rFonts w:asciiTheme="minorHAnsi" w:hAnsiTheme="minorHAnsi" w:cs="Arial"/>
                <w:b/>
                <w:bCs/>
                <w:color w:val="000000"/>
                <w:sz w:val="22"/>
                <w:szCs w:val="22"/>
              </w:rPr>
              <w:t>0.00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B:Finance and Other Charges</w:t>
            </w:r>
          </w:p>
        </w:tc>
        <w:tc>
          <w:tcPr>
            <w:tcW w:w="113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559"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13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szCs w:val="22"/>
                <w:lang w:val="en-IN" w:eastAsia="en-IN"/>
              </w:rPr>
            </w:pPr>
          </w:p>
        </w:tc>
        <w:tc>
          <w:tcPr>
            <w:tcW w:w="1264"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color w:val="000000"/>
                <w:sz w:val="22"/>
                <w:szCs w:val="22"/>
              </w:rPr>
            </w:pP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Finance Charges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0.00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Bank Charges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0.01</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0.00</w:t>
            </w:r>
          </w:p>
        </w:tc>
      </w:tr>
      <w:tr w:rsidR="00846A87"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D66C42" w:rsidRDefault="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Discount to Consumers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0.90</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0.00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0.00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0.00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Interest on Consumer Security Deposits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7.08</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8.10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8.10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color w:val="000000"/>
                <w:sz w:val="22"/>
                <w:szCs w:val="22"/>
              </w:rPr>
            </w:pPr>
            <w:r w:rsidRPr="00023318">
              <w:rPr>
                <w:rFonts w:asciiTheme="minorHAnsi" w:hAnsiTheme="minorHAnsi" w:cs="Arial"/>
                <w:color w:val="000000"/>
                <w:sz w:val="22"/>
                <w:szCs w:val="22"/>
              </w:rPr>
              <w:t>8.10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sz w:val="22"/>
                <w:szCs w:val="22"/>
                <w:lang w:val="en-IN" w:eastAsia="en-IN"/>
              </w:rPr>
              <w:t>Total Finance Charges</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7.99</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8.10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8.10</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color w:val="000000"/>
                <w:sz w:val="22"/>
                <w:szCs w:val="22"/>
              </w:rPr>
            </w:pPr>
            <w:r w:rsidRPr="00023318">
              <w:rPr>
                <w:rFonts w:asciiTheme="minorHAnsi" w:hAnsiTheme="minorHAnsi" w:cs="Arial"/>
                <w:b/>
                <w:bCs/>
                <w:color w:val="000000"/>
                <w:sz w:val="22"/>
                <w:szCs w:val="22"/>
              </w:rPr>
              <w:t>8.10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Default="00023318" w:rsidP="00023318">
            <w:pPr>
              <w:spacing w:before="0" w:line="240" w:lineRule="auto"/>
              <w:rPr>
                <w:rFonts w:asciiTheme="minorHAnsi" w:hAnsiTheme="minorHAnsi"/>
                <w:sz w:val="22"/>
                <w:szCs w:val="22"/>
                <w:lang w:val="en-IN" w:eastAsia="en-IN"/>
              </w:rPr>
            </w:pPr>
            <w:r w:rsidRPr="00023318">
              <w:rPr>
                <w:rFonts w:asciiTheme="minorHAnsi" w:hAnsiTheme="minorHAnsi"/>
                <w:i/>
                <w:iCs/>
                <w:sz w:val="22"/>
                <w:szCs w:val="22"/>
                <w:lang w:val="en-IN" w:eastAsia="en-IN"/>
              </w:rPr>
              <w:t>C: Interest on Working Capital</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21.11</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0.00</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21.13</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color w:val="000000"/>
                <w:sz w:val="22"/>
                <w:szCs w:val="22"/>
              </w:rPr>
            </w:pPr>
            <w:r w:rsidRPr="00023318">
              <w:rPr>
                <w:rFonts w:asciiTheme="minorHAnsi" w:hAnsiTheme="minorHAnsi" w:cs="Arial"/>
                <w:b/>
                <w:bCs/>
                <w:color w:val="000000"/>
                <w:sz w:val="22"/>
                <w:szCs w:val="22"/>
              </w:rPr>
              <w:t>20.80</w:t>
            </w:r>
          </w:p>
        </w:tc>
      </w:tr>
      <w:tr w:rsidR="001B682E" w:rsidRPr="00DC3DC8" w:rsidTr="00DC3DC8">
        <w:trPr>
          <w:trHeight w:val="300"/>
        </w:trPr>
        <w:tc>
          <w:tcPr>
            <w:tcW w:w="3691"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hAnsiTheme="minorHAnsi"/>
                <w:b/>
                <w:i/>
                <w:iCs/>
                <w:sz w:val="22"/>
                <w:szCs w:val="22"/>
                <w:lang w:val="en-IN" w:eastAsia="en-IN"/>
              </w:rPr>
            </w:pPr>
            <w:r w:rsidRPr="00023318">
              <w:rPr>
                <w:rFonts w:asciiTheme="minorHAnsi" w:hAnsiTheme="minorHAnsi"/>
                <w:b/>
                <w:sz w:val="22"/>
                <w:szCs w:val="22"/>
                <w:lang w:val="en-IN" w:eastAsia="en-IN"/>
              </w:rPr>
              <w:t>Total (A+B+C)</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31.87</w:t>
            </w:r>
          </w:p>
        </w:tc>
        <w:tc>
          <w:tcPr>
            <w:tcW w:w="1559"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302.44</w:t>
            </w:r>
          </w:p>
        </w:tc>
        <w:tc>
          <w:tcPr>
            <w:tcW w:w="113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29.23</w:t>
            </w:r>
          </w:p>
        </w:tc>
        <w:tc>
          <w:tcPr>
            <w:tcW w:w="1264" w:type="dxa"/>
            <w:tcBorders>
              <w:top w:val="nil"/>
              <w:left w:val="nil"/>
              <w:bottom w:val="dotted" w:sz="4" w:space="0" w:color="auto"/>
              <w:right w:val="dotted" w:sz="4" w:space="0" w:color="auto"/>
            </w:tcBorders>
            <w:shd w:val="clear" w:color="auto" w:fill="auto"/>
            <w:noWrap/>
            <w:vAlign w:val="center"/>
            <w:hideMark/>
          </w:tcPr>
          <w:p w:rsidR="00D66C42" w:rsidRDefault="00023318">
            <w:pPr>
              <w:spacing w:before="0" w:line="240" w:lineRule="auto"/>
              <w:jc w:val="right"/>
              <w:rPr>
                <w:rFonts w:asciiTheme="minorHAnsi" w:hAnsiTheme="minorHAnsi"/>
                <w:b/>
                <w:color w:val="000000"/>
                <w:sz w:val="22"/>
                <w:szCs w:val="22"/>
              </w:rPr>
            </w:pPr>
            <w:r w:rsidRPr="00023318">
              <w:rPr>
                <w:rFonts w:asciiTheme="minorHAnsi" w:hAnsiTheme="minorHAnsi" w:cs="Arial"/>
                <w:b/>
                <w:bCs/>
                <w:color w:val="000000"/>
                <w:sz w:val="22"/>
                <w:szCs w:val="22"/>
              </w:rPr>
              <w:t>28.89</w:t>
            </w:r>
          </w:p>
        </w:tc>
      </w:tr>
    </w:tbl>
    <w:p w:rsidR="00023318" w:rsidRDefault="00023318" w:rsidP="00023318">
      <w:pPr>
        <w:pStyle w:val="Heading2"/>
        <w:numPr>
          <w:ilvl w:val="0"/>
          <w:numId w:val="0"/>
        </w:numPr>
        <w:spacing w:before="0"/>
        <w:ind w:left="780"/>
        <w:rPr>
          <w:rFonts w:cs="Calibri"/>
          <w:b w:val="0"/>
          <w:bCs w:val="0"/>
          <w:szCs w:val="26"/>
          <w:lang w:val="en-US"/>
        </w:rPr>
      </w:pPr>
    </w:p>
    <w:p w:rsidR="005E05AA" w:rsidRDefault="005E05AA" w:rsidP="00023318">
      <w:pPr>
        <w:pStyle w:val="Heading2"/>
        <w:numPr>
          <w:ilvl w:val="0"/>
          <w:numId w:val="0"/>
        </w:numPr>
        <w:spacing w:before="0"/>
        <w:ind w:left="780"/>
        <w:rPr>
          <w:rFonts w:cs="Calibri"/>
          <w:b w:val="0"/>
          <w:bCs w:val="0"/>
          <w:szCs w:val="26"/>
          <w:lang w:val="en-US"/>
        </w:rPr>
      </w:pPr>
    </w:p>
    <w:p w:rsidR="005E05AA" w:rsidRDefault="005E05AA" w:rsidP="00023318">
      <w:pPr>
        <w:pStyle w:val="Heading2"/>
        <w:numPr>
          <w:ilvl w:val="0"/>
          <w:numId w:val="0"/>
        </w:numPr>
        <w:spacing w:before="0"/>
        <w:ind w:left="780"/>
        <w:rPr>
          <w:rFonts w:cs="Calibri"/>
          <w:b w:val="0"/>
          <w:bCs w:val="0"/>
          <w:szCs w:val="26"/>
          <w:lang w:val="en-US"/>
        </w:rPr>
      </w:pPr>
    </w:p>
    <w:p w:rsidR="003147B8" w:rsidRPr="00C60AD1" w:rsidRDefault="003147B8" w:rsidP="00C60AD1">
      <w:pPr>
        <w:pStyle w:val="Heading2"/>
        <w:rPr>
          <w:rFonts w:cs="Calibri"/>
          <w:b w:val="0"/>
          <w:bCs w:val="0"/>
          <w:szCs w:val="26"/>
          <w:lang w:val="en-US"/>
        </w:rPr>
      </w:pPr>
      <w:bookmarkStart w:id="286" w:name="_Toc457355478"/>
      <w:r w:rsidRPr="00C60AD1">
        <w:rPr>
          <w:rFonts w:cs="Calibri"/>
          <w:szCs w:val="26"/>
          <w:lang w:val="en-US"/>
        </w:rPr>
        <w:t>DEPRECIATION</w:t>
      </w:r>
      <w:bookmarkEnd w:id="285"/>
      <w:bookmarkEnd w:id="286"/>
    </w:p>
    <w:p w:rsidR="003147B8" w:rsidRPr="00C60AD1" w:rsidRDefault="003147B8" w:rsidP="00C60AD1">
      <w:pPr>
        <w:pStyle w:val="Heading3"/>
        <w:tabs>
          <w:tab w:val="clear" w:pos="720"/>
        </w:tabs>
        <w:spacing w:after="240"/>
        <w:ind w:left="993" w:hanging="993"/>
      </w:pPr>
      <w:r w:rsidRPr="00C60AD1">
        <w:t xml:space="preserve">The Petitioner has submitted that the actual depreciation expense as per audited accounts is Rs. </w:t>
      </w:r>
      <w:r w:rsidR="00116E39">
        <w:t>17.76</w:t>
      </w:r>
      <w:r w:rsidRPr="00C60AD1">
        <w:t xml:space="preserve"> Crore. However, the same depreciation has been </w:t>
      </w:r>
      <w:r w:rsidRPr="00C60AD1">
        <w:lastRenderedPageBreak/>
        <w:t>accounted for considering the depreciation rates prescribed by the Companies Act, 1956. The Petitioner further submitted that for the purpose of Truing up, it has computed the depreciation expense on the actual GFA base and at the regulatory rates applicable for FY 20</w:t>
      </w:r>
      <w:r w:rsidR="003621A8" w:rsidRPr="00C60AD1">
        <w:t>1</w:t>
      </w:r>
      <w:r w:rsidR="006B44C4">
        <w:t>3</w:t>
      </w:r>
      <w:r w:rsidR="003621A8" w:rsidRPr="00C60AD1">
        <w:t>-1</w:t>
      </w:r>
      <w:r w:rsidR="006B44C4">
        <w:t>4</w:t>
      </w:r>
      <w:r w:rsidRPr="00C60AD1">
        <w:t>.</w:t>
      </w:r>
    </w:p>
    <w:p w:rsidR="003147B8" w:rsidRPr="00C60AD1" w:rsidRDefault="008B0C65" w:rsidP="00C60AD1">
      <w:pPr>
        <w:pStyle w:val="Heading3"/>
        <w:tabs>
          <w:tab w:val="clear" w:pos="720"/>
        </w:tabs>
        <w:spacing w:after="240"/>
        <w:ind w:left="993" w:hanging="993"/>
      </w:pPr>
      <w:r w:rsidRPr="008B0C65">
        <w:t>As regards the Commission’s query regarding source-wise</w:t>
      </w:r>
      <w:r w:rsidR="00E64FDA">
        <w:t xml:space="preserve"> </w:t>
      </w:r>
      <w:r w:rsidRPr="008B0C65">
        <w:t xml:space="preserve">funding of capitalization, the Petitioner submitted that the Commission in the True up Order for FY 2012-13 and ARR Order for FY 2015-16 had considered a normative approach wherein it had considered a normative gearing of 70:30. </w:t>
      </w:r>
      <w:r w:rsidRPr="008B0C65">
        <w:rPr>
          <w:rFonts w:cstheme="minorHAnsi"/>
        </w:rPr>
        <w:t>Considering this approach, 70% of the capital expenditure undertaken in any year was considered to be financed through loan and balance 30% has been considered to be financed through equity contributions. The portion of capital expenditure financed through consumer contributions, capital subsidies and grants was separated as the depreciation and interest thereon would not be charged to the consumers.</w:t>
      </w:r>
    </w:p>
    <w:p w:rsidR="003147B8" w:rsidRPr="00C60AD1" w:rsidRDefault="007320D7" w:rsidP="00C60AD1">
      <w:pPr>
        <w:pStyle w:val="Heading3"/>
        <w:tabs>
          <w:tab w:val="clear" w:pos="720"/>
        </w:tabs>
        <w:spacing w:after="240"/>
        <w:ind w:left="993" w:hanging="993"/>
        <w:rPr>
          <w:bCs w:val="0"/>
          <w:szCs w:val="22"/>
        </w:rPr>
      </w:pPr>
      <w:r w:rsidRPr="00C60AD1">
        <w:t>Based on the above, the depre</w:t>
      </w:r>
      <w:r w:rsidR="008A1A72" w:rsidRPr="00C60AD1">
        <w:rPr>
          <w:bCs w:val="0"/>
          <w:szCs w:val="22"/>
        </w:rPr>
        <w:t>ciation as claimed by the Petitioner for FY 20</w:t>
      </w:r>
      <w:r w:rsidR="0022393E" w:rsidRPr="00C60AD1">
        <w:rPr>
          <w:bCs w:val="0"/>
          <w:szCs w:val="22"/>
        </w:rPr>
        <w:t>1</w:t>
      </w:r>
      <w:r w:rsidR="004E5ECC">
        <w:rPr>
          <w:bCs w:val="0"/>
          <w:szCs w:val="22"/>
        </w:rPr>
        <w:t>3</w:t>
      </w:r>
      <w:r w:rsidR="0022393E" w:rsidRPr="00C60AD1">
        <w:rPr>
          <w:bCs w:val="0"/>
          <w:szCs w:val="22"/>
        </w:rPr>
        <w:t>-1</w:t>
      </w:r>
      <w:r w:rsidR="004E5ECC">
        <w:rPr>
          <w:bCs w:val="0"/>
          <w:szCs w:val="22"/>
        </w:rPr>
        <w:t>4</w:t>
      </w:r>
      <w:r w:rsidR="008A1A72" w:rsidRPr="00C60AD1">
        <w:rPr>
          <w:bCs w:val="0"/>
          <w:szCs w:val="22"/>
        </w:rPr>
        <w:t xml:space="preserve"> is shown in the Table below:</w:t>
      </w:r>
    </w:p>
    <w:p w:rsidR="003147B8" w:rsidRPr="00C60AD1" w:rsidRDefault="008A1A72" w:rsidP="00C60AD1">
      <w:pPr>
        <w:spacing w:before="0"/>
        <w:jc w:val="center"/>
        <w:rPr>
          <w:rFonts w:cs="Calibri"/>
          <w:b/>
          <w:sz w:val="22"/>
          <w:szCs w:val="22"/>
          <w:lang w:val="en-US"/>
        </w:rPr>
      </w:pPr>
      <w:bookmarkStart w:id="287" w:name="_Toc352568446"/>
      <w:bookmarkStart w:id="288" w:name="_Toc356913193"/>
      <w:bookmarkStart w:id="289" w:name="_Toc394490646"/>
      <w:bookmarkStart w:id="290" w:name="_Toc457355619"/>
      <w:r w:rsidRPr="00C60AD1">
        <w:rPr>
          <w:rFonts w:cs="Calibri"/>
          <w:b/>
          <w:sz w:val="22"/>
          <w:szCs w:val="22"/>
          <w:lang w:val="en-US"/>
        </w:rPr>
        <w:t xml:space="preserve">Table </w:t>
      </w:r>
      <w:r w:rsidR="004A2D9E" w:rsidRPr="00C60AD1">
        <w:rPr>
          <w:rFonts w:cs="Calibri"/>
          <w:b/>
          <w:sz w:val="22"/>
          <w:szCs w:val="22"/>
          <w:lang w:val="en-US"/>
        </w:rPr>
        <w:fldChar w:fldCharType="begin"/>
      </w:r>
      <w:r w:rsidR="00B94C76"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007320D7" w:rsidRPr="00C60AD1">
        <w:rPr>
          <w:rFonts w:cs="Calibri"/>
          <w:b/>
          <w:sz w:val="22"/>
          <w:szCs w:val="22"/>
          <w:lang w:val="en-US"/>
        </w:rPr>
        <w:noBreakHyphen/>
      </w:r>
      <w:r w:rsidR="004A2D9E" w:rsidRPr="00C60AD1">
        <w:rPr>
          <w:rFonts w:cs="Calibri"/>
          <w:b/>
          <w:sz w:val="22"/>
          <w:szCs w:val="22"/>
          <w:lang w:val="en-US"/>
        </w:rPr>
        <w:fldChar w:fldCharType="begin"/>
      </w:r>
      <w:r w:rsidR="00B94C76"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18</w:t>
      </w:r>
      <w:r w:rsidR="004A2D9E" w:rsidRPr="00C60AD1">
        <w:rPr>
          <w:rFonts w:cs="Calibri"/>
          <w:b/>
          <w:sz w:val="22"/>
          <w:szCs w:val="22"/>
          <w:lang w:val="en-US"/>
        </w:rPr>
        <w:fldChar w:fldCharType="end"/>
      </w:r>
      <w:r w:rsidR="007320D7" w:rsidRPr="00C60AD1">
        <w:rPr>
          <w:rFonts w:cs="Calibri"/>
          <w:b/>
          <w:sz w:val="22"/>
          <w:szCs w:val="22"/>
          <w:lang w:val="en-US"/>
        </w:rPr>
        <w:t>: DEPRECIATION CLAIMED BY LICENSEE FOR FY 20</w:t>
      </w:r>
      <w:r w:rsidR="005E63C1" w:rsidRPr="00C60AD1">
        <w:rPr>
          <w:rFonts w:cs="Calibri"/>
          <w:b/>
          <w:sz w:val="22"/>
          <w:szCs w:val="22"/>
          <w:lang w:val="en-US"/>
        </w:rPr>
        <w:t>1</w:t>
      </w:r>
      <w:r w:rsidR="00575C73">
        <w:rPr>
          <w:rFonts w:cs="Calibri"/>
          <w:b/>
          <w:sz w:val="22"/>
          <w:szCs w:val="22"/>
          <w:lang w:val="en-US"/>
        </w:rPr>
        <w:t>3</w:t>
      </w:r>
      <w:r w:rsidR="005E63C1" w:rsidRPr="00C60AD1">
        <w:rPr>
          <w:rFonts w:cs="Calibri"/>
          <w:b/>
          <w:sz w:val="22"/>
          <w:szCs w:val="22"/>
          <w:lang w:val="en-US"/>
        </w:rPr>
        <w:t>-1</w:t>
      </w:r>
      <w:r w:rsidR="00575C73">
        <w:rPr>
          <w:rFonts w:cs="Calibri"/>
          <w:b/>
          <w:sz w:val="22"/>
          <w:szCs w:val="22"/>
          <w:lang w:val="en-US"/>
        </w:rPr>
        <w:t>4</w:t>
      </w:r>
      <w:r w:rsidRPr="00C60AD1">
        <w:rPr>
          <w:rFonts w:cs="Calibri"/>
          <w:b/>
          <w:sz w:val="22"/>
          <w:szCs w:val="22"/>
          <w:lang w:val="en-US"/>
        </w:rPr>
        <w:t xml:space="preserve"> (Rs. Crore)</w:t>
      </w:r>
      <w:bookmarkEnd w:id="287"/>
      <w:bookmarkEnd w:id="288"/>
      <w:bookmarkEnd w:id="289"/>
      <w:bookmarkEnd w:id="290"/>
    </w:p>
    <w:tbl>
      <w:tblPr>
        <w:tblW w:w="1028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16"/>
        <w:gridCol w:w="1170"/>
        <w:gridCol w:w="1217"/>
        <w:gridCol w:w="1249"/>
        <w:gridCol w:w="1340"/>
        <w:gridCol w:w="1394"/>
        <w:gridCol w:w="1394"/>
      </w:tblGrid>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Particulars</w:t>
            </w:r>
          </w:p>
        </w:tc>
        <w:tc>
          <w:tcPr>
            <w:tcW w:w="1170"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Opening GFA</w:t>
            </w:r>
          </w:p>
        </w:tc>
        <w:tc>
          <w:tcPr>
            <w:tcW w:w="1217"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Additions to GFA</w:t>
            </w:r>
          </w:p>
        </w:tc>
        <w:tc>
          <w:tcPr>
            <w:tcW w:w="1249"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Deductions to GFA</w:t>
            </w:r>
          </w:p>
        </w:tc>
        <w:tc>
          <w:tcPr>
            <w:tcW w:w="1340"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Closing GFA</w:t>
            </w:r>
          </w:p>
        </w:tc>
        <w:tc>
          <w:tcPr>
            <w:tcW w:w="1394"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sidRPr="00116E39">
              <w:rPr>
                <w:rFonts w:asciiTheme="minorHAnsi" w:hAnsiTheme="minorHAnsi" w:cs="Calibri"/>
                <w:b/>
                <w:bCs/>
                <w:color w:val="000000"/>
                <w:sz w:val="22"/>
                <w:szCs w:val="22"/>
                <w:lang w:val="en-IN" w:eastAsia="en-IN"/>
              </w:rPr>
              <w:t>Depreciation Rates considered</w:t>
            </w:r>
          </w:p>
        </w:tc>
        <w:tc>
          <w:tcPr>
            <w:tcW w:w="1394" w:type="dxa"/>
            <w:tcBorders>
              <w:top w:val="dotted" w:sz="4" w:space="0" w:color="auto"/>
              <w:left w:val="dotted" w:sz="4" w:space="0" w:color="auto"/>
              <w:bottom w:val="dotted" w:sz="4" w:space="0" w:color="auto"/>
              <w:right w:val="dotted" w:sz="4" w:space="0" w:color="auto"/>
            </w:tcBorders>
            <w:shd w:val="clear" w:color="auto" w:fill="DBE5F1" w:themeFill="accent1" w:themeFillTint="33"/>
            <w:hideMark/>
          </w:tcPr>
          <w:p w:rsidR="00116E39" w:rsidRPr="00116E39" w:rsidRDefault="00116E39" w:rsidP="00116E39">
            <w:pPr>
              <w:jc w:val="center"/>
              <w:rPr>
                <w:rFonts w:asciiTheme="minorHAnsi" w:hAnsiTheme="minorHAnsi" w:cs="Calibri"/>
                <w:b/>
                <w:bCs/>
                <w:color w:val="000000"/>
                <w:sz w:val="22"/>
                <w:szCs w:val="22"/>
                <w:lang w:val="en-IN" w:eastAsia="en-IN"/>
              </w:rPr>
            </w:pPr>
            <w:r>
              <w:rPr>
                <w:rFonts w:asciiTheme="minorHAnsi" w:hAnsiTheme="minorHAnsi" w:cs="Calibri"/>
                <w:b/>
                <w:bCs/>
                <w:color w:val="000000"/>
                <w:sz w:val="22"/>
                <w:szCs w:val="22"/>
                <w:lang w:val="en-IN" w:eastAsia="en-IN"/>
              </w:rPr>
              <w:t>Permissible</w:t>
            </w:r>
            <w:r w:rsidRPr="00116E39">
              <w:rPr>
                <w:rFonts w:asciiTheme="minorHAnsi" w:hAnsiTheme="minorHAnsi" w:cs="Calibri"/>
                <w:b/>
                <w:bCs/>
                <w:color w:val="000000"/>
                <w:sz w:val="22"/>
                <w:szCs w:val="22"/>
                <w:lang w:val="en-IN" w:eastAsia="en-IN"/>
              </w:rPr>
              <w:t xml:space="preserve"> Depreciation</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Buildings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a. Residential Colonies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10.22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0.02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10.24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0.80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b. Office Building</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1.68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1.68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0.13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c. Building Containing at Sub-stations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17.20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0.22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17.43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1.36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Plants &amp; Machinery</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lef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a. Plant &amp; Machinery</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161.91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10.77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172.68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13.12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lef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b.</w:t>
            </w:r>
            <w:r w:rsidR="008D583E">
              <w:rPr>
                <w:rFonts w:asciiTheme="minorHAnsi" w:hAnsiTheme="minorHAnsi" w:cs="Calibri"/>
                <w:bCs/>
                <w:color w:val="000000"/>
                <w:sz w:val="22"/>
                <w:szCs w:val="22"/>
                <w:lang w:val="en-IN" w:eastAsia="en-IN"/>
              </w:rPr>
              <w:t xml:space="preserve"> </w:t>
            </w:r>
            <w:r w:rsidRPr="00023318">
              <w:rPr>
                <w:rFonts w:asciiTheme="minorHAnsi" w:hAnsiTheme="minorHAnsi" w:cs="Calibri"/>
                <w:bCs/>
                <w:color w:val="000000"/>
                <w:sz w:val="22"/>
                <w:szCs w:val="22"/>
                <w:lang w:val="en-IN" w:eastAsia="en-IN"/>
              </w:rPr>
              <w:t>Lines, Cables, Networks etc.</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377.74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18.46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396.21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30.34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lef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c. Office Equipments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6.37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0.09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6.45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0.50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lef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d. Computers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3.39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3.17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6.56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0.39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lef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Furniture &amp; Fixtures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1.30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0.02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1.32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0.10 </w:t>
            </w:r>
          </w:p>
        </w:tc>
      </w:tr>
      <w:tr w:rsidR="00116E39"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Vehicles</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3.45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3.45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jc w:val="right"/>
              <w:rPr>
                <w:rFonts w:asciiTheme="minorHAnsi" w:hAnsiTheme="minorHAnsi" w:cs="Calibri"/>
                <w:bCs/>
                <w:color w:val="000000"/>
                <w:sz w:val="22"/>
                <w:szCs w:val="22"/>
                <w:lang w:val="en-IN" w:eastAsia="en-IN"/>
              </w:rPr>
            </w:pPr>
            <w:r w:rsidRPr="00023318">
              <w:rPr>
                <w:rFonts w:asciiTheme="minorHAnsi" w:hAnsiTheme="minorHAnsi" w:cs="Calibri"/>
                <w:bCs/>
                <w:color w:val="000000"/>
                <w:sz w:val="22"/>
                <w:szCs w:val="22"/>
                <w:lang w:val="en-IN" w:eastAsia="en-IN"/>
              </w:rPr>
              <w:t xml:space="preserve">0.27 </w:t>
            </w:r>
          </w:p>
        </w:tc>
      </w:tr>
      <w:tr w:rsidR="00116E39" w:rsidRPr="008D583E" w:rsidTr="00116E39">
        <w:trPr>
          <w:trHeight w:val="77"/>
          <w:jc w:val="center"/>
        </w:trPr>
        <w:tc>
          <w:tcPr>
            <w:tcW w:w="2516"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Grand Total</w:t>
            </w:r>
          </w:p>
        </w:tc>
        <w:tc>
          <w:tcPr>
            <w:tcW w:w="117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 xml:space="preserve">583.27 </w:t>
            </w:r>
          </w:p>
        </w:tc>
        <w:tc>
          <w:tcPr>
            <w:tcW w:w="1217"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 xml:space="preserve">32.75 </w:t>
            </w:r>
          </w:p>
        </w:tc>
        <w:tc>
          <w:tcPr>
            <w:tcW w:w="1249"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 xml:space="preserve">-   </w:t>
            </w:r>
          </w:p>
        </w:tc>
        <w:tc>
          <w:tcPr>
            <w:tcW w:w="1340"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 xml:space="preserve">616.02 </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7.84%</w:t>
            </w:r>
          </w:p>
        </w:tc>
        <w:tc>
          <w:tcPr>
            <w:tcW w:w="1394" w:type="dxa"/>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6901E8" w:rsidP="00023318">
            <w:pPr>
              <w:spacing w:before="0" w:line="240" w:lineRule="auto"/>
              <w:jc w:val="right"/>
              <w:rPr>
                <w:rFonts w:asciiTheme="minorHAnsi" w:hAnsiTheme="minorHAnsi" w:cs="Calibri"/>
                <w:b/>
                <w:bCs/>
                <w:color w:val="000000"/>
                <w:sz w:val="22"/>
                <w:szCs w:val="22"/>
                <w:lang w:val="en-IN" w:eastAsia="en-IN"/>
              </w:rPr>
            </w:pPr>
            <w:r w:rsidRPr="008D583E">
              <w:rPr>
                <w:rFonts w:asciiTheme="minorHAnsi" w:hAnsiTheme="minorHAnsi" w:cs="Calibri"/>
                <w:b/>
                <w:bCs/>
                <w:color w:val="000000"/>
                <w:sz w:val="22"/>
                <w:szCs w:val="22"/>
                <w:lang w:val="en-IN" w:eastAsia="en-IN"/>
              </w:rPr>
              <w:t xml:space="preserve">47.01 </w:t>
            </w:r>
          </w:p>
        </w:tc>
      </w:tr>
    </w:tbl>
    <w:p w:rsidR="006B17F5" w:rsidRPr="00325856" w:rsidRDefault="008B0C65" w:rsidP="00C60AD1">
      <w:pPr>
        <w:pStyle w:val="Heading3"/>
        <w:tabs>
          <w:tab w:val="clear" w:pos="720"/>
        </w:tabs>
        <w:ind w:left="993" w:hanging="993"/>
      </w:pPr>
      <w:r w:rsidRPr="008B0C65">
        <w:rPr>
          <w:bCs w:val="0"/>
        </w:rPr>
        <w:t>In rep</w:t>
      </w:r>
      <w:r w:rsidRPr="008B0C65">
        <w:t xml:space="preserve">ly to the Commission's query regarding claimed depreciation rate of 7.84%, the Licensee has submitted that it has considered a weighted average depreciation rate of 7.84% for the truing up in respect of FY 2013-14, which is </w:t>
      </w:r>
      <w:r w:rsidRPr="008B0C65">
        <w:lastRenderedPageBreak/>
        <w:t>in line with the rate considered by the Commission in its Tariff Order for FY 2013-14.</w:t>
      </w:r>
    </w:p>
    <w:p w:rsidR="008B50F4" w:rsidRDefault="008B0C65" w:rsidP="009D3544">
      <w:pPr>
        <w:pStyle w:val="Heading3"/>
        <w:tabs>
          <w:tab w:val="clear" w:pos="720"/>
        </w:tabs>
        <w:spacing w:after="240"/>
        <w:ind w:left="993" w:hanging="993"/>
      </w:pPr>
      <w:r w:rsidRPr="008B0C65">
        <w:t>The Commission asked the Petitioner to confirm that the cumulative depreciation in FY 201</w:t>
      </w:r>
      <w:r w:rsidR="004217CD">
        <w:t>3</w:t>
      </w:r>
      <w:r w:rsidRPr="008B0C65">
        <w:t>-1</w:t>
      </w:r>
      <w:r w:rsidR="004217CD">
        <w:t>4</w:t>
      </w:r>
      <w:r w:rsidRPr="008B0C65">
        <w:t xml:space="preserve"> is less than 90% of GFA for all assets, since assets cannot be depreciated beyond 90% of GFA in accordance with the Distribution Tariff Regulations, 2006</w:t>
      </w:r>
      <w:r w:rsidR="00C31A1A">
        <w:t>,</w:t>
      </w:r>
      <w:r w:rsidRPr="008B0C65">
        <w:t xml:space="preserve"> which the Petitioner confirmed in the reply to deficiency note.</w:t>
      </w:r>
      <w:r w:rsidR="008B50F4">
        <w:t xml:space="preserve"> </w:t>
      </w:r>
    </w:p>
    <w:p w:rsidR="00023318" w:rsidRDefault="009D3544" w:rsidP="00023318">
      <w:pPr>
        <w:pStyle w:val="Heading3"/>
        <w:tabs>
          <w:tab w:val="clear" w:pos="720"/>
        </w:tabs>
        <w:spacing w:after="240"/>
        <w:ind w:left="993" w:hanging="993"/>
      </w:pPr>
      <w:r>
        <w:t>Considering the same philosophy as adopted by the Petitioner, which is also in line with the approach followed by the Commission in the previous Truing up Order, and after verifying from the audited accounts for FY 2013-14 as submitted by the Petitioner, the net entitlement towards depreciation expenses claimed by the Petitioner and that approved by the Commission for Truing up of FY 2013-14 is shown in the Table below</w:t>
      </w:r>
    </w:p>
    <w:p w:rsidR="00023318" w:rsidRDefault="008B50F4" w:rsidP="00023318">
      <w:pPr>
        <w:pStyle w:val="Heading3"/>
        <w:tabs>
          <w:tab w:val="clear" w:pos="720"/>
        </w:tabs>
        <w:spacing w:after="240"/>
        <w:ind w:left="993" w:hanging="993"/>
      </w:pPr>
      <w:r w:rsidRPr="00A009C0">
        <w:t>Thus, the approved depreciation for FY 201</w:t>
      </w:r>
      <w:r>
        <w:t>3</w:t>
      </w:r>
      <w:r w:rsidRPr="00A009C0">
        <w:t>-1</w:t>
      </w:r>
      <w:r>
        <w:t>4</w:t>
      </w:r>
      <w:r w:rsidRPr="00A009C0">
        <w:t xml:space="preserve"> is as shown in the Table given below:</w:t>
      </w:r>
    </w:p>
    <w:p w:rsidR="003147B8" w:rsidRPr="00C60AD1" w:rsidRDefault="007320D7" w:rsidP="00C60AD1">
      <w:pPr>
        <w:spacing w:before="0"/>
        <w:jc w:val="center"/>
        <w:rPr>
          <w:rFonts w:cs="Calibri"/>
          <w:b/>
          <w:sz w:val="22"/>
          <w:szCs w:val="22"/>
          <w:lang w:val="en-US"/>
        </w:rPr>
      </w:pPr>
      <w:bookmarkStart w:id="291" w:name="_Toc394490647"/>
      <w:bookmarkStart w:id="292" w:name="_Toc457355620"/>
      <w:r w:rsidRPr="00C60AD1">
        <w:rPr>
          <w:rFonts w:cs="Calibri"/>
          <w:b/>
          <w:sz w:val="22"/>
          <w:szCs w:val="22"/>
          <w:lang w:val="en-US"/>
        </w:rPr>
        <w:t xml:space="preserve">Table </w:t>
      </w:r>
      <w:r w:rsidR="004A2D9E" w:rsidRPr="00C60AD1">
        <w:rPr>
          <w:rFonts w:cs="Calibri"/>
          <w:b/>
          <w:sz w:val="22"/>
          <w:szCs w:val="22"/>
          <w:lang w:val="en-US"/>
        </w:rPr>
        <w:fldChar w:fldCharType="begin"/>
      </w:r>
      <w:r w:rsidR="008A1A72"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008A1A72"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19</w:t>
      </w:r>
      <w:r w:rsidR="004A2D9E" w:rsidRPr="00C60AD1">
        <w:rPr>
          <w:rFonts w:cs="Calibri"/>
          <w:b/>
          <w:sz w:val="22"/>
          <w:szCs w:val="22"/>
          <w:lang w:val="en-US"/>
        </w:rPr>
        <w:fldChar w:fldCharType="end"/>
      </w:r>
      <w:r w:rsidRPr="00C60AD1">
        <w:rPr>
          <w:rFonts w:cs="Calibri"/>
          <w:b/>
          <w:sz w:val="22"/>
          <w:szCs w:val="22"/>
          <w:lang w:val="en-US"/>
        </w:rPr>
        <w:t>: DEPRECIATION EXPENSES FOR FY 20</w:t>
      </w:r>
      <w:r w:rsidR="008A1A72" w:rsidRPr="00C60AD1">
        <w:rPr>
          <w:rFonts w:cs="Calibri"/>
          <w:b/>
          <w:sz w:val="22"/>
          <w:szCs w:val="22"/>
          <w:lang w:val="en-US"/>
        </w:rPr>
        <w:t>1</w:t>
      </w:r>
      <w:r w:rsidR="0032537E">
        <w:rPr>
          <w:rFonts w:cs="Calibri"/>
          <w:b/>
          <w:sz w:val="22"/>
          <w:szCs w:val="22"/>
          <w:lang w:val="en-US"/>
        </w:rPr>
        <w:t>3</w:t>
      </w:r>
      <w:r w:rsidR="008A1A72" w:rsidRPr="00C60AD1">
        <w:rPr>
          <w:rFonts w:cs="Calibri"/>
          <w:b/>
          <w:sz w:val="22"/>
          <w:szCs w:val="22"/>
          <w:lang w:val="en-US"/>
        </w:rPr>
        <w:t>-1</w:t>
      </w:r>
      <w:r w:rsidR="0032537E">
        <w:rPr>
          <w:rFonts w:cs="Calibri"/>
          <w:b/>
          <w:sz w:val="22"/>
          <w:szCs w:val="22"/>
          <w:lang w:val="en-US"/>
        </w:rPr>
        <w:t>4</w:t>
      </w:r>
      <w:r w:rsidR="008A1A72" w:rsidRPr="00C60AD1">
        <w:rPr>
          <w:rFonts w:cs="Calibri"/>
          <w:b/>
          <w:sz w:val="22"/>
          <w:szCs w:val="22"/>
          <w:lang w:val="en-US"/>
        </w:rPr>
        <w:t xml:space="preserve"> (Rs. Crore)</w:t>
      </w:r>
      <w:bookmarkEnd w:id="291"/>
      <w:bookmarkEnd w:id="292"/>
    </w:p>
    <w:tbl>
      <w:tblPr>
        <w:tblW w:w="0" w:type="auto"/>
        <w:tblInd w:w="103" w:type="dxa"/>
        <w:tblLayout w:type="fixed"/>
        <w:tblLook w:val="04A0"/>
      </w:tblPr>
      <w:tblGrid>
        <w:gridCol w:w="3124"/>
        <w:gridCol w:w="992"/>
        <w:gridCol w:w="1739"/>
        <w:gridCol w:w="1350"/>
        <w:gridCol w:w="1577"/>
      </w:tblGrid>
      <w:tr w:rsidR="0067709C" w:rsidRPr="00417249" w:rsidTr="008D583E">
        <w:trPr>
          <w:trHeight w:val="900"/>
          <w:tblHeader/>
        </w:trPr>
        <w:tc>
          <w:tcPr>
            <w:tcW w:w="3124" w:type="dxa"/>
            <w:tcBorders>
              <w:top w:val="dotted" w:sz="4" w:space="0" w:color="auto"/>
              <w:left w:val="dotted" w:sz="4" w:space="0" w:color="auto"/>
              <w:bottom w:val="dotted" w:sz="4" w:space="0" w:color="auto"/>
              <w:right w:val="dotted" w:sz="4" w:space="0" w:color="auto"/>
            </w:tcBorders>
            <w:shd w:val="clear" w:color="000000" w:fill="DBE5F1"/>
            <w:noWrap/>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992"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Tariff Order</w:t>
            </w:r>
          </w:p>
        </w:tc>
        <w:tc>
          <w:tcPr>
            <w:tcW w:w="1739"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350"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577" w:type="dxa"/>
            <w:tcBorders>
              <w:top w:val="dotted" w:sz="4" w:space="0" w:color="auto"/>
              <w:left w:val="nil"/>
              <w:bottom w:val="dotted" w:sz="4" w:space="0" w:color="auto"/>
              <w:right w:val="dotted" w:sz="4" w:space="0" w:color="auto"/>
            </w:tcBorders>
            <w:shd w:val="clear" w:color="000000" w:fill="DBE5F1"/>
            <w:hideMark/>
          </w:tcPr>
          <w:p w:rsidR="0067709C" w:rsidRPr="00417249" w:rsidRDefault="00027D0D" w:rsidP="00C60AD1">
            <w:pPr>
              <w:spacing w:before="0" w:line="240" w:lineRule="auto"/>
              <w:jc w:val="center"/>
              <w:rPr>
                <w:rFonts w:asciiTheme="minorHAnsi" w:hAnsiTheme="minorHAnsi"/>
                <w:b/>
                <w:bCs/>
                <w:color w:val="000000"/>
                <w:sz w:val="22"/>
                <w:szCs w:val="22"/>
                <w:lang w:val="en-IN" w:eastAsia="en-IN"/>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BC7B74" w:rsidRPr="00417249" w:rsidTr="008D583E">
        <w:trPr>
          <w:trHeight w:val="300"/>
        </w:trPr>
        <w:tc>
          <w:tcPr>
            <w:tcW w:w="3124" w:type="dxa"/>
            <w:tcBorders>
              <w:top w:val="nil"/>
              <w:left w:val="dotted" w:sz="4" w:space="0" w:color="auto"/>
              <w:bottom w:val="dotted" w:sz="4" w:space="0" w:color="auto"/>
              <w:right w:val="dotted" w:sz="4" w:space="0" w:color="auto"/>
            </w:tcBorders>
            <w:shd w:val="clear" w:color="auto" w:fill="auto"/>
            <w:noWrap/>
            <w:vAlign w:val="bottom"/>
            <w:hideMark/>
          </w:tcPr>
          <w:p w:rsidR="009D3544" w:rsidRDefault="009D3544">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Depreciation</w:t>
            </w:r>
          </w:p>
        </w:tc>
        <w:tc>
          <w:tcPr>
            <w:tcW w:w="992" w:type="dxa"/>
            <w:tcBorders>
              <w:top w:val="nil"/>
              <w:left w:val="nil"/>
              <w:bottom w:val="dotted" w:sz="4" w:space="0" w:color="auto"/>
              <w:right w:val="dotted" w:sz="4" w:space="0" w:color="auto"/>
            </w:tcBorders>
            <w:shd w:val="clear" w:color="000000" w:fill="FFFFFF"/>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51.43</w:t>
            </w:r>
          </w:p>
        </w:tc>
        <w:tc>
          <w:tcPr>
            <w:tcW w:w="1739" w:type="dxa"/>
            <w:tcBorders>
              <w:top w:val="nil"/>
              <w:left w:val="nil"/>
              <w:bottom w:val="dotted" w:sz="4" w:space="0" w:color="auto"/>
              <w:right w:val="dotted" w:sz="4" w:space="0" w:color="auto"/>
            </w:tcBorders>
            <w:shd w:val="clear" w:color="000000" w:fill="FFFFFF"/>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27.98</w:t>
            </w:r>
          </w:p>
        </w:tc>
        <w:tc>
          <w:tcPr>
            <w:tcW w:w="1350"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47.01</w:t>
            </w:r>
          </w:p>
        </w:tc>
        <w:tc>
          <w:tcPr>
            <w:tcW w:w="1577"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47.01</w:t>
            </w:r>
          </w:p>
        </w:tc>
      </w:tr>
      <w:tr w:rsidR="00BC7B74" w:rsidRPr="00417249" w:rsidTr="008D583E">
        <w:trPr>
          <w:trHeight w:val="1200"/>
        </w:trPr>
        <w:tc>
          <w:tcPr>
            <w:tcW w:w="3124" w:type="dxa"/>
            <w:tcBorders>
              <w:top w:val="nil"/>
              <w:left w:val="dotted" w:sz="4" w:space="0" w:color="auto"/>
              <w:bottom w:val="dotted" w:sz="4" w:space="0" w:color="auto"/>
              <w:right w:val="dotted" w:sz="4" w:space="0" w:color="auto"/>
            </w:tcBorders>
            <w:shd w:val="clear" w:color="auto" w:fill="auto"/>
            <w:vAlign w:val="bottom"/>
            <w:hideMark/>
          </w:tcPr>
          <w:p w:rsidR="009D3544" w:rsidRDefault="009D3544">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Less: Equivalent amount of depreciation on assets acquired out of the consumer contribution and GoUP Subsidy</w:t>
            </w:r>
          </w:p>
        </w:tc>
        <w:tc>
          <w:tcPr>
            <w:tcW w:w="992" w:type="dxa"/>
            <w:tcBorders>
              <w:top w:val="nil"/>
              <w:left w:val="nil"/>
              <w:bottom w:val="dotted" w:sz="4" w:space="0" w:color="auto"/>
              <w:right w:val="dotted" w:sz="4" w:space="0" w:color="auto"/>
            </w:tcBorders>
            <w:shd w:val="clear" w:color="000000" w:fill="FFFFFF"/>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18.89</w:t>
            </w:r>
          </w:p>
        </w:tc>
        <w:tc>
          <w:tcPr>
            <w:tcW w:w="1739" w:type="dxa"/>
            <w:tcBorders>
              <w:top w:val="nil"/>
              <w:left w:val="nil"/>
              <w:bottom w:val="dotted" w:sz="4" w:space="0" w:color="auto"/>
              <w:right w:val="dotted" w:sz="4" w:space="0" w:color="auto"/>
            </w:tcBorders>
            <w:shd w:val="clear" w:color="000000" w:fill="FFFFFF"/>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10.22</w:t>
            </w:r>
          </w:p>
        </w:tc>
        <w:tc>
          <w:tcPr>
            <w:tcW w:w="1350"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10.22</w:t>
            </w:r>
          </w:p>
        </w:tc>
        <w:tc>
          <w:tcPr>
            <w:tcW w:w="1577"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10.22</w:t>
            </w:r>
          </w:p>
        </w:tc>
      </w:tr>
      <w:tr w:rsidR="00BC7B74" w:rsidRPr="00417249" w:rsidTr="008D583E">
        <w:trPr>
          <w:trHeight w:val="263"/>
        </w:trPr>
        <w:tc>
          <w:tcPr>
            <w:tcW w:w="3124" w:type="dxa"/>
            <w:tcBorders>
              <w:top w:val="nil"/>
              <w:left w:val="dotted" w:sz="4" w:space="0" w:color="auto"/>
              <w:bottom w:val="dotted" w:sz="4" w:space="0" w:color="auto"/>
              <w:right w:val="dotted" w:sz="4" w:space="0" w:color="auto"/>
            </w:tcBorders>
            <w:shd w:val="clear" w:color="auto" w:fill="auto"/>
            <w:vAlign w:val="bottom"/>
            <w:hideMark/>
          </w:tcPr>
          <w:p w:rsidR="009D3544" w:rsidRDefault="009D3544">
            <w:pPr>
              <w:spacing w:before="0" w:line="240" w:lineRule="auto"/>
              <w:rPr>
                <w:rFonts w:asciiTheme="minorHAnsi" w:hAnsiTheme="minorHAnsi"/>
                <w:color w:val="000000"/>
                <w:sz w:val="22"/>
                <w:szCs w:val="22"/>
                <w:lang w:val="en-IN" w:eastAsia="en-IN"/>
              </w:rPr>
            </w:pPr>
            <w:r w:rsidRPr="00027D0D">
              <w:rPr>
                <w:rFonts w:asciiTheme="minorHAnsi" w:hAnsiTheme="minorHAnsi"/>
                <w:b/>
                <w:bCs/>
                <w:color w:val="000000"/>
                <w:sz w:val="22"/>
                <w:szCs w:val="22"/>
                <w:lang w:val="en-IN" w:eastAsia="en-IN"/>
              </w:rPr>
              <w:t>Net</w:t>
            </w:r>
            <w:r w:rsidR="008D583E">
              <w:rPr>
                <w:rFonts w:asciiTheme="minorHAnsi" w:hAnsiTheme="minorHAnsi"/>
                <w:b/>
                <w:bCs/>
                <w:color w:val="000000"/>
                <w:sz w:val="22"/>
                <w:szCs w:val="22"/>
                <w:lang w:val="en-IN" w:eastAsia="en-IN"/>
              </w:rPr>
              <w:t xml:space="preserve"> </w:t>
            </w:r>
            <w:r w:rsidRPr="00027D0D">
              <w:rPr>
                <w:rFonts w:asciiTheme="minorHAnsi" w:hAnsiTheme="minorHAnsi"/>
                <w:b/>
                <w:bCs/>
                <w:color w:val="000000"/>
                <w:sz w:val="22"/>
                <w:szCs w:val="22"/>
                <w:lang w:val="en-IN" w:eastAsia="en-IN"/>
              </w:rPr>
              <w:t>Allowable Depreciation</w:t>
            </w:r>
          </w:p>
        </w:tc>
        <w:tc>
          <w:tcPr>
            <w:tcW w:w="992"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rPr>
            </w:pPr>
            <w:r w:rsidRPr="00023318">
              <w:rPr>
                <w:rFonts w:asciiTheme="minorHAnsi" w:hAnsiTheme="minorHAnsi" w:cs="Arial"/>
                <w:b/>
                <w:bCs/>
                <w:color w:val="000000"/>
                <w:sz w:val="22"/>
                <w:szCs w:val="22"/>
              </w:rPr>
              <w:t>32.55</w:t>
            </w:r>
          </w:p>
        </w:tc>
        <w:tc>
          <w:tcPr>
            <w:tcW w:w="1739"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rPr>
            </w:pPr>
            <w:r w:rsidRPr="00023318">
              <w:rPr>
                <w:rFonts w:asciiTheme="minorHAnsi" w:hAnsiTheme="minorHAnsi" w:cs="Arial"/>
                <w:b/>
                <w:bCs/>
                <w:color w:val="000000"/>
                <w:sz w:val="22"/>
                <w:szCs w:val="22"/>
              </w:rPr>
              <w:t>17.76</w:t>
            </w:r>
          </w:p>
        </w:tc>
        <w:tc>
          <w:tcPr>
            <w:tcW w:w="1350"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rPr>
            </w:pPr>
            <w:r w:rsidRPr="00023318">
              <w:rPr>
                <w:rFonts w:asciiTheme="minorHAnsi" w:hAnsiTheme="minorHAnsi" w:cs="Arial"/>
                <w:b/>
                <w:bCs/>
                <w:color w:val="000000"/>
                <w:sz w:val="22"/>
                <w:szCs w:val="22"/>
              </w:rPr>
              <w:t>36.80</w:t>
            </w:r>
          </w:p>
        </w:tc>
        <w:tc>
          <w:tcPr>
            <w:tcW w:w="1577" w:type="dxa"/>
            <w:tcBorders>
              <w:top w:val="nil"/>
              <w:left w:val="nil"/>
              <w:bottom w:val="dotted" w:sz="4" w:space="0" w:color="auto"/>
              <w:right w:val="dotted" w:sz="4" w:space="0" w:color="auto"/>
            </w:tcBorders>
            <w:shd w:val="clear" w:color="auto" w:fill="auto"/>
            <w:noWrap/>
            <w:vAlign w:val="center"/>
            <w:hideMark/>
          </w:tcPr>
          <w:p w:rsidR="009D3544" w:rsidRPr="009D3544" w:rsidRDefault="00023318" w:rsidP="009D3544">
            <w:pPr>
              <w:spacing w:before="0" w:line="240" w:lineRule="auto"/>
              <w:jc w:val="right"/>
              <w:rPr>
                <w:rFonts w:asciiTheme="minorHAnsi" w:hAnsiTheme="minorHAnsi"/>
                <w:color w:val="000000"/>
                <w:sz w:val="22"/>
                <w:szCs w:val="22"/>
              </w:rPr>
            </w:pPr>
            <w:r w:rsidRPr="00023318">
              <w:rPr>
                <w:rFonts w:asciiTheme="minorHAnsi" w:hAnsiTheme="minorHAnsi" w:cs="Arial"/>
                <w:b/>
                <w:bCs/>
                <w:color w:val="000000"/>
                <w:sz w:val="22"/>
                <w:szCs w:val="22"/>
              </w:rPr>
              <w:t>36.80</w:t>
            </w:r>
          </w:p>
        </w:tc>
      </w:tr>
    </w:tbl>
    <w:p w:rsidR="000A4645" w:rsidRPr="00C60AD1" w:rsidRDefault="000A4645" w:rsidP="00C60AD1">
      <w:pPr>
        <w:spacing w:line="240" w:lineRule="auto"/>
        <w:jc w:val="left"/>
        <w:rPr>
          <w:rFonts w:asciiTheme="minorHAnsi" w:hAnsiTheme="minorHAnsi" w:cs="Calibri"/>
          <w:b/>
          <w:bCs/>
          <w:color w:val="000000"/>
          <w:szCs w:val="26"/>
          <w:lang w:val="en-US"/>
        </w:rPr>
      </w:pPr>
      <w:bookmarkStart w:id="293" w:name="_Toc352568754"/>
      <w:bookmarkStart w:id="294" w:name="_Toc356913003"/>
    </w:p>
    <w:p w:rsidR="003147B8" w:rsidRPr="00C60AD1" w:rsidRDefault="0022393E" w:rsidP="00C60AD1">
      <w:pPr>
        <w:pStyle w:val="Heading2"/>
        <w:rPr>
          <w:rFonts w:cs="Calibri"/>
          <w:szCs w:val="26"/>
          <w:lang w:val="en-US"/>
        </w:rPr>
      </w:pPr>
      <w:bookmarkStart w:id="295" w:name="_Toc457355479"/>
      <w:r w:rsidRPr="00C60AD1">
        <w:rPr>
          <w:rFonts w:cs="Calibri"/>
          <w:szCs w:val="26"/>
          <w:lang w:val="en-US"/>
        </w:rPr>
        <w:t>PRIOR PERIOD EXPENSES</w:t>
      </w:r>
      <w:bookmarkEnd w:id="293"/>
      <w:bookmarkEnd w:id="294"/>
      <w:bookmarkEnd w:id="295"/>
    </w:p>
    <w:p w:rsidR="003147B8" w:rsidRPr="00C60AD1" w:rsidRDefault="003147B8" w:rsidP="00C60AD1">
      <w:pPr>
        <w:pStyle w:val="Heading3"/>
        <w:tabs>
          <w:tab w:val="clear" w:pos="720"/>
        </w:tabs>
        <w:spacing w:after="240"/>
        <w:ind w:left="993" w:hanging="993"/>
      </w:pPr>
      <w:r w:rsidRPr="00C60AD1">
        <w:t>The Petitioner submitted that the financial statements of the Petitioner are prepared in compliance with Generally Accepted Accounting Principles (GAAP) and Accounting Standards issued by Accounting Standards Board of Institute of Chartered Accountants of India. There are certain prior period items, which have been identified and incorporated in the audited financial statements for FY 20</w:t>
      </w:r>
      <w:r w:rsidR="00B35D63" w:rsidRPr="00C60AD1">
        <w:t>1</w:t>
      </w:r>
      <w:r w:rsidR="003E7393">
        <w:t>3</w:t>
      </w:r>
      <w:r w:rsidR="00B35D63" w:rsidRPr="00C60AD1">
        <w:t>-1</w:t>
      </w:r>
      <w:r w:rsidR="003E7393">
        <w:t>4</w:t>
      </w:r>
      <w:r w:rsidRPr="00C60AD1">
        <w:t>. Accounting Standard (AS 5) (Revised) on ‘Net Profit or Loss for the Period, Prior Period Items and Changes in Accounting Policies’ states:</w:t>
      </w:r>
    </w:p>
    <w:p w:rsidR="003147B8" w:rsidRPr="00C60AD1" w:rsidRDefault="003147B8" w:rsidP="00C60AD1">
      <w:pPr>
        <w:spacing w:before="240" w:after="200"/>
        <w:ind w:left="1440" w:firstLine="60"/>
        <w:rPr>
          <w:i/>
          <w:szCs w:val="22"/>
          <w:lang w:val="en-US"/>
        </w:rPr>
      </w:pPr>
      <w:r w:rsidRPr="00C60AD1">
        <w:rPr>
          <w:i/>
          <w:szCs w:val="22"/>
          <w:lang w:val="en-US"/>
        </w:rPr>
        <w:lastRenderedPageBreak/>
        <w:t>“Prior period items are income or expenses which arise in the current period as a result of errors or omissions in the preparation of the financial statements of one or more prior periods”</w:t>
      </w:r>
    </w:p>
    <w:p w:rsidR="00B35D63" w:rsidRPr="00C60AD1" w:rsidRDefault="003147B8" w:rsidP="00C60AD1">
      <w:pPr>
        <w:pStyle w:val="Heading3"/>
        <w:tabs>
          <w:tab w:val="clear" w:pos="720"/>
        </w:tabs>
        <w:spacing w:after="240"/>
        <w:ind w:left="993" w:hanging="993"/>
      </w:pPr>
      <w:r w:rsidRPr="00C60AD1">
        <w:t>The Petitioner has submitted that it has recognized Rs</w:t>
      </w:r>
      <w:r w:rsidR="00250C97" w:rsidRPr="00C60AD1">
        <w:t xml:space="preserve">. </w:t>
      </w:r>
      <w:r w:rsidR="00BC7B74">
        <w:t>45.80</w:t>
      </w:r>
      <w:r w:rsidR="008071F3">
        <w:t xml:space="preserve"> </w:t>
      </w:r>
      <w:r w:rsidRPr="00C60AD1">
        <w:t xml:space="preserve">Crore of prior period </w:t>
      </w:r>
      <w:r w:rsidR="0072635C">
        <w:t xml:space="preserve">income and Rs. </w:t>
      </w:r>
      <w:r w:rsidR="00BC7B74">
        <w:t>4.43</w:t>
      </w:r>
      <w:r w:rsidR="0072635C">
        <w:t xml:space="preserve"> Crore of prior period expense</w:t>
      </w:r>
      <w:r w:rsidR="008071F3">
        <w:t xml:space="preserve"> </w:t>
      </w:r>
      <w:r w:rsidRPr="00C60AD1">
        <w:t>in the audited financial statements for FY 20</w:t>
      </w:r>
      <w:r w:rsidR="004E0A69" w:rsidRPr="00C60AD1">
        <w:t>1</w:t>
      </w:r>
      <w:r w:rsidR="003E7393">
        <w:t>3</w:t>
      </w:r>
      <w:r w:rsidR="004E0A69" w:rsidRPr="00C60AD1">
        <w:t>-1</w:t>
      </w:r>
      <w:r w:rsidR="003E7393">
        <w:t>4</w:t>
      </w:r>
      <w:r w:rsidR="009F64FE">
        <w:t xml:space="preserve">, thereby the </w:t>
      </w:r>
      <w:r w:rsidR="008D583E">
        <w:t>net prior period income</w:t>
      </w:r>
      <w:r w:rsidR="009F64FE">
        <w:t xml:space="preserve"> amounts to Rs. </w:t>
      </w:r>
      <w:r w:rsidR="00BC7B74">
        <w:t>41.37</w:t>
      </w:r>
      <w:r w:rsidR="009F64FE">
        <w:t xml:space="preserve"> Crore.</w:t>
      </w:r>
    </w:p>
    <w:p w:rsidR="002B7562" w:rsidRPr="00C60AD1" w:rsidRDefault="007320D7" w:rsidP="00C60AD1">
      <w:pPr>
        <w:pStyle w:val="Heading3"/>
        <w:tabs>
          <w:tab w:val="clear" w:pos="720"/>
        </w:tabs>
        <w:spacing w:after="240"/>
        <w:ind w:left="993" w:hanging="993"/>
        <w:rPr>
          <w:color w:val="FF0000"/>
        </w:rPr>
      </w:pPr>
      <w:bookmarkStart w:id="296" w:name="_Toc396898520"/>
      <w:bookmarkStart w:id="297" w:name="_Toc396946201"/>
      <w:bookmarkStart w:id="298" w:name="_Toc396946382"/>
      <w:bookmarkStart w:id="299" w:name="_Toc397291275"/>
      <w:bookmarkStart w:id="300" w:name="_Toc397291454"/>
      <w:bookmarkEnd w:id="296"/>
      <w:bookmarkEnd w:id="297"/>
      <w:bookmarkEnd w:id="298"/>
      <w:bookmarkEnd w:id="299"/>
      <w:bookmarkEnd w:id="300"/>
      <w:r w:rsidRPr="00C60AD1">
        <w:t xml:space="preserve">As regards the prior period expenses, </w:t>
      </w:r>
      <w:r w:rsidR="002B7562" w:rsidRPr="00C60AD1">
        <w:t>the Commission in its Order dated October 1, 2014 has directed the Licensee to file a separate Petition for approval of prior period expenses / income for FY 2008-09 to FY 2011-12 which should clearly indicate the head wise and year wise bifurcation of prior period expenses / income clearly indicating the impact of such expenses or incomes on various ARR components and such impact should not exceed the normative expenses for any particular year.</w:t>
      </w:r>
      <w:r w:rsidR="008071F3">
        <w:t xml:space="preserve"> </w:t>
      </w:r>
      <w:r w:rsidR="009C7FE6" w:rsidRPr="00C60AD1">
        <w:rPr>
          <w:bCs w:val="0"/>
        </w:rPr>
        <w:t>Further, the Commission in its deficiency note ha</w:t>
      </w:r>
      <w:r w:rsidR="00E208C9">
        <w:rPr>
          <w:bCs w:val="0"/>
        </w:rPr>
        <w:t>d</w:t>
      </w:r>
      <w:r w:rsidR="009C7FE6" w:rsidRPr="00C60AD1">
        <w:rPr>
          <w:bCs w:val="0"/>
        </w:rPr>
        <w:t xml:space="preserve"> asked the </w:t>
      </w:r>
      <w:r w:rsidR="002B7562" w:rsidRPr="00C60AD1">
        <w:rPr>
          <w:bCs w:val="0"/>
        </w:rPr>
        <w:t xml:space="preserve">Petitioner </w:t>
      </w:r>
      <w:r w:rsidR="009C7FE6" w:rsidRPr="00C60AD1">
        <w:rPr>
          <w:bCs w:val="0"/>
        </w:rPr>
        <w:t>to</w:t>
      </w:r>
      <w:r w:rsidR="002B7562" w:rsidRPr="00C60AD1">
        <w:rPr>
          <w:bCs w:val="0"/>
        </w:rPr>
        <w:t xml:space="preserve"> submit the relevant information for FY 2012-13 </w:t>
      </w:r>
      <w:r w:rsidR="004A0584">
        <w:rPr>
          <w:bCs w:val="0"/>
        </w:rPr>
        <w:t xml:space="preserve">and FY 2013-14 </w:t>
      </w:r>
      <w:r w:rsidR="002B7562" w:rsidRPr="00C60AD1">
        <w:rPr>
          <w:bCs w:val="0"/>
        </w:rPr>
        <w:t>as well.</w:t>
      </w:r>
    </w:p>
    <w:p w:rsidR="003147B8" w:rsidRPr="008D583E" w:rsidRDefault="008B0C65" w:rsidP="008D583E">
      <w:pPr>
        <w:pStyle w:val="Heading3"/>
        <w:tabs>
          <w:tab w:val="clear" w:pos="720"/>
        </w:tabs>
        <w:spacing w:after="240"/>
        <w:ind w:left="993" w:hanging="993"/>
        <w:rPr>
          <w:color w:val="FF0000"/>
        </w:rPr>
      </w:pPr>
      <w:r w:rsidRPr="008D583E">
        <w:rPr>
          <w:bCs w:val="0"/>
        </w:rPr>
        <w:t xml:space="preserve">The Petitioner in its reply to the query sought by the Commission submitted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w:t>
      </w:r>
      <w:r w:rsidR="008D583E">
        <w:rPr>
          <w:bCs w:val="0"/>
        </w:rPr>
        <w:t>As per the direction of the</w:t>
      </w:r>
      <w:r w:rsidR="008D583E" w:rsidRPr="008D583E">
        <w:rPr>
          <w:bCs w:val="0"/>
        </w:rPr>
        <w:t xml:space="preserve"> Commission, the Petitioner has </w:t>
      </w:r>
      <w:r w:rsidR="008D583E">
        <w:rPr>
          <w:bCs w:val="0"/>
        </w:rPr>
        <w:t xml:space="preserve">submitted to have </w:t>
      </w:r>
      <w:r w:rsidR="008D583E" w:rsidRPr="008D583E">
        <w:rPr>
          <w:bCs w:val="0"/>
        </w:rPr>
        <w:t>instructed the field units to compile such information. The information made available by the field units would be compiled at the zonal level and then zonal accounts would be compiled at the corporate level.</w:t>
      </w:r>
      <w:r w:rsidR="008D583E">
        <w:rPr>
          <w:bCs w:val="0"/>
        </w:rPr>
        <w:t xml:space="preserve"> </w:t>
      </w:r>
      <w:r w:rsidR="008D583E" w:rsidRPr="008D583E">
        <w:rPr>
          <w:bCs w:val="0"/>
        </w:rPr>
        <w:t xml:space="preserve">Given the complexity of this task, the Petitioner </w:t>
      </w:r>
      <w:r w:rsidR="008D583E">
        <w:rPr>
          <w:bCs w:val="0"/>
        </w:rPr>
        <w:t xml:space="preserve">has sought </w:t>
      </w:r>
      <w:r w:rsidR="008D583E" w:rsidRPr="008D583E">
        <w:rPr>
          <w:bCs w:val="0"/>
        </w:rPr>
        <w:t xml:space="preserve">waival from immediate submission of this information. </w:t>
      </w:r>
      <w:r w:rsidRPr="008D583E">
        <w:rPr>
          <w:bCs w:val="0"/>
        </w:rPr>
        <w:t xml:space="preserve">It </w:t>
      </w:r>
      <w:r w:rsidR="008D583E">
        <w:rPr>
          <w:bCs w:val="0"/>
        </w:rPr>
        <w:t xml:space="preserve">has </w:t>
      </w:r>
      <w:r w:rsidRPr="008D583E">
        <w:rPr>
          <w:bCs w:val="0"/>
        </w:rPr>
        <w:t>requested that the prior period expenses may be allowed as stated in the audited accounts which has also received the approval of the CAG.</w:t>
      </w:r>
    </w:p>
    <w:p w:rsidR="00711C52" w:rsidRDefault="00711C52" w:rsidP="00C60AD1">
      <w:pPr>
        <w:pStyle w:val="Heading3"/>
        <w:tabs>
          <w:tab w:val="clear" w:pos="720"/>
        </w:tabs>
        <w:spacing w:after="240"/>
        <w:ind w:left="993" w:hanging="993"/>
        <w:rPr>
          <w:bCs w:val="0"/>
        </w:rPr>
      </w:pPr>
      <w:bookmarkStart w:id="301" w:name="_Ref396208945"/>
      <w:r>
        <w:rPr>
          <w:bCs w:val="0"/>
        </w:rPr>
        <w:lastRenderedPageBreak/>
        <w:t>The State Discoms viz. DVVNL, MVVNL, PuVVNL, PVVNL and UPPCL had filed an</w:t>
      </w:r>
      <w:r w:rsidR="008071F3">
        <w:rPr>
          <w:bCs w:val="0"/>
        </w:rPr>
        <w:t xml:space="preserve"> </w:t>
      </w:r>
      <w:r>
        <w:rPr>
          <w:bCs w:val="0"/>
        </w:rPr>
        <w:t xml:space="preserve">appeal with appeal no. 128 of 2014 before the Hon’ble APTEL in the matter of truing up of ARR requirement for the FY 2000-01 to FY 2007-08 with regard to the prior period expenses wherein the Licensees gave the same explanation as mentioned above for non submission of details of the prior period expenses to which Hon’ble APTEL in its Judgment dated November 23, 2015 gave the following decision. </w:t>
      </w:r>
    </w:p>
    <w:p w:rsidR="00BE1724" w:rsidRPr="00486E44" w:rsidRDefault="00023318">
      <w:pPr>
        <w:pStyle w:val="Heading3"/>
        <w:numPr>
          <w:ilvl w:val="0"/>
          <w:numId w:val="0"/>
        </w:numPr>
        <w:tabs>
          <w:tab w:val="clear" w:pos="720"/>
        </w:tabs>
        <w:spacing w:after="240"/>
        <w:ind w:left="1440"/>
        <w:rPr>
          <w:bCs w:val="0"/>
          <w:i/>
          <w:szCs w:val="24"/>
        </w:rPr>
      </w:pPr>
      <w:r w:rsidRPr="00023318">
        <w:rPr>
          <w:bCs w:val="0"/>
          <w:i/>
          <w:szCs w:val="24"/>
        </w:rPr>
        <w:t>“</w:t>
      </w:r>
      <w:r w:rsidRPr="00023318">
        <w:rPr>
          <w:i/>
          <w:szCs w:val="24"/>
        </w:rPr>
        <w:t xml:space="preserve">The record further depicts that the learned State Commission through letter dated 20.12.2012 raised the queries regarding appellants’ claim of prior period expenses. The appellants/DISCOMs, without giving correct reply to the above query of the State Commission simply stated that year-wise classification could not be given as there was neither any statutory requirements to year-wise classify prior period expenses nor the Accounting Standard 5 (Revised) required any such classification. Thus the appellants failed to reply to the exact query made by the State Commission to the aforesaid letter and skipping true reply said that the year-wise classification could not be given as there was no statutory requirement nor Accounting Standard requiring such year-wise classification of prior period expenses. </w:t>
      </w:r>
      <w:r w:rsidRPr="00023318">
        <w:rPr>
          <w:b/>
          <w:i/>
          <w:szCs w:val="24"/>
        </w:rPr>
        <w:t>Thus the appellants instead of replying to the queries correctly and properly tried to take some excuse and ultimately failed to properly respond to the query of the State Commission</w:t>
      </w:r>
      <w:r w:rsidRPr="00023318">
        <w:rPr>
          <w:i/>
          <w:szCs w:val="24"/>
        </w:rPr>
        <w:t xml:space="preserve">. The learned State Commission while passing the Impugned Order has disallowed the prior period expenses on the legal and correct ground that year-wise break up of prior period expenses was not given by the appellants. </w:t>
      </w:r>
      <w:r w:rsidRPr="00023318">
        <w:rPr>
          <w:b/>
          <w:i/>
          <w:szCs w:val="24"/>
        </w:rPr>
        <w:t>It is true that prior period expenses claimed by the appellants were duly audited expenses allowed in the statutory audit of the appellants but the word “</w:t>
      </w:r>
      <w:r w:rsidRPr="00023318">
        <w:rPr>
          <w:b/>
          <w:i/>
          <w:iCs/>
          <w:szCs w:val="24"/>
        </w:rPr>
        <w:t>audited</w:t>
      </w:r>
      <w:r w:rsidRPr="00023318">
        <w:rPr>
          <w:b/>
          <w:i/>
          <w:szCs w:val="24"/>
        </w:rPr>
        <w:t>” only means that the expenditure has been vouched for and the State Commission is further required to consider or check whether such expenses have been prudently incurred on whether the consumer has received any benefit from such expenditure. We are of the opinion, that in these circumstances and in the absence of non-furnishing of the details sought by the Commission, the State Commission has rightly disallowed the prior period expenses.</w:t>
      </w:r>
      <w:r w:rsidRPr="00023318">
        <w:rPr>
          <w:i/>
          <w:szCs w:val="24"/>
        </w:rPr>
        <w:t xml:space="preserve"> After all the State Commission is required to use prudent check whether the expenses have been properly incurred or whether the licensee or the consumer has actually received any benefit from such expenditure. It is </w:t>
      </w:r>
      <w:r w:rsidRPr="00023318">
        <w:rPr>
          <w:i/>
          <w:szCs w:val="24"/>
        </w:rPr>
        <w:lastRenderedPageBreak/>
        <w:t>clear from the facts and other material on record that in the absence of the details to be provided by the appellants herein, the State Commission could not have conducted the prudence check of such items. The law as settled by this Appellate Tribunal on this point is that the State Commission is not bound by the audited accounts of the licensee because the State Commission being the regulator is required to apply prudence check to such expenses or expenditure to see whether such expenses or expenditure were really required to be made for the benefit of the consumers. On our careful scrutiny we do not find any illegality or perversity in the Impugned Order passed by the State Commission on this issue No.(b). Consequently, this issue is also decided against the appellants. “[</w:t>
      </w:r>
      <w:r w:rsidRPr="00023318">
        <w:rPr>
          <w:b/>
          <w:i/>
          <w:szCs w:val="24"/>
        </w:rPr>
        <w:t>Emphasis supplied]</w:t>
      </w:r>
    </w:p>
    <w:p w:rsidR="003147B8" w:rsidRPr="00654F70" w:rsidRDefault="008B0C65" w:rsidP="00C60AD1">
      <w:pPr>
        <w:pStyle w:val="Heading3"/>
        <w:tabs>
          <w:tab w:val="clear" w:pos="720"/>
        </w:tabs>
        <w:spacing w:after="240"/>
        <w:ind w:left="993" w:hanging="993"/>
        <w:rPr>
          <w:bCs w:val="0"/>
        </w:rPr>
      </w:pPr>
      <w:r w:rsidRPr="008B0C65">
        <w:rPr>
          <w:bCs w:val="0"/>
        </w:rPr>
        <w:t>Thus, in line with the approach adopted by the Commission in its earlier True up Orders</w:t>
      </w:r>
      <w:r w:rsidR="00573E77">
        <w:rPr>
          <w:bCs w:val="0"/>
        </w:rPr>
        <w:t xml:space="preserve"> and Judgment of the Hon’ble APTEL</w:t>
      </w:r>
      <w:r w:rsidRPr="008B0C65">
        <w:rPr>
          <w:bCs w:val="0"/>
        </w:rPr>
        <w:t xml:space="preserve">, the Petitioner is </w:t>
      </w:r>
      <w:r w:rsidR="00E208C9">
        <w:rPr>
          <w:bCs w:val="0"/>
        </w:rPr>
        <w:t xml:space="preserve">again </w:t>
      </w:r>
      <w:r w:rsidRPr="008B0C65">
        <w:rPr>
          <w:bCs w:val="0"/>
        </w:rPr>
        <w:t>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 Based on the data submitted by the Petitioner, the Commission after scrutiny and prudence check shall consider the expenses under the above head as it deems fit.</w:t>
      </w:r>
      <w:bookmarkEnd w:id="301"/>
    </w:p>
    <w:p w:rsidR="003147B8" w:rsidRPr="00C60AD1" w:rsidRDefault="003147B8" w:rsidP="00C60AD1">
      <w:pPr>
        <w:pStyle w:val="Heading3"/>
        <w:tabs>
          <w:tab w:val="clear" w:pos="720"/>
        </w:tabs>
        <w:spacing w:after="240"/>
        <w:ind w:left="993" w:hanging="993"/>
        <w:rPr>
          <w:bCs w:val="0"/>
        </w:rPr>
      </w:pPr>
      <w:r w:rsidRPr="00C60AD1">
        <w:rPr>
          <w:bCs w:val="0"/>
        </w:rPr>
        <w:t>The summary of the prior period expenses approved in the Tariff Order, claimed by the Petitioner and that approved by the Commission in this Order for Truing up of FY 20</w:t>
      </w:r>
      <w:r w:rsidR="004E0A69" w:rsidRPr="00C60AD1">
        <w:rPr>
          <w:bCs w:val="0"/>
        </w:rPr>
        <w:t>1</w:t>
      </w:r>
      <w:r w:rsidR="00B82A3A">
        <w:rPr>
          <w:bCs w:val="0"/>
        </w:rPr>
        <w:t>3</w:t>
      </w:r>
      <w:r w:rsidR="004E0A69" w:rsidRPr="00C60AD1">
        <w:rPr>
          <w:bCs w:val="0"/>
        </w:rPr>
        <w:t>-1</w:t>
      </w:r>
      <w:r w:rsidR="00B82A3A">
        <w:rPr>
          <w:bCs w:val="0"/>
        </w:rPr>
        <w:t>4</w:t>
      </w:r>
      <w:r w:rsidRPr="00C60AD1">
        <w:rPr>
          <w:bCs w:val="0"/>
        </w:rPr>
        <w:t xml:space="preserve"> is shown in the Table below: </w:t>
      </w:r>
    </w:p>
    <w:p w:rsidR="003147B8" w:rsidRPr="00C60AD1" w:rsidRDefault="003147B8" w:rsidP="00C60AD1">
      <w:pPr>
        <w:spacing w:before="0"/>
        <w:jc w:val="center"/>
        <w:rPr>
          <w:rFonts w:cs="Calibri"/>
          <w:b/>
          <w:sz w:val="22"/>
          <w:szCs w:val="22"/>
          <w:lang w:val="en-US"/>
        </w:rPr>
      </w:pPr>
      <w:bookmarkStart w:id="302" w:name="_Toc394490649"/>
      <w:bookmarkStart w:id="303" w:name="_Toc457355621"/>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20</w:t>
      </w:r>
      <w:r w:rsidR="004A2D9E" w:rsidRPr="00C60AD1">
        <w:rPr>
          <w:rFonts w:cs="Calibri"/>
          <w:b/>
          <w:sz w:val="22"/>
          <w:szCs w:val="22"/>
          <w:lang w:val="en-US"/>
        </w:rPr>
        <w:fldChar w:fldCharType="end"/>
      </w:r>
      <w:r w:rsidRPr="00C60AD1">
        <w:rPr>
          <w:rFonts w:cs="Calibri"/>
          <w:b/>
          <w:sz w:val="22"/>
          <w:szCs w:val="22"/>
          <w:lang w:val="en-US"/>
        </w:rPr>
        <w:t xml:space="preserve">: PRIOR PERIOD </w:t>
      </w:r>
      <w:r w:rsidR="00B33275">
        <w:rPr>
          <w:rFonts w:cs="Calibri"/>
          <w:b/>
          <w:sz w:val="22"/>
          <w:szCs w:val="22"/>
          <w:lang w:val="en-US"/>
        </w:rPr>
        <w:t>INCOME</w:t>
      </w:r>
      <w:r w:rsidR="00B33275" w:rsidRPr="00C60AD1">
        <w:rPr>
          <w:rFonts w:cs="Calibri"/>
          <w:b/>
          <w:sz w:val="22"/>
          <w:szCs w:val="22"/>
          <w:lang w:val="en-US"/>
        </w:rPr>
        <w:t xml:space="preserve"> </w:t>
      </w:r>
      <w:r w:rsidRPr="00C60AD1">
        <w:rPr>
          <w:rFonts w:cs="Calibri"/>
          <w:b/>
          <w:sz w:val="22"/>
          <w:szCs w:val="22"/>
          <w:lang w:val="en-US"/>
        </w:rPr>
        <w:t>FOR FY 20</w:t>
      </w:r>
      <w:r w:rsidR="004E0A69" w:rsidRPr="00C60AD1">
        <w:rPr>
          <w:rFonts w:cs="Calibri"/>
          <w:b/>
          <w:sz w:val="22"/>
          <w:szCs w:val="22"/>
          <w:lang w:val="en-US"/>
        </w:rPr>
        <w:t>1</w:t>
      </w:r>
      <w:r w:rsidR="009B47F4">
        <w:rPr>
          <w:rFonts w:cs="Calibri"/>
          <w:b/>
          <w:sz w:val="22"/>
          <w:szCs w:val="22"/>
          <w:lang w:val="en-US"/>
        </w:rPr>
        <w:t>3</w:t>
      </w:r>
      <w:r w:rsidR="004E0A69" w:rsidRPr="00C60AD1">
        <w:rPr>
          <w:rFonts w:cs="Calibri"/>
          <w:b/>
          <w:sz w:val="22"/>
          <w:szCs w:val="22"/>
          <w:lang w:val="en-US"/>
        </w:rPr>
        <w:t>-1</w:t>
      </w:r>
      <w:r w:rsidR="009B47F4">
        <w:rPr>
          <w:rFonts w:cs="Calibri"/>
          <w:b/>
          <w:sz w:val="22"/>
          <w:szCs w:val="22"/>
          <w:lang w:val="en-US"/>
        </w:rPr>
        <w:t>4</w:t>
      </w:r>
      <w:r w:rsidRPr="00C60AD1">
        <w:rPr>
          <w:rFonts w:cs="Calibri"/>
          <w:b/>
          <w:sz w:val="22"/>
          <w:szCs w:val="22"/>
          <w:lang w:val="en-US"/>
        </w:rPr>
        <w:t>(Rs. Crore)</w:t>
      </w:r>
      <w:bookmarkEnd w:id="302"/>
      <w:bookmarkEnd w:id="303"/>
    </w:p>
    <w:tbl>
      <w:tblPr>
        <w:tblW w:w="7926" w:type="dxa"/>
        <w:tblInd w:w="959" w:type="dxa"/>
        <w:tblLayout w:type="fixed"/>
        <w:tblLook w:val="04A0"/>
      </w:tblPr>
      <w:tblGrid>
        <w:gridCol w:w="1793"/>
        <w:gridCol w:w="1533"/>
        <w:gridCol w:w="1533"/>
        <w:gridCol w:w="1533"/>
        <w:gridCol w:w="1534"/>
      </w:tblGrid>
      <w:tr w:rsidR="00B33275" w:rsidRPr="00417249" w:rsidTr="00B33275">
        <w:trPr>
          <w:trHeight w:val="900"/>
          <w:tblHeader/>
        </w:trPr>
        <w:tc>
          <w:tcPr>
            <w:tcW w:w="1793" w:type="dxa"/>
            <w:tcBorders>
              <w:top w:val="dotted" w:sz="4" w:space="0" w:color="auto"/>
              <w:left w:val="dotted" w:sz="4" w:space="0" w:color="auto"/>
              <w:bottom w:val="dotted" w:sz="4" w:space="0" w:color="auto"/>
              <w:right w:val="dotted" w:sz="4" w:space="0" w:color="auto"/>
            </w:tcBorders>
            <w:shd w:val="clear" w:color="000000" w:fill="DBE5F1"/>
            <w:noWrap/>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Particulars</w:t>
            </w:r>
          </w:p>
        </w:tc>
        <w:tc>
          <w:tcPr>
            <w:tcW w:w="1533"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Tariff Order</w:t>
            </w:r>
          </w:p>
        </w:tc>
        <w:tc>
          <w:tcPr>
            <w:tcW w:w="1533"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Actual as per audited accounts</w:t>
            </w:r>
          </w:p>
        </w:tc>
        <w:tc>
          <w:tcPr>
            <w:tcW w:w="1533" w:type="dxa"/>
            <w:tcBorders>
              <w:top w:val="dotted" w:sz="4" w:space="0" w:color="auto"/>
              <w:left w:val="nil"/>
              <w:bottom w:val="dotted" w:sz="4" w:space="0" w:color="auto"/>
              <w:right w:val="dotted" w:sz="4" w:space="0" w:color="auto"/>
            </w:tcBorders>
            <w:shd w:val="clear" w:color="000000" w:fill="DBE5F1"/>
            <w:hideMark/>
          </w:tcPr>
          <w:p w:rsidR="00B33275"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 xml:space="preserve">True-up </w:t>
            </w:r>
          </w:p>
          <w:p w:rsidR="003147B8" w:rsidRPr="00417249" w:rsidRDefault="00027D0D" w:rsidP="00C60AD1">
            <w:pPr>
              <w:spacing w:before="0" w:line="240" w:lineRule="auto"/>
              <w:jc w:val="center"/>
              <w:rPr>
                <w:rFonts w:asciiTheme="minorHAnsi" w:hAnsiTheme="minorHAnsi" w:cs="Calibri"/>
                <w:b/>
                <w:color w:val="000000"/>
                <w:sz w:val="22"/>
                <w:szCs w:val="22"/>
                <w:lang w:val="en-US"/>
              </w:rPr>
            </w:pPr>
            <w:r w:rsidRPr="00027D0D">
              <w:rPr>
                <w:rFonts w:asciiTheme="minorHAnsi" w:hAnsiTheme="minorHAnsi" w:cs="Calibri"/>
                <w:b/>
                <w:color w:val="000000"/>
                <w:sz w:val="22"/>
                <w:szCs w:val="22"/>
                <w:lang w:val="en-US"/>
              </w:rPr>
              <w:t>Petition</w:t>
            </w:r>
          </w:p>
        </w:tc>
        <w:tc>
          <w:tcPr>
            <w:tcW w:w="1534" w:type="dxa"/>
            <w:tcBorders>
              <w:top w:val="dotted" w:sz="4" w:space="0" w:color="auto"/>
              <w:left w:val="nil"/>
              <w:bottom w:val="dotted" w:sz="4" w:space="0" w:color="auto"/>
              <w:right w:val="dotted" w:sz="4" w:space="0" w:color="auto"/>
            </w:tcBorders>
            <w:shd w:val="clear" w:color="000000" w:fill="DBE5F1"/>
            <w:hideMark/>
          </w:tcPr>
          <w:p w:rsidR="003147B8" w:rsidRPr="00417249" w:rsidRDefault="00027D0D" w:rsidP="00C60AD1">
            <w:pPr>
              <w:spacing w:before="0" w:line="240" w:lineRule="auto"/>
              <w:jc w:val="center"/>
              <w:rPr>
                <w:rFonts w:asciiTheme="minorHAnsi" w:hAnsiTheme="minorHAnsi" w:cs="Calibri"/>
                <w:b/>
                <w:color w:val="000000"/>
                <w:sz w:val="22"/>
                <w:szCs w:val="22"/>
                <w:lang w:val="en-US"/>
              </w:rPr>
            </w:pPr>
            <w:r>
              <w:rPr>
                <w:rFonts w:asciiTheme="minorHAnsi" w:hAnsiTheme="minorHAnsi"/>
                <w:b/>
                <w:sz w:val="22"/>
                <w:szCs w:val="22"/>
                <w:lang w:val="en-IN" w:eastAsia="en-IN"/>
              </w:rPr>
              <w:t>Approved upon Truing up</w:t>
            </w:r>
          </w:p>
        </w:tc>
      </w:tr>
      <w:tr w:rsidR="00B33275" w:rsidRPr="00417249" w:rsidTr="00B33275">
        <w:trPr>
          <w:trHeight w:val="300"/>
        </w:trPr>
        <w:tc>
          <w:tcPr>
            <w:tcW w:w="1793" w:type="dxa"/>
            <w:tcBorders>
              <w:top w:val="nil"/>
              <w:left w:val="dotted" w:sz="4" w:space="0" w:color="auto"/>
              <w:bottom w:val="dotted" w:sz="4" w:space="0" w:color="auto"/>
              <w:right w:val="dotted" w:sz="4" w:space="0" w:color="auto"/>
            </w:tcBorders>
            <w:shd w:val="clear" w:color="auto" w:fill="auto"/>
            <w:noWrap/>
            <w:vAlign w:val="bottom"/>
            <w:hideMark/>
          </w:tcPr>
          <w:p w:rsidR="00482A8F" w:rsidRPr="00417249" w:rsidRDefault="00482A8F" w:rsidP="00C60AD1">
            <w:pPr>
              <w:spacing w:before="0" w:line="240" w:lineRule="auto"/>
              <w:jc w:val="left"/>
              <w:rPr>
                <w:rFonts w:asciiTheme="minorHAnsi" w:hAnsiTheme="minorHAnsi" w:cs="Calibri"/>
                <w:color w:val="000000"/>
                <w:sz w:val="22"/>
                <w:szCs w:val="22"/>
                <w:lang w:val="en-US"/>
              </w:rPr>
            </w:pPr>
            <w:r w:rsidRPr="00027D0D">
              <w:rPr>
                <w:rFonts w:asciiTheme="minorHAnsi" w:hAnsiTheme="minorHAnsi" w:cs="Calibri"/>
                <w:color w:val="000000"/>
                <w:sz w:val="22"/>
                <w:szCs w:val="22"/>
                <w:lang w:val="en-US"/>
              </w:rPr>
              <w:t>Prior Period Income</w:t>
            </w:r>
          </w:p>
        </w:tc>
        <w:tc>
          <w:tcPr>
            <w:tcW w:w="1533"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C60AD1">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c>
          <w:tcPr>
            <w:tcW w:w="1533" w:type="dxa"/>
            <w:tcBorders>
              <w:top w:val="nil"/>
              <w:left w:val="nil"/>
              <w:bottom w:val="dotted" w:sz="4" w:space="0" w:color="auto"/>
              <w:right w:val="dotted" w:sz="4" w:space="0" w:color="auto"/>
            </w:tcBorders>
            <w:shd w:val="clear" w:color="auto" w:fill="auto"/>
            <w:noWrap/>
            <w:vAlign w:val="center"/>
            <w:hideMark/>
          </w:tcPr>
          <w:p w:rsidR="00482A8F" w:rsidRPr="00482A8F" w:rsidRDefault="00BC7B74" w:rsidP="00BC7B74">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41.37</w:t>
            </w:r>
          </w:p>
        </w:tc>
        <w:tc>
          <w:tcPr>
            <w:tcW w:w="1533" w:type="dxa"/>
            <w:tcBorders>
              <w:top w:val="nil"/>
              <w:left w:val="nil"/>
              <w:bottom w:val="dotted" w:sz="4" w:space="0" w:color="auto"/>
              <w:right w:val="dotted" w:sz="4" w:space="0" w:color="auto"/>
            </w:tcBorders>
            <w:shd w:val="clear" w:color="auto" w:fill="auto"/>
            <w:noWrap/>
            <w:vAlign w:val="center"/>
            <w:hideMark/>
          </w:tcPr>
          <w:p w:rsidR="00482A8F" w:rsidRPr="00482A8F" w:rsidRDefault="00BC7B74" w:rsidP="00B33275">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41.37</w:t>
            </w:r>
          </w:p>
        </w:tc>
        <w:tc>
          <w:tcPr>
            <w:tcW w:w="1534"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C60AD1">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r>
    </w:tbl>
    <w:p w:rsidR="00F70DA9" w:rsidRDefault="00F70DA9" w:rsidP="00C60AD1">
      <w:pPr>
        <w:pStyle w:val="Heading2"/>
        <w:numPr>
          <w:ilvl w:val="0"/>
          <w:numId w:val="0"/>
        </w:numPr>
        <w:spacing w:after="240"/>
        <w:ind w:left="780"/>
        <w:rPr>
          <w:rFonts w:cs="Calibri"/>
          <w:bCs w:val="0"/>
          <w:szCs w:val="26"/>
          <w:lang w:val="en-US"/>
        </w:rPr>
      </w:pPr>
      <w:bookmarkStart w:id="304" w:name="_Toc419641580"/>
      <w:bookmarkStart w:id="305" w:name="_Toc420005505"/>
      <w:bookmarkStart w:id="306" w:name="_Toc420016196"/>
      <w:bookmarkStart w:id="307" w:name="_Toc420020971"/>
      <w:bookmarkStart w:id="308" w:name="_Toc356137615"/>
      <w:bookmarkEnd w:id="304"/>
      <w:bookmarkEnd w:id="305"/>
      <w:bookmarkEnd w:id="306"/>
      <w:bookmarkEnd w:id="307"/>
    </w:p>
    <w:p w:rsidR="005E05AA" w:rsidRPr="00C60AD1" w:rsidRDefault="005E05AA" w:rsidP="00C60AD1">
      <w:pPr>
        <w:pStyle w:val="Heading2"/>
        <w:numPr>
          <w:ilvl w:val="0"/>
          <w:numId w:val="0"/>
        </w:numPr>
        <w:spacing w:after="240"/>
        <w:ind w:left="780"/>
        <w:rPr>
          <w:rFonts w:cs="Calibri"/>
          <w:bCs w:val="0"/>
          <w:szCs w:val="26"/>
          <w:lang w:val="en-US"/>
        </w:rPr>
      </w:pPr>
    </w:p>
    <w:p w:rsidR="003147B8" w:rsidRPr="00C60AD1" w:rsidRDefault="003147B8" w:rsidP="00C60AD1">
      <w:pPr>
        <w:pStyle w:val="Heading2"/>
        <w:rPr>
          <w:rFonts w:cs="Calibri"/>
          <w:bCs w:val="0"/>
          <w:szCs w:val="26"/>
          <w:lang w:val="en-US"/>
        </w:rPr>
      </w:pPr>
      <w:bookmarkStart w:id="309" w:name="_Toc457355480"/>
      <w:r w:rsidRPr="00C60AD1">
        <w:rPr>
          <w:rFonts w:cs="Calibri"/>
          <w:bCs w:val="0"/>
          <w:szCs w:val="26"/>
          <w:lang w:val="en-US"/>
        </w:rPr>
        <w:t>PROVISION FOR BAD AND DOUBTFUL DEBTS</w:t>
      </w:r>
      <w:bookmarkEnd w:id="308"/>
      <w:bookmarkEnd w:id="309"/>
    </w:p>
    <w:p w:rsidR="00B94C76" w:rsidRPr="00C60AD1" w:rsidRDefault="003147B8" w:rsidP="00C60AD1">
      <w:pPr>
        <w:pStyle w:val="Heading3"/>
        <w:tabs>
          <w:tab w:val="clear" w:pos="720"/>
        </w:tabs>
        <w:spacing w:after="240"/>
        <w:ind w:left="993" w:hanging="993"/>
        <w:rPr>
          <w:bCs w:val="0"/>
        </w:rPr>
      </w:pPr>
      <w:bookmarkStart w:id="310" w:name="_Toc419939899"/>
      <w:bookmarkStart w:id="311" w:name="_Toc419940069"/>
      <w:bookmarkStart w:id="312" w:name="_Toc419940237"/>
      <w:bookmarkStart w:id="313" w:name="_Toc419940403"/>
      <w:bookmarkStart w:id="314" w:name="_Toc419940514"/>
      <w:bookmarkEnd w:id="310"/>
      <w:bookmarkEnd w:id="311"/>
      <w:bookmarkEnd w:id="312"/>
      <w:bookmarkEnd w:id="313"/>
      <w:bookmarkEnd w:id="314"/>
      <w:r w:rsidRPr="00C60AD1">
        <w:rPr>
          <w:bCs w:val="0"/>
        </w:rPr>
        <w:t>The Petitioner submitted that the Commission has not allowed any amounts towards Provision for Bad and Doubtful Debts in the Tariff Order for FY 20</w:t>
      </w:r>
      <w:r w:rsidR="00200B08" w:rsidRPr="00C60AD1">
        <w:rPr>
          <w:bCs w:val="0"/>
        </w:rPr>
        <w:t>1</w:t>
      </w:r>
      <w:r w:rsidR="002B7CB6">
        <w:rPr>
          <w:bCs w:val="0"/>
        </w:rPr>
        <w:t>3</w:t>
      </w:r>
      <w:r w:rsidR="00200B08" w:rsidRPr="00C60AD1">
        <w:rPr>
          <w:bCs w:val="0"/>
        </w:rPr>
        <w:t>-</w:t>
      </w:r>
      <w:r w:rsidR="00200B08" w:rsidRPr="00C60AD1">
        <w:rPr>
          <w:bCs w:val="0"/>
        </w:rPr>
        <w:lastRenderedPageBreak/>
        <w:t>1</w:t>
      </w:r>
      <w:r w:rsidR="002B7CB6">
        <w:rPr>
          <w:bCs w:val="0"/>
        </w:rPr>
        <w:t>4</w:t>
      </w:r>
      <w:r w:rsidR="00991C26" w:rsidRPr="00C60AD1">
        <w:rPr>
          <w:bCs w:val="0"/>
        </w:rPr>
        <w:t>.</w:t>
      </w:r>
      <w:r w:rsidRPr="00C60AD1">
        <w:rPr>
          <w:bCs w:val="0"/>
        </w:rPr>
        <w:t xml:space="preserve"> The Petitioner submitted that such expenses are legitimate business expenses and are accepted accounting principle even in a sector like banking where the provisioning of un-collectable dues is considered as a normal commercial practice.</w:t>
      </w:r>
    </w:p>
    <w:p w:rsidR="003147B8" w:rsidRPr="00C60AD1" w:rsidRDefault="003147B8" w:rsidP="00C60AD1">
      <w:pPr>
        <w:pStyle w:val="Heading3"/>
        <w:tabs>
          <w:tab w:val="clear" w:pos="720"/>
        </w:tabs>
        <w:spacing w:after="240"/>
        <w:ind w:left="993" w:hanging="993"/>
      </w:pPr>
      <w:r w:rsidRPr="00C60AD1">
        <w:rPr>
          <w:bCs w:val="0"/>
        </w:rPr>
        <w:t>The Petitioner submitted that it has computed the entitlement towards provision for bad and doubtful debts</w:t>
      </w:r>
      <w:r w:rsidRPr="00C60AD1">
        <w:t xml:space="preserve"> as 2% of the closing revenue receivables as per audited accounts of the relevant financial year for Distribution business. </w:t>
      </w:r>
    </w:p>
    <w:p w:rsidR="003147B8" w:rsidRPr="00C60AD1" w:rsidRDefault="003147B8" w:rsidP="00C60AD1">
      <w:pPr>
        <w:pStyle w:val="Heading3"/>
        <w:tabs>
          <w:tab w:val="clear" w:pos="720"/>
        </w:tabs>
        <w:spacing w:after="240"/>
        <w:ind w:left="993" w:hanging="993"/>
      </w:pPr>
      <w:r w:rsidRPr="00C60AD1">
        <w:t xml:space="preserve">The Petitioner has claimed Rs. </w:t>
      </w:r>
      <w:r w:rsidR="00BC7B74">
        <w:t>32.09</w:t>
      </w:r>
      <w:r w:rsidR="008071F3">
        <w:t xml:space="preserve"> </w:t>
      </w:r>
      <w:r w:rsidRPr="00C60AD1">
        <w:t>Crore towards provision for bad and doubtful debts for FY 20</w:t>
      </w:r>
      <w:r w:rsidR="00200B08" w:rsidRPr="00C60AD1">
        <w:t>1</w:t>
      </w:r>
      <w:r w:rsidR="002B7CB6">
        <w:t>3</w:t>
      </w:r>
      <w:r w:rsidR="00200B08" w:rsidRPr="00C60AD1">
        <w:t>-1</w:t>
      </w:r>
      <w:r w:rsidR="002B7CB6">
        <w:t>4</w:t>
      </w:r>
      <w:r w:rsidRPr="00C60AD1">
        <w:t>.</w:t>
      </w:r>
    </w:p>
    <w:p w:rsidR="003147B8" w:rsidRPr="00C60AD1" w:rsidRDefault="008A1A72" w:rsidP="00C60AD1">
      <w:pPr>
        <w:pStyle w:val="Heading3"/>
        <w:tabs>
          <w:tab w:val="clear" w:pos="720"/>
        </w:tabs>
        <w:spacing w:after="240"/>
        <w:ind w:left="993" w:hanging="993"/>
      </w:pPr>
      <w:r w:rsidRPr="00C60AD1">
        <w:t>As regards provision for bad and doubtful debts, the Commission in its previous Orders had directed as follows:</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True up Order for FY 2000-01 to FY 2007-08 dated 21</w:t>
      </w:r>
      <w:r w:rsidRPr="00C60AD1">
        <w:rPr>
          <w:rFonts w:cs="Arial"/>
          <w:b/>
          <w:bCs/>
          <w:szCs w:val="26"/>
          <w:vertAlign w:val="superscript"/>
        </w:rPr>
        <w:t>st</w:t>
      </w:r>
      <w:r w:rsidRPr="00C60AD1">
        <w:rPr>
          <w:rFonts w:cs="Arial"/>
          <w:b/>
          <w:bCs/>
          <w:szCs w:val="26"/>
        </w:rPr>
        <w:t xml:space="preserve"> May, 2013</w:t>
      </w:r>
    </w:p>
    <w:p w:rsidR="003147B8" w:rsidRPr="00C60AD1" w:rsidRDefault="008A1A72" w:rsidP="00C60AD1">
      <w:pPr>
        <w:tabs>
          <w:tab w:val="left" w:pos="0"/>
          <w:tab w:val="left" w:pos="720"/>
        </w:tabs>
        <w:spacing w:after="240"/>
        <w:ind w:left="1440"/>
        <w:outlineLvl w:val="2"/>
        <w:rPr>
          <w:rFonts w:cs="Arial"/>
          <w:bCs/>
          <w:szCs w:val="26"/>
        </w:rPr>
      </w:pPr>
      <w:r w:rsidRPr="00C60AD1">
        <w:rPr>
          <w:rFonts w:cs="Arial"/>
          <w:bCs/>
          <w:i/>
          <w:szCs w:val="26"/>
        </w:rPr>
        <w:t xml:space="preserve">“The Commission directs the Petitioner to formulate a policy for identifying and writing off fictitious arrears and submit a copy of such report before the Commission.” </w:t>
      </w:r>
      <w:r w:rsidRPr="00C60AD1">
        <w:rPr>
          <w:rFonts w:cs="Arial"/>
          <w:bCs/>
          <w:szCs w:val="26"/>
        </w:rPr>
        <w:t>(within six months from the date of issue of True-up Order).</w:t>
      </w:r>
    </w:p>
    <w:p w:rsidR="003147B8" w:rsidRPr="00C60AD1" w:rsidRDefault="008A1A72" w:rsidP="00C60AD1">
      <w:pPr>
        <w:tabs>
          <w:tab w:val="left" w:pos="0"/>
          <w:tab w:val="left" w:pos="720"/>
        </w:tabs>
        <w:spacing w:after="240"/>
        <w:ind w:left="936" w:hanging="936"/>
        <w:outlineLvl w:val="2"/>
        <w:rPr>
          <w:rFonts w:cs="Arial"/>
          <w:b/>
          <w:bCs/>
          <w:szCs w:val="26"/>
        </w:rPr>
      </w:pPr>
      <w:r w:rsidRPr="00C60AD1">
        <w:rPr>
          <w:rFonts w:cs="Arial"/>
          <w:b/>
          <w:bCs/>
          <w:szCs w:val="26"/>
        </w:rPr>
        <w:tab/>
      </w:r>
      <w:r w:rsidRPr="00C60AD1">
        <w:rPr>
          <w:rFonts w:cs="Arial"/>
          <w:b/>
          <w:bCs/>
          <w:szCs w:val="26"/>
        </w:rPr>
        <w:tab/>
        <w:t>Tariff Order for FY 2013-14 dated 31</w:t>
      </w:r>
      <w:r w:rsidRPr="00C60AD1">
        <w:rPr>
          <w:rFonts w:cs="Arial"/>
          <w:b/>
          <w:bCs/>
          <w:szCs w:val="26"/>
          <w:vertAlign w:val="superscript"/>
        </w:rPr>
        <w:t>st</w:t>
      </w:r>
      <w:r w:rsidRPr="00C60AD1">
        <w:rPr>
          <w:rFonts w:cs="Arial"/>
          <w:b/>
          <w:bCs/>
          <w:szCs w:val="26"/>
        </w:rPr>
        <w:t xml:space="preserve"> May, 2013</w:t>
      </w:r>
    </w:p>
    <w:p w:rsidR="00F70DA9" w:rsidRPr="00C60AD1" w:rsidRDefault="008A1A72" w:rsidP="00C60AD1">
      <w:pPr>
        <w:tabs>
          <w:tab w:val="left" w:pos="0"/>
          <w:tab w:val="left" w:pos="720"/>
        </w:tabs>
        <w:spacing w:after="240"/>
        <w:ind w:left="1440"/>
        <w:outlineLvl w:val="2"/>
        <w:rPr>
          <w:rFonts w:cs="Arial"/>
          <w:b/>
          <w:szCs w:val="26"/>
        </w:rPr>
      </w:pPr>
      <w:r w:rsidRPr="00C60AD1">
        <w:rPr>
          <w:rFonts w:cs="Arial"/>
          <w:bCs/>
          <w:i/>
          <w:szCs w:val="26"/>
        </w:rPr>
        <w:t xml:space="preserve">“As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 </w:t>
      </w:r>
      <w:r w:rsidRPr="00C60AD1">
        <w:rPr>
          <w:rFonts w:cs="Arial"/>
          <w:bCs/>
          <w:szCs w:val="26"/>
        </w:rPr>
        <w:t>(within one month from the date of issuance of the Order.)</w:t>
      </w:r>
    </w:p>
    <w:p w:rsidR="00F70DA9" w:rsidRPr="00C60AD1" w:rsidRDefault="005D318E" w:rsidP="00C60AD1">
      <w:pPr>
        <w:pStyle w:val="Heading3"/>
        <w:numPr>
          <w:ilvl w:val="0"/>
          <w:numId w:val="0"/>
        </w:numPr>
        <w:tabs>
          <w:tab w:val="clear" w:pos="720"/>
        </w:tabs>
        <w:spacing w:after="240"/>
        <w:ind w:left="993"/>
      </w:pPr>
      <w:r w:rsidRPr="00C60AD1">
        <w:rPr>
          <w:b/>
          <w:bCs w:val="0"/>
        </w:rPr>
        <w:t>Tariff Order for FY 2014-15 dated October 1, 2014</w:t>
      </w:r>
    </w:p>
    <w:p w:rsidR="008B0C65" w:rsidRDefault="005D318E" w:rsidP="008B0C65">
      <w:pPr>
        <w:pStyle w:val="Heading3"/>
        <w:numPr>
          <w:ilvl w:val="0"/>
          <w:numId w:val="0"/>
        </w:numPr>
        <w:tabs>
          <w:tab w:val="clear" w:pos="720"/>
        </w:tabs>
        <w:spacing w:after="240"/>
        <w:ind w:left="1440"/>
        <w:rPr>
          <w:i/>
        </w:rPr>
      </w:pPr>
      <w:r w:rsidRPr="00C60AD1">
        <w:rPr>
          <w:i/>
        </w:rPr>
        <w:t>“</w:t>
      </w:r>
      <w:r w:rsidR="0022393E" w:rsidRPr="00C60AD1">
        <w:rPr>
          <w:i/>
        </w:rPr>
        <w:t>The Commission, further in its deficiency note, has enquired from the Petitioner about the policy followed by it to identify and write off bad debts. In its reply, the Petitioner has submitted that the entitlement towards provision for bad and doubtful debts has been computed at 2% of the closing revenue receivables as per audited accounts of FY 2008-09.</w:t>
      </w:r>
      <w:r w:rsidR="008071F3">
        <w:rPr>
          <w:i/>
        </w:rPr>
        <w:t xml:space="preserve"> </w:t>
      </w:r>
      <w:r w:rsidR="0022393E" w:rsidRPr="00C60AD1">
        <w:rPr>
          <w:b/>
          <w:i/>
        </w:rPr>
        <w:lastRenderedPageBreak/>
        <w:t>However, it was observed that the Petitioner has submitted the approach for creation of provision of bad debts instead of the policy followed by it for identification of actual bad debts and writing off the same.</w:t>
      </w:r>
      <w:r w:rsidR="0022393E" w:rsidRPr="00C60AD1">
        <w:rPr>
          <w:i/>
        </w:rPr>
        <w:t xml:space="preserve"> The Commission, in its additional queries, reiterated that the Petitioner is required to submit the policy followed by it for identification and writing off actual bad debts at the earliest. In reply to the same, the Petitioner submitted that it has recently framed a policy for identifying and writing off old arrears, which has been provided to the Commission along with the replies and appropriate directions have been issued to the field units to compile the sample cases based on this recently issued order of the licensee. However, from the Regulations it is amply clear that the Petitioner is required to submit its policy for identifying and writing off doubtful debts to the Commission for prior approval, which the Petitioner has not done.</w:t>
      </w:r>
      <w:r w:rsidRPr="00C60AD1">
        <w:rPr>
          <w:i/>
        </w:rPr>
        <w:t>”</w:t>
      </w:r>
      <w:r w:rsidR="00C00209" w:rsidRPr="00C60AD1">
        <w:rPr>
          <w:i/>
        </w:rPr>
        <w:t>(Emphasis added)</w:t>
      </w:r>
    </w:p>
    <w:p w:rsidR="00CA0A70" w:rsidRPr="00C60AD1" w:rsidRDefault="00CA0A70" w:rsidP="00CA0A70">
      <w:pPr>
        <w:pStyle w:val="Heading3"/>
        <w:numPr>
          <w:ilvl w:val="0"/>
          <w:numId w:val="0"/>
        </w:numPr>
        <w:tabs>
          <w:tab w:val="clear" w:pos="720"/>
        </w:tabs>
        <w:spacing w:after="240"/>
        <w:ind w:left="993"/>
      </w:pPr>
      <w:r w:rsidRPr="00C60AD1">
        <w:rPr>
          <w:b/>
          <w:bCs w:val="0"/>
        </w:rPr>
        <w:t>Tariff Order for FY 2015</w:t>
      </w:r>
      <w:r>
        <w:rPr>
          <w:b/>
          <w:bCs w:val="0"/>
        </w:rPr>
        <w:t>-16</w:t>
      </w:r>
      <w:r w:rsidRPr="00C60AD1">
        <w:rPr>
          <w:b/>
          <w:bCs w:val="0"/>
        </w:rPr>
        <w:t xml:space="preserve"> dated </w:t>
      </w:r>
      <w:r>
        <w:rPr>
          <w:b/>
          <w:bCs w:val="0"/>
        </w:rPr>
        <w:t>June 18, 2015</w:t>
      </w:r>
    </w:p>
    <w:p w:rsidR="00CA0A70" w:rsidRDefault="00CA0A70" w:rsidP="00CA0A70">
      <w:pPr>
        <w:pStyle w:val="Heading3"/>
        <w:numPr>
          <w:ilvl w:val="0"/>
          <w:numId w:val="0"/>
        </w:numPr>
        <w:tabs>
          <w:tab w:val="clear" w:pos="720"/>
        </w:tabs>
        <w:spacing w:after="240"/>
        <w:ind w:left="1440"/>
        <w:rPr>
          <w:i/>
        </w:rPr>
      </w:pPr>
      <w:r>
        <w:rPr>
          <w:i/>
        </w:rPr>
        <w:t xml:space="preserve">“4.8.8 </w:t>
      </w:r>
      <w:r w:rsidRPr="00262EFF">
        <w:rPr>
          <w:i/>
        </w:rPr>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2012-13 during the final truing up exercise for FY 2012-13.</w:t>
      </w:r>
    </w:p>
    <w:p w:rsidR="00CA0A70" w:rsidRDefault="00CA0A70" w:rsidP="00CA0A70">
      <w:pPr>
        <w:pStyle w:val="Heading3"/>
        <w:numPr>
          <w:ilvl w:val="0"/>
          <w:numId w:val="0"/>
        </w:numPr>
        <w:tabs>
          <w:tab w:val="clear" w:pos="720"/>
        </w:tabs>
        <w:spacing w:after="240"/>
        <w:ind w:left="1440"/>
        <w:rPr>
          <w:i/>
        </w:rPr>
      </w:pPr>
      <w:r w:rsidRPr="00262EFF">
        <w:rPr>
          <w:i/>
        </w:rPr>
        <w:t>4.8.9 Therefore, in the absence of proper policy in place for identifying and writing off receivables and non submission of sample cases of LT &amp; HT consumer where orders have been issued for writing off debts, the Commission disallows the claims towards provision for bad and doubtful debts.”</w:t>
      </w:r>
    </w:p>
    <w:p w:rsidR="003147B8" w:rsidRPr="00885F6C" w:rsidRDefault="008B0C65" w:rsidP="00C60AD1">
      <w:pPr>
        <w:pStyle w:val="Heading3"/>
        <w:tabs>
          <w:tab w:val="clear" w:pos="720"/>
        </w:tabs>
        <w:spacing w:after="240"/>
        <w:ind w:left="993" w:hanging="993"/>
      </w:pPr>
      <w:r w:rsidRPr="008B0C65">
        <w:t xml:space="preserve">In reply to the query raised by the Commission regarding provision for bad and doubtful debts, the Petitioner has submitted that it has framed a policy for identifying and writing off old arrears and a copy of the same was submitted to the Commission during the proceedings in respect of ARR and Tariff Petition for FY 2014-15. It is also submitted by the Licensee that appropriate directions have been issued to the field units to compile the sample cases based on such order. </w:t>
      </w:r>
    </w:p>
    <w:p w:rsidR="003147B8" w:rsidRPr="00C60AD1" w:rsidRDefault="003147B8" w:rsidP="00C60AD1">
      <w:pPr>
        <w:pStyle w:val="Heading3"/>
        <w:tabs>
          <w:tab w:val="clear" w:pos="720"/>
        </w:tabs>
        <w:spacing w:after="240"/>
        <w:ind w:left="993" w:hanging="993"/>
      </w:pPr>
      <w:r w:rsidRPr="00C60AD1">
        <w:lastRenderedPageBreak/>
        <w:t>Regulation 4.4 of the Distribution Tariff Regulations, 2006 specifies as follows:</w:t>
      </w:r>
    </w:p>
    <w:p w:rsidR="003147B8" w:rsidRPr="00C60AD1" w:rsidRDefault="003147B8" w:rsidP="00C60AD1">
      <w:pPr>
        <w:tabs>
          <w:tab w:val="left" w:pos="0"/>
          <w:tab w:val="left" w:pos="720"/>
        </w:tabs>
        <w:spacing w:after="240"/>
        <w:ind w:left="2376" w:hanging="936"/>
        <w:outlineLvl w:val="2"/>
        <w:rPr>
          <w:rFonts w:cs="Arial"/>
          <w:b/>
          <w:bCs/>
          <w:i/>
          <w:szCs w:val="26"/>
        </w:rPr>
      </w:pPr>
      <w:r w:rsidRPr="00C60AD1">
        <w:rPr>
          <w:rFonts w:cs="Arial"/>
          <w:b/>
          <w:bCs/>
          <w:i/>
          <w:szCs w:val="26"/>
        </w:rPr>
        <w:t>“4.4 Bad and Doubtful Debts:</w:t>
      </w:r>
    </w:p>
    <w:p w:rsidR="003147B8" w:rsidRPr="00C60AD1" w:rsidRDefault="003147B8" w:rsidP="00C60AD1">
      <w:pPr>
        <w:tabs>
          <w:tab w:val="left" w:pos="0"/>
          <w:tab w:val="left" w:pos="720"/>
        </w:tabs>
        <w:spacing w:after="240"/>
        <w:ind w:left="1440"/>
        <w:outlineLvl w:val="2"/>
        <w:rPr>
          <w:rFonts w:cs="Arial"/>
          <w:bCs/>
          <w:i/>
          <w:szCs w:val="26"/>
        </w:rPr>
      </w:pPr>
      <w:r w:rsidRPr="00C60AD1">
        <w:rPr>
          <w:rFonts w:cs="Arial"/>
          <w:bCs/>
          <w:i/>
          <w:szCs w:val="26"/>
        </w:rPr>
        <w:t xml:space="preserve">Bad and Doubtful Debts shall be allowed as a legitimate business expense with the ceiling limit of 2% of the revenue receivables provided the distribution licensee actually identifies and writes off bad debts </w:t>
      </w:r>
      <w:r w:rsidRPr="00C60AD1">
        <w:rPr>
          <w:rFonts w:cs="Arial"/>
          <w:b/>
          <w:bCs/>
          <w:i/>
          <w:szCs w:val="26"/>
        </w:rPr>
        <w:t>as per the transparent policy approved by the Commission</w:t>
      </w:r>
      <w:r w:rsidRPr="00C60AD1">
        <w:rPr>
          <w:rFonts w:cs="Arial"/>
          <w:bCs/>
          <w:i/>
          <w:szCs w:val="26"/>
        </w:rPr>
        <w:t>. In case there is any recovery of bad debts already written off, the recovered bad debt will be treated as other income.”(</w:t>
      </w:r>
      <w:r w:rsidR="00E212D4" w:rsidRPr="00C60AD1">
        <w:rPr>
          <w:rFonts w:cs="Arial"/>
          <w:b/>
          <w:bCs/>
          <w:i/>
          <w:szCs w:val="26"/>
        </w:rPr>
        <w:t>Emphasis</w:t>
      </w:r>
      <w:r w:rsidRPr="00C60AD1">
        <w:rPr>
          <w:rFonts w:cs="Arial"/>
          <w:b/>
          <w:bCs/>
          <w:i/>
          <w:szCs w:val="26"/>
        </w:rPr>
        <w:t xml:space="preserve"> supplied</w:t>
      </w:r>
      <w:r w:rsidRPr="00C60AD1">
        <w:rPr>
          <w:rFonts w:cs="Arial"/>
          <w:bCs/>
          <w:i/>
          <w:szCs w:val="26"/>
        </w:rPr>
        <w:t>)</w:t>
      </w:r>
    </w:p>
    <w:p w:rsidR="003147B8" w:rsidRPr="00885F6C" w:rsidRDefault="008B0C65" w:rsidP="00C60AD1">
      <w:pPr>
        <w:pStyle w:val="Heading3"/>
        <w:tabs>
          <w:tab w:val="clear" w:pos="720"/>
        </w:tabs>
        <w:spacing w:after="240"/>
        <w:ind w:left="993" w:hanging="993"/>
      </w:pPr>
      <w:bookmarkStart w:id="315" w:name="_Ref396209324"/>
      <w:r w:rsidRPr="008B0C65">
        <w:t xml:space="preserve">The submission made by Petitioner comprises of the approach for creation of provision of bad debts instead of the policy followed by it for identification of actual bad debts and writing off the same. Further, the Commission in the Tariff Order for FY 2013-14 had disallowed the claims towards provision for bad and doubtful debts due to the absence of a clear policy and procedure for identifying and writing off receivables. Any provisioning towards bad and doubtful debts needs to be backed up with processes to identify consumers who are not paying up and then making adequate attempts to collect from such consumers. </w:t>
      </w:r>
      <w:bookmarkEnd w:id="315"/>
    </w:p>
    <w:p w:rsidR="003147B8" w:rsidRPr="00885F6C" w:rsidRDefault="008B0C65" w:rsidP="00C60AD1">
      <w:pPr>
        <w:pStyle w:val="Heading3"/>
        <w:tabs>
          <w:tab w:val="clear" w:pos="720"/>
        </w:tabs>
        <w:spacing w:after="240"/>
        <w:ind w:left="993" w:hanging="993"/>
      </w:pPr>
      <w:r w:rsidRPr="008B0C65">
        <w:t>Thus, in accordance with the Distribution Tariff Regulations, 2006 proper guidelines and procedures for identifying, physically verifying and writing off the bad debts is a must for approval of provision for bad debts. Since, the Petitioner is yet to satisfy the Commission of the sincere and concerted efforts to comply with the Commission’s directives; the Commission is not giving any allowance for bad debts for FY 2013-14 during the final truing up exercise for FY 2013-14.</w:t>
      </w:r>
    </w:p>
    <w:p w:rsidR="003147B8" w:rsidRPr="00C60AD1" w:rsidRDefault="003147B8" w:rsidP="00C60AD1">
      <w:pPr>
        <w:pStyle w:val="Heading3"/>
        <w:tabs>
          <w:tab w:val="clear" w:pos="720"/>
        </w:tabs>
        <w:ind w:left="993" w:hanging="993"/>
      </w:pPr>
      <w:bookmarkStart w:id="316" w:name="_Ref396209221"/>
      <w:r w:rsidRPr="00C60AD1">
        <w:t>Therefore, in the absence of proper policy in place for identifying and writing off receivables</w:t>
      </w:r>
      <w:r w:rsidR="00C00209" w:rsidRPr="00C60AD1">
        <w:t xml:space="preserve"> and non submission of sample cases of LT &amp; HT consumer where </w:t>
      </w:r>
      <w:r w:rsidR="003F7BE7" w:rsidRPr="00C60AD1">
        <w:t>orders have been issued for writing off debts</w:t>
      </w:r>
      <w:r w:rsidRPr="00C60AD1">
        <w:t>, the Commission disallows the claims towards provision for bad and doubtful debts.</w:t>
      </w:r>
      <w:bookmarkEnd w:id="316"/>
    </w:p>
    <w:p w:rsidR="005E05AA" w:rsidRDefault="005E05AA" w:rsidP="00C60AD1">
      <w:pPr>
        <w:spacing w:before="0"/>
        <w:jc w:val="center"/>
        <w:rPr>
          <w:rFonts w:cs="Calibri"/>
          <w:b/>
          <w:sz w:val="22"/>
          <w:szCs w:val="22"/>
          <w:lang w:val="en-US"/>
        </w:rPr>
      </w:pPr>
      <w:bookmarkStart w:id="317" w:name="_Toc394490650"/>
    </w:p>
    <w:p w:rsidR="003147B8" w:rsidRPr="00C60AD1" w:rsidRDefault="003147B8" w:rsidP="00C60AD1">
      <w:pPr>
        <w:spacing w:before="0"/>
        <w:jc w:val="center"/>
        <w:rPr>
          <w:rFonts w:cs="Calibri"/>
          <w:b/>
          <w:sz w:val="22"/>
          <w:szCs w:val="22"/>
          <w:lang w:val="en-US"/>
        </w:rPr>
      </w:pPr>
      <w:bookmarkStart w:id="318" w:name="_Toc457355622"/>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4</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21</w:t>
      </w:r>
      <w:r w:rsidR="004A2D9E" w:rsidRPr="00C60AD1">
        <w:rPr>
          <w:rFonts w:cs="Calibri"/>
          <w:b/>
          <w:sz w:val="22"/>
          <w:szCs w:val="22"/>
          <w:lang w:val="en-US"/>
        </w:rPr>
        <w:fldChar w:fldCharType="end"/>
      </w:r>
      <w:r w:rsidRPr="00C60AD1">
        <w:rPr>
          <w:rFonts w:cs="Calibri"/>
          <w:b/>
          <w:sz w:val="22"/>
          <w:szCs w:val="22"/>
          <w:lang w:val="en-US"/>
        </w:rPr>
        <w:t>: PROVISION FOR BAD AND DOUBTFUL DEBT FOR FY 20</w:t>
      </w:r>
      <w:r w:rsidR="00200B08" w:rsidRPr="00C60AD1">
        <w:rPr>
          <w:rFonts w:cs="Calibri"/>
          <w:b/>
          <w:sz w:val="22"/>
          <w:szCs w:val="22"/>
          <w:lang w:val="en-US"/>
        </w:rPr>
        <w:t>1</w:t>
      </w:r>
      <w:r w:rsidR="00E7371F">
        <w:rPr>
          <w:rFonts w:cs="Calibri"/>
          <w:b/>
          <w:sz w:val="22"/>
          <w:szCs w:val="22"/>
          <w:lang w:val="en-US"/>
        </w:rPr>
        <w:t>3</w:t>
      </w:r>
      <w:r w:rsidR="00200B08" w:rsidRPr="00C60AD1">
        <w:rPr>
          <w:rFonts w:cs="Calibri"/>
          <w:b/>
          <w:sz w:val="22"/>
          <w:szCs w:val="22"/>
          <w:lang w:val="en-US"/>
        </w:rPr>
        <w:t>-1</w:t>
      </w:r>
      <w:r w:rsidR="00E7371F">
        <w:rPr>
          <w:rFonts w:cs="Calibri"/>
          <w:b/>
          <w:sz w:val="22"/>
          <w:szCs w:val="22"/>
          <w:lang w:val="en-US"/>
        </w:rPr>
        <w:t>4</w:t>
      </w:r>
      <w:r w:rsidRPr="00C60AD1">
        <w:rPr>
          <w:rFonts w:cs="Calibri"/>
          <w:b/>
          <w:sz w:val="22"/>
          <w:szCs w:val="22"/>
          <w:lang w:val="en-US"/>
        </w:rPr>
        <w:t xml:space="preserve"> (Rs. Crore)</w:t>
      </w:r>
      <w:bookmarkEnd w:id="317"/>
      <w:bookmarkEnd w:id="318"/>
    </w:p>
    <w:tbl>
      <w:tblPr>
        <w:tblW w:w="9582" w:type="dxa"/>
        <w:jc w:val="center"/>
        <w:tblInd w:w="1197" w:type="dxa"/>
        <w:tblLook w:val="04A0"/>
      </w:tblPr>
      <w:tblGrid>
        <w:gridCol w:w="2966"/>
        <w:gridCol w:w="1220"/>
        <w:gridCol w:w="1988"/>
        <w:gridCol w:w="1654"/>
        <w:gridCol w:w="1754"/>
      </w:tblGrid>
      <w:tr w:rsidR="003147B8" w:rsidRPr="00417249" w:rsidTr="004F012E">
        <w:trPr>
          <w:trHeight w:val="377"/>
          <w:tblHeader/>
          <w:jc w:val="center"/>
        </w:trPr>
        <w:tc>
          <w:tcPr>
            <w:tcW w:w="2966" w:type="dxa"/>
            <w:tcBorders>
              <w:top w:val="dotted" w:sz="4" w:space="0" w:color="auto"/>
              <w:left w:val="dotted" w:sz="4" w:space="0" w:color="auto"/>
              <w:bottom w:val="dotted" w:sz="4" w:space="0" w:color="auto"/>
              <w:right w:val="dotted" w:sz="4" w:space="0" w:color="auto"/>
            </w:tcBorders>
            <w:shd w:val="clear" w:color="000000" w:fill="DBE5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Particulars</w:t>
            </w:r>
          </w:p>
        </w:tc>
        <w:tc>
          <w:tcPr>
            <w:tcW w:w="1220"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Tariff Order</w:t>
            </w:r>
          </w:p>
        </w:tc>
        <w:tc>
          <w:tcPr>
            <w:tcW w:w="1988"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Actual as per audited accounts</w:t>
            </w:r>
          </w:p>
        </w:tc>
        <w:tc>
          <w:tcPr>
            <w:tcW w:w="1654" w:type="dxa"/>
            <w:tcBorders>
              <w:top w:val="dotted" w:sz="4" w:space="0" w:color="auto"/>
              <w:left w:val="nil"/>
              <w:bottom w:val="dotted" w:sz="4" w:space="0" w:color="auto"/>
              <w:right w:val="dotted" w:sz="4" w:space="0" w:color="auto"/>
            </w:tcBorders>
            <w:shd w:val="clear" w:color="000000" w:fill="DBE5F1"/>
            <w:hideMark/>
          </w:tcPr>
          <w:p w:rsidR="00BC7B74"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 xml:space="preserve">True-up </w:t>
            </w:r>
          </w:p>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cs="Calibri"/>
                <w:b/>
                <w:bCs/>
                <w:color w:val="000000"/>
                <w:sz w:val="22"/>
                <w:szCs w:val="22"/>
                <w:lang w:val="en-US"/>
              </w:rPr>
              <w:t>Petition</w:t>
            </w:r>
          </w:p>
        </w:tc>
        <w:tc>
          <w:tcPr>
            <w:tcW w:w="1754" w:type="dxa"/>
            <w:tcBorders>
              <w:top w:val="dotted" w:sz="4" w:space="0" w:color="auto"/>
              <w:left w:val="nil"/>
              <w:bottom w:val="dotted" w:sz="4" w:space="0" w:color="auto"/>
              <w:right w:val="dotted" w:sz="4" w:space="0" w:color="auto"/>
            </w:tcBorders>
            <w:shd w:val="clear" w:color="000000" w:fill="DBE5F1"/>
            <w:hideMark/>
          </w:tcPr>
          <w:p w:rsidR="003267CD" w:rsidRDefault="00027D0D">
            <w:pPr>
              <w:spacing w:before="0" w:line="240" w:lineRule="auto"/>
              <w:jc w:val="center"/>
              <w:rPr>
                <w:rFonts w:asciiTheme="minorHAnsi" w:hAnsiTheme="minorHAnsi" w:cs="Calibri"/>
                <w:b/>
                <w:bCs/>
                <w:color w:val="000000"/>
                <w:sz w:val="22"/>
                <w:szCs w:val="22"/>
                <w:lang w:val="en-US"/>
              </w:rPr>
            </w:pPr>
            <w:r>
              <w:rPr>
                <w:rFonts w:asciiTheme="minorHAnsi" w:hAnsiTheme="minorHAnsi"/>
                <w:b/>
                <w:sz w:val="22"/>
                <w:szCs w:val="22"/>
                <w:lang w:val="en-IN" w:eastAsia="en-IN"/>
              </w:rPr>
              <w:t xml:space="preserve">Approved upon Truing </w:t>
            </w:r>
            <w:r w:rsidR="00417249">
              <w:rPr>
                <w:rFonts w:asciiTheme="minorHAnsi" w:hAnsiTheme="minorHAnsi"/>
                <w:b/>
                <w:sz w:val="22"/>
                <w:szCs w:val="22"/>
                <w:lang w:val="en-IN" w:eastAsia="en-IN"/>
              </w:rPr>
              <w:t>u</w:t>
            </w:r>
            <w:r>
              <w:rPr>
                <w:rFonts w:asciiTheme="minorHAnsi" w:hAnsiTheme="minorHAnsi"/>
                <w:b/>
                <w:sz w:val="22"/>
                <w:szCs w:val="22"/>
                <w:lang w:val="en-IN" w:eastAsia="en-IN"/>
              </w:rPr>
              <w:t>p</w:t>
            </w:r>
          </w:p>
        </w:tc>
      </w:tr>
      <w:tr w:rsidR="00482A8F" w:rsidRPr="00417249" w:rsidTr="00985C12">
        <w:trPr>
          <w:trHeight w:val="300"/>
          <w:jc w:val="center"/>
        </w:trPr>
        <w:tc>
          <w:tcPr>
            <w:tcW w:w="2966" w:type="dxa"/>
            <w:tcBorders>
              <w:top w:val="nil"/>
              <w:left w:val="dotted" w:sz="4" w:space="0" w:color="auto"/>
              <w:bottom w:val="dotted" w:sz="4" w:space="0" w:color="auto"/>
              <w:right w:val="dotted" w:sz="4" w:space="0" w:color="auto"/>
            </w:tcBorders>
            <w:shd w:val="clear" w:color="auto" w:fill="auto"/>
            <w:noWrap/>
            <w:vAlign w:val="center"/>
            <w:hideMark/>
          </w:tcPr>
          <w:p w:rsidR="00482A8F" w:rsidRPr="007132A6" w:rsidRDefault="00482A8F" w:rsidP="007132A6">
            <w:pPr>
              <w:spacing w:before="0" w:line="240" w:lineRule="auto"/>
              <w:jc w:val="left"/>
              <w:rPr>
                <w:rFonts w:asciiTheme="minorHAnsi" w:hAnsiTheme="minorHAnsi"/>
                <w:sz w:val="22"/>
                <w:lang w:val="en-US"/>
              </w:rPr>
            </w:pPr>
            <w:r w:rsidRPr="007132A6">
              <w:rPr>
                <w:rFonts w:asciiTheme="minorHAnsi" w:hAnsiTheme="minorHAnsi"/>
                <w:sz w:val="22"/>
                <w:lang w:val="en-US"/>
              </w:rPr>
              <w:t>Provision for Bad and Doubtful Debts</w:t>
            </w:r>
          </w:p>
        </w:tc>
        <w:tc>
          <w:tcPr>
            <w:tcW w:w="1220"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rsidP="00592EAE">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c>
          <w:tcPr>
            <w:tcW w:w="1988" w:type="dxa"/>
            <w:tcBorders>
              <w:top w:val="nil"/>
              <w:left w:val="nil"/>
              <w:bottom w:val="dotted" w:sz="4" w:space="0" w:color="auto"/>
              <w:right w:val="dotted" w:sz="4" w:space="0" w:color="auto"/>
            </w:tcBorders>
            <w:shd w:val="clear" w:color="auto" w:fill="auto"/>
            <w:noWrap/>
            <w:vAlign w:val="center"/>
            <w:hideMark/>
          </w:tcPr>
          <w:p w:rsidR="00482A8F" w:rsidRPr="00482A8F" w:rsidRDefault="00BC7B74" w:rsidP="00592EAE">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11.21</w:t>
            </w:r>
          </w:p>
        </w:tc>
        <w:tc>
          <w:tcPr>
            <w:tcW w:w="1654" w:type="dxa"/>
            <w:tcBorders>
              <w:top w:val="nil"/>
              <w:left w:val="nil"/>
              <w:bottom w:val="dotted" w:sz="4" w:space="0" w:color="auto"/>
              <w:right w:val="dotted" w:sz="4" w:space="0" w:color="auto"/>
            </w:tcBorders>
            <w:shd w:val="clear" w:color="auto" w:fill="auto"/>
            <w:noWrap/>
            <w:vAlign w:val="center"/>
            <w:hideMark/>
          </w:tcPr>
          <w:p w:rsidR="00482A8F" w:rsidRPr="00482A8F" w:rsidRDefault="00BC7B74" w:rsidP="00592EAE">
            <w:pPr>
              <w:spacing w:before="0" w:line="240" w:lineRule="auto"/>
              <w:jc w:val="right"/>
              <w:rPr>
                <w:rFonts w:asciiTheme="minorHAnsi" w:hAnsiTheme="minorHAnsi" w:cs="Calibri"/>
                <w:color w:val="000000"/>
                <w:sz w:val="22"/>
                <w:szCs w:val="22"/>
                <w:lang w:val="en-US"/>
              </w:rPr>
            </w:pPr>
            <w:r>
              <w:rPr>
                <w:rFonts w:asciiTheme="minorHAnsi" w:hAnsiTheme="minorHAnsi"/>
                <w:color w:val="000000"/>
                <w:sz w:val="22"/>
                <w:szCs w:val="22"/>
              </w:rPr>
              <w:t>32.09</w:t>
            </w:r>
          </w:p>
        </w:tc>
        <w:tc>
          <w:tcPr>
            <w:tcW w:w="1754" w:type="dxa"/>
            <w:tcBorders>
              <w:top w:val="nil"/>
              <w:left w:val="nil"/>
              <w:bottom w:val="dotted" w:sz="4" w:space="0" w:color="auto"/>
              <w:right w:val="dotted" w:sz="4" w:space="0" w:color="auto"/>
            </w:tcBorders>
            <w:shd w:val="clear" w:color="auto" w:fill="auto"/>
            <w:noWrap/>
            <w:vAlign w:val="center"/>
            <w:hideMark/>
          </w:tcPr>
          <w:p w:rsidR="00482A8F" w:rsidRPr="00482A8F" w:rsidRDefault="00482A8F">
            <w:pPr>
              <w:spacing w:before="0" w:line="240" w:lineRule="auto"/>
              <w:jc w:val="right"/>
              <w:rPr>
                <w:rFonts w:asciiTheme="minorHAnsi" w:hAnsiTheme="minorHAnsi" w:cs="Calibri"/>
                <w:color w:val="000000"/>
                <w:sz w:val="22"/>
                <w:szCs w:val="22"/>
                <w:lang w:val="en-US"/>
              </w:rPr>
            </w:pPr>
            <w:r w:rsidRPr="00482A8F">
              <w:rPr>
                <w:rFonts w:asciiTheme="minorHAnsi" w:hAnsiTheme="minorHAnsi"/>
                <w:color w:val="000000"/>
                <w:sz w:val="22"/>
                <w:szCs w:val="22"/>
              </w:rPr>
              <w:t>0.00</w:t>
            </w:r>
          </w:p>
        </w:tc>
      </w:tr>
    </w:tbl>
    <w:p w:rsidR="003147B8" w:rsidRPr="00C60AD1" w:rsidRDefault="003147B8" w:rsidP="00C60AD1">
      <w:pPr>
        <w:pStyle w:val="Heading2"/>
        <w:rPr>
          <w:rFonts w:cs="Calibri"/>
          <w:szCs w:val="26"/>
          <w:lang w:val="en-US"/>
        </w:rPr>
      </w:pPr>
      <w:bookmarkStart w:id="319" w:name="_Toc394435924"/>
      <w:bookmarkStart w:id="320" w:name="_Toc457355481"/>
      <w:bookmarkStart w:id="321" w:name="_Toc352568757"/>
      <w:bookmarkStart w:id="322" w:name="_Toc356913006"/>
      <w:r w:rsidRPr="00C60AD1">
        <w:rPr>
          <w:rFonts w:cs="Calibri"/>
          <w:szCs w:val="26"/>
          <w:lang w:val="en-US"/>
        </w:rPr>
        <w:lastRenderedPageBreak/>
        <w:t>RETURN ON EQUITY</w:t>
      </w:r>
      <w:bookmarkEnd w:id="319"/>
      <w:bookmarkEnd w:id="320"/>
    </w:p>
    <w:p w:rsidR="003147B8" w:rsidRDefault="003147B8" w:rsidP="00C60AD1">
      <w:pPr>
        <w:pStyle w:val="Heading3"/>
        <w:tabs>
          <w:tab w:val="clear" w:pos="720"/>
        </w:tabs>
        <w:spacing w:after="240"/>
        <w:ind w:left="993" w:hanging="993"/>
      </w:pPr>
      <w:bookmarkStart w:id="323" w:name="_Toc357349099"/>
      <w:bookmarkStart w:id="324" w:name="_Toc357356158"/>
      <w:r w:rsidRPr="00C60AD1">
        <w:t>The Petitioner has not claimed any return on equity for the year under review. Hence, the Commission has also not allowed any amount towards return on equity for FY 20</w:t>
      </w:r>
      <w:r w:rsidR="007C255E" w:rsidRPr="00C60AD1">
        <w:t>1</w:t>
      </w:r>
      <w:r w:rsidR="00B80A01">
        <w:t>3</w:t>
      </w:r>
      <w:r w:rsidR="007C255E" w:rsidRPr="00C60AD1">
        <w:t>-1</w:t>
      </w:r>
      <w:r w:rsidR="00B80A01">
        <w:t>4</w:t>
      </w:r>
      <w:r w:rsidRPr="00C60AD1">
        <w:t>.</w:t>
      </w:r>
      <w:bookmarkEnd w:id="323"/>
      <w:bookmarkEnd w:id="324"/>
    </w:p>
    <w:p w:rsidR="006C08CE" w:rsidRPr="00C60AD1" w:rsidRDefault="006C08CE" w:rsidP="006C08CE">
      <w:pPr>
        <w:pStyle w:val="Heading3"/>
        <w:numPr>
          <w:ilvl w:val="0"/>
          <w:numId w:val="0"/>
        </w:numPr>
        <w:tabs>
          <w:tab w:val="clear" w:pos="720"/>
        </w:tabs>
        <w:spacing w:before="0"/>
        <w:ind w:left="993"/>
      </w:pPr>
    </w:p>
    <w:p w:rsidR="002127C6" w:rsidRDefault="002F128D" w:rsidP="006C08CE">
      <w:pPr>
        <w:pStyle w:val="Heading2"/>
        <w:spacing w:before="0"/>
        <w:rPr>
          <w:rFonts w:cs="Calibri"/>
          <w:szCs w:val="26"/>
          <w:lang w:val="en-US"/>
        </w:rPr>
      </w:pPr>
      <w:bookmarkStart w:id="325" w:name="_Toc455417261"/>
      <w:bookmarkStart w:id="326" w:name="_Toc455486779"/>
      <w:bookmarkStart w:id="327" w:name="_Toc455487078"/>
      <w:bookmarkStart w:id="328" w:name="_Toc455487445"/>
      <w:bookmarkStart w:id="329" w:name="_Toc455493872"/>
      <w:bookmarkStart w:id="330" w:name="_Toc455494172"/>
      <w:bookmarkStart w:id="331" w:name="_Toc455494472"/>
      <w:bookmarkStart w:id="332" w:name="_Toc455496200"/>
      <w:bookmarkStart w:id="333" w:name="_Toc455506919"/>
      <w:bookmarkStart w:id="334" w:name="_Toc455507216"/>
      <w:bookmarkStart w:id="335" w:name="_Toc455574861"/>
      <w:bookmarkStart w:id="336" w:name="_Toc455673472"/>
      <w:bookmarkStart w:id="337" w:name="_Toc455417262"/>
      <w:bookmarkStart w:id="338" w:name="_Toc455486780"/>
      <w:bookmarkStart w:id="339" w:name="_Toc455487079"/>
      <w:bookmarkStart w:id="340" w:name="_Toc455487446"/>
      <w:bookmarkStart w:id="341" w:name="_Toc455493873"/>
      <w:bookmarkStart w:id="342" w:name="_Toc455494173"/>
      <w:bookmarkStart w:id="343" w:name="_Toc455494473"/>
      <w:bookmarkStart w:id="344" w:name="_Toc455496201"/>
      <w:bookmarkStart w:id="345" w:name="_Toc455506920"/>
      <w:bookmarkStart w:id="346" w:name="_Toc455507217"/>
      <w:bookmarkStart w:id="347" w:name="_Toc455574862"/>
      <w:bookmarkStart w:id="348" w:name="_Toc455673473"/>
      <w:bookmarkStart w:id="349" w:name="_Toc455417263"/>
      <w:bookmarkStart w:id="350" w:name="_Toc455486781"/>
      <w:bookmarkStart w:id="351" w:name="_Toc455487080"/>
      <w:bookmarkStart w:id="352" w:name="_Toc455487447"/>
      <w:bookmarkStart w:id="353" w:name="_Toc455493874"/>
      <w:bookmarkStart w:id="354" w:name="_Toc455494174"/>
      <w:bookmarkStart w:id="355" w:name="_Toc455494474"/>
      <w:bookmarkStart w:id="356" w:name="_Toc455496202"/>
      <w:bookmarkStart w:id="357" w:name="_Toc455506921"/>
      <w:bookmarkStart w:id="358" w:name="_Toc455507218"/>
      <w:bookmarkStart w:id="359" w:name="_Toc455574863"/>
      <w:bookmarkStart w:id="360" w:name="_Toc455673474"/>
      <w:bookmarkStart w:id="361" w:name="_Toc455417264"/>
      <w:bookmarkStart w:id="362" w:name="_Toc455486782"/>
      <w:bookmarkStart w:id="363" w:name="_Toc455487081"/>
      <w:bookmarkStart w:id="364" w:name="_Toc455487448"/>
      <w:bookmarkStart w:id="365" w:name="_Toc455493875"/>
      <w:bookmarkStart w:id="366" w:name="_Toc455494175"/>
      <w:bookmarkStart w:id="367" w:name="_Toc455494475"/>
      <w:bookmarkStart w:id="368" w:name="_Toc455496203"/>
      <w:bookmarkStart w:id="369" w:name="_Toc455506922"/>
      <w:bookmarkStart w:id="370" w:name="_Toc455507219"/>
      <w:bookmarkStart w:id="371" w:name="_Toc455574864"/>
      <w:bookmarkStart w:id="372" w:name="_Toc455673475"/>
      <w:bookmarkStart w:id="373" w:name="_Toc455417265"/>
      <w:bookmarkStart w:id="374" w:name="_Toc455486783"/>
      <w:bookmarkStart w:id="375" w:name="_Toc455487082"/>
      <w:bookmarkStart w:id="376" w:name="_Toc455487449"/>
      <w:bookmarkStart w:id="377" w:name="_Toc455493876"/>
      <w:bookmarkStart w:id="378" w:name="_Toc455494176"/>
      <w:bookmarkStart w:id="379" w:name="_Toc455494476"/>
      <w:bookmarkStart w:id="380" w:name="_Toc455496204"/>
      <w:bookmarkStart w:id="381" w:name="_Toc455506923"/>
      <w:bookmarkStart w:id="382" w:name="_Toc455507220"/>
      <w:bookmarkStart w:id="383" w:name="_Toc455574865"/>
      <w:bookmarkStart w:id="384" w:name="_Toc455673476"/>
      <w:bookmarkStart w:id="385" w:name="_Toc455417266"/>
      <w:bookmarkStart w:id="386" w:name="_Toc455486784"/>
      <w:bookmarkStart w:id="387" w:name="_Toc455487083"/>
      <w:bookmarkStart w:id="388" w:name="_Toc455487450"/>
      <w:bookmarkStart w:id="389" w:name="_Toc455493877"/>
      <w:bookmarkStart w:id="390" w:name="_Toc455494177"/>
      <w:bookmarkStart w:id="391" w:name="_Toc455494477"/>
      <w:bookmarkStart w:id="392" w:name="_Toc455496205"/>
      <w:bookmarkStart w:id="393" w:name="_Toc455506924"/>
      <w:bookmarkStart w:id="394" w:name="_Toc455507221"/>
      <w:bookmarkStart w:id="395" w:name="_Toc455574866"/>
      <w:bookmarkStart w:id="396" w:name="_Toc455673477"/>
      <w:bookmarkStart w:id="397" w:name="_Toc455417267"/>
      <w:bookmarkStart w:id="398" w:name="_Toc455486785"/>
      <w:bookmarkStart w:id="399" w:name="_Toc455487084"/>
      <w:bookmarkStart w:id="400" w:name="_Toc455487451"/>
      <w:bookmarkStart w:id="401" w:name="_Toc455493878"/>
      <w:bookmarkStart w:id="402" w:name="_Toc455494178"/>
      <w:bookmarkStart w:id="403" w:name="_Toc455494478"/>
      <w:bookmarkStart w:id="404" w:name="_Toc455496206"/>
      <w:bookmarkStart w:id="405" w:name="_Toc455506925"/>
      <w:bookmarkStart w:id="406" w:name="_Toc455507222"/>
      <w:bookmarkStart w:id="407" w:name="_Toc455574867"/>
      <w:bookmarkStart w:id="408" w:name="_Toc455673478"/>
      <w:bookmarkStart w:id="409" w:name="_Toc455417268"/>
      <w:bookmarkStart w:id="410" w:name="_Toc455486786"/>
      <w:bookmarkStart w:id="411" w:name="_Toc455487085"/>
      <w:bookmarkStart w:id="412" w:name="_Toc455487452"/>
      <w:bookmarkStart w:id="413" w:name="_Toc455493879"/>
      <w:bookmarkStart w:id="414" w:name="_Toc455494179"/>
      <w:bookmarkStart w:id="415" w:name="_Toc455494479"/>
      <w:bookmarkStart w:id="416" w:name="_Toc455496207"/>
      <w:bookmarkStart w:id="417" w:name="_Toc455506926"/>
      <w:bookmarkStart w:id="418" w:name="_Toc455507223"/>
      <w:bookmarkStart w:id="419" w:name="_Toc455574868"/>
      <w:bookmarkStart w:id="420" w:name="_Toc455673479"/>
      <w:bookmarkStart w:id="421" w:name="_Toc455417269"/>
      <w:bookmarkStart w:id="422" w:name="_Toc455486787"/>
      <w:bookmarkStart w:id="423" w:name="_Toc455487086"/>
      <w:bookmarkStart w:id="424" w:name="_Toc455487453"/>
      <w:bookmarkStart w:id="425" w:name="_Toc455493880"/>
      <w:bookmarkStart w:id="426" w:name="_Toc455494180"/>
      <w:bookmarkStart w:id="427" w:name="_Toc455494480"/>
      <w:bookmarkStart w:id="428" w:name="_Toc455496208"/>
      <w:bookmarkStart w:id="429" w:name="_Toc455506927"/>
      <w:bookmarkStart w:id="430" w:name="_Toc455507224"/>
      <w:bookmarkStart w:id="431" w:name="_Toc455574869"/>
      <w:bookmarkStart w:id="432" w:name="_Toc455673480"/>
      <w:bookmarkStart w:id="433" w:name="_Toc455417270"/>
      <w:bookmarkStart w:id="434" w:name="_Toc455486788"/>
      <w:bookmarkStart w:id="435" w:name="_Toc455487087"/>
      <w:bookmarkStart w:id="436" w:name="_Toc455487454"/>
      <w:bookmarkStart w:id="437" w:name="_Toc455493881"/>
      <w:bookmarkStart w:id="438" w:name="_Toc455494181"/>
      <w:bookmarkStart w:id="439" w:name="_Toc455494481"/>
      <w:bookmarkStart w:id="440" w:name="_Toc455496209"/>
      <w:bookmarkStart w:id="441" w:name="_Toc455506928"/>
      <w:bookmarkStart w:id="442" w:name="_Toc455507225"/>
      <w:bookmarkStart w:id="443" w:name="_Toc455574870"/>
      <w:bookmarkStart w:id="444" w:name="_Toc455673481"/>
      <w:bookmarkStart w:id="445" w:name="_Toc455417271"/>
      <w:bookmarkStart w:id="446" w:name="_Toc455486789"/>
      <w:bookmarkStart w:id="447" w:name="_Toc455487088"/>
      <w:bookmarkStart w:id="448" w:name="_Toc455487455"/>
      <w:bookmarkStart w:id="449" w:name="_Toc455493882"/>
      <w:bookmarkStart w:id="450" w:name="_Toc455494182"/>
      <w:bookmarkStart w:id="451" w:name="_Toc455494482"/>
      <w:bookmarkStart w:id="452" w:name="_Toc455496210"/>
      <w:bookmarkStart w:id="453" w:name="_Toc455506929"/>
      <w:bookmarkStart w:id="454" w:name="_Toc455507226"/>
      <w:bookmarkStart w:id="455" w:name="_Toc455574871"/>
      <w:bookmarkStart w:id="456" w:name="_Toc455673482"/>
      <w:bookmarkStart w:id="457" w:name="_Toc455417272"/>
      <w:bookmarkStart w:id="458" w:name="_Toc455486790"/>
      <w:bookmarkStart w:id="459" w:name="_Toc455487089"/>
      <w:bookmarkStart w:id="460" w:name="_Toc455487456"/>
      <w:bookmarkStart w:id="461" w:name="_Toc455493883"/>
      <w:bookmarkStart w:id="462" w:name="_Toc455494183"/>
      <w:bookmarkStart w:id="463" w:name="_Toc455494483"/>
      <w:bookmarkStart w:id="464" w:name="_Toc455496211"/>
      <w:bookmarkStart w:id="465" w:name="_Toc455506930"/>
      <w:bookmarkStart w:id="466" w:name="_Toc455507227"/>
      <w:bookmarkStart w:id="467" w:name="_Toc455574872"/>
      <w:bookmarkStart w:id="468" w:name="_Toc455673483"/>
      <w:bookmarkStart w:id="469" w:name="_Toc455417273"/>
      <w:bookmarkStart w:id="470" w:name="_Toc455486791"/>
      <w:bookmarkStart w:id="471" w:name="_Toc455487090"/>
      <w:bookmarkStart w:id="472" w:name="_Toc455487457"/>
      <w:bookmarkStart w:id="473" w:name="_Toc455493884"/>
      <w:bookmarkStart w:id="474" w:name="_Toc455494184"/>
      <w:bookmarkStart w:id="475" w:name="_Toc455494484"/>
      <w:bookmarkStart w:id="476" w:name="_Toc455496212"/>
      <w:bookmarkStart w:id="477" w:name="_Toc455506931"/>
      <w:bookmarkStart w:id="478" w:name="_Toc455507228"/>
      <w:bookmarkStart w:id="479" w:name="_Toc455574873"/>
      <w:bookmarkStart w:id="480" w:name="_Toc455673484"/>
      <w:bookmarkStart w:id="481" w:name="_Toc455417274"/>
      <w:bookmarkStart w:id="482" w:name="_Toc455486792"/>
      <w:bookmarkStart w:id="483" w:name="_Toc455487091"/>
      <w:bookmarkStart w:id="484" w:name="_Toc455487458"/>
      <w:bookmarkStart w:id="485" w:name="_Toc455493885"/>
      <w:bookmarkStart w:id="486" w:name="_Toc455494185"/>
      <w:bookmarkStart w:id="487" w:name="_Toc455494485"/>
      <w:bookmarkStart w:id="488" w:name="_Toc455496213"/>
      <w:bookmarkStart w:id="489" w:name="_Toc455506932"/>
      <w:bookmarkStart w:id="490" w:name="_Toc455507229"/>
      <w:bookmarkStart w:id="491" w:name="_Toc455574874"/>
      <w:bookmarkStart w:id="492" w:name="_Toc455673485"/>
      <w:bookmarkStart w:id="493" w:name="_Toc455417275"/>
      <w:bookmarkStart w:id="494" w:name="_Toc455486793"/>
      <w:bookmarkStart w:id="495" w:name="_Toc455487092"/>
      <w:bookmarkStart w:id="496" w:name="_Toc455487459"/>
      <w:bookmarkStart w:id="497" w:name="_Toc455493886"/>
      <w:bookmarkStart w:id="498" w:name="_Toc455494186"/>
      <w:bookmarkStart w:id="499" w:name="_Toc455494486"/>
      <w:bookmarkStart w:id="500" w:name="_Toc455496214"/>
      <w:bookmarkStart w:id="501" w:name="_Toc455506933"/>
      <w:bookmarkStart w:id="502" w:name="_Toc455507230"/>
      <w:bookmarkStart w:id="503" w:name="_Toc455574875"/>
      <w:bookmarkStart w:id="504" w:name="_Toc455673486"/>
      <w:bookmarkStart w:id="505" w:name="_Toc455417276"/>
      <w:bookmarkStart w:id="506" w:name="_Toc455486794"/>
      <w:bookmarkStart w:id="507" w:name="_Toc455487093"/>
      <w:bookmarkStart w:id="508" w:name="_Toc455487460"/>
      <w:bookmarkStart w:id="509" w:name="_Toc455493887"/>
      <w:bookmarkStart w:id="510" w:name="_Toc455494187"/>
      <w:bookmarkStart w:id="511" w:name="_Toc455494487"/>
      <w:bookmarkStart w:id="512" w:name="_Toc455496215"/>
      <w:bookmarkStart w:id="513" w:name="_Toc455506934"/>
      <w:bookmarkStart w:id="514" w:name="_Toc455507231"/>
      <w:bookmarkStart w:id="515" w:name="_Toc455574876"/>
      <w:bookmarkStart w:id="516" w:name="_Toc455673487"/>
      <w:bookmarkStart w:id="517" w:name="_Toc455417277"/>
      <w:bookmarkStart w:id="518" w:name="_Toc455486795"/>
      <w:bookmarkStart w:id="519" w:name="_Toc455487094"/>
      <w:bookmarkStart w:id="520" w:name="_Toc455487461"/>
      <w:bookmarkStart w:id="521" w:name="_Toc455493888"/>
      <w:bookmarkStart w:id="522" w:name="_Toc455494188"/>
      <w:bookmarkStart w:id="523" w:name="_Toc455494488"/>
      <w:bookmarkStart w:id="524" w:name="_Toc455496216"/>
      <w:bookmarkStart w:id="525" w:name="_Toc455506935"/>
      <w:bookmarkStart w:id="526" w:name="_Toc455507232"/>
      <w:bookmarkStart w:id="527" w:name="_Toc455574877"/>
      <w:bookmarkStart w:id="528" w:name="_Toc455673488"/>
      <w:bookmarkStart w:id="529" w:name="_Toc455417278"/>
      <w:bookmarkStart w:id="530" w:name="_Toc455486796"/>
      <w:bookmarkStart w:id="531" w:name="_Toc455487095"/>
      <w:bookmarkStart w:id="532" w:name="_Toc455487462"/>
      <w:bookmarkStart w:id="533" w:name="_Toc455493889"/>
      <w:bookmarkStart w:id="534" w:name="_Toc455494189"/>
      <w:bookmarkStart w:id="535" w:name="_Toc455494489"/>
      <w:bookmarkStart w:id="536" w:name="_Toc455496217"/>
      <w:bookmarkStart w:id="537" w:name="_Toc455506936"/>
      <w:bookmarkStart w:id="538" w:name="_Toc455507233"/>
      <w:bookmarkStart w:id="539" w:name="_Toc455574878"/>
      <w:bookmarkStart w:id="540" w:name="_Toc455673489"/>
      <w:bookmarkStart w:id="541" w:name="_Toc455417279"/>
      <w:bookmarkStart w:id="542" w:name="_Toc455486797"/>
      <w:bookmarkStart w:id="543" w:name="_Toc455487096"/>
      <w:bookmarkStart w:id="544" w:name="_Toc455487463"/>
      <w:bookmarkStart w:id="545" w:name="_Toc455493890"/>
      <w:bookmarkStart w:id="546" w:name="_Toc455494190"/>
      <w:bookmarkStart w:id="547" w:name="_Toc455494490"/>
      <w:bookmarkStart w:id="548" w:name="_Toc455496218"/>
      <w:bookmarkStart w:id="549" w:name="_Toc455506937"/>
      <w:bookmarkStart w:id="550" w:name="_Toc455507234"/>
      <w:bookmarkStart w:id="551" w:name="_Toc455574879"/>
      <w:bookmarkStart w:id="552" w:name="_Toc455673490"/>
      <w:bookmarkStart w:id="553" w:name="_Toc455417280"/>
      <w:bookmarkStart w:id="554" w:name="_Toc455486798"/>
      <w:bookmarkStart w:id="555" w:name="_Toc455487097"/>
      <w:bookmarkStart w:id="556" w:name="_Toc455487464"/>
      <w:bookmarkStart w:id="557" w:name="_Toc455493891"/>
      <w:bookmarkStart w:id="558" w:name="_Toc455494191"/>
      <w:bookmarkStart w:id="559" w:name="_Toc455494491"/>
      <w:bookmarkStart w:id="560" w:name="_Toc455496219"/>
      <w:bookmarkStart w:id="561" w:name="_Toc455506938"/>
      <w:bookmarkStart w:id="562" w:name="_Toc455507235"/>
      <w:bookmarkStart w:id="563" w:name="_Toc455574880"/>
      <w:bookmarkStart w:id="564" w:name="_Toc455673491"/>
      <w:bookmarkStart w:id="565" w:name="_Toc455417281"/>
      <w:bookmarkStart w:id="566" w:name="_Toc455486799"/>
      <w:bookmarkStart w:id="567" w:name="_Toc455487098"/>
      <w:bookmarkStart w:id="568" w:name="_Toc455487339"/>
      <w:bookmarkStart w:id="569" w:name="_Toc455487465"/>
      <w:bookmarkStart w:id="570" w:name="_Toc455487706"/>
      <w:bookmarkStart w:id="571" w:name="_Toc455487773"/>
      <w:bookmarkStart w:id="572" w:name="_Toc455487841"/>
      <w:bookmarkStart w:id="573" w:name="_Toc455487909"/>
      <w:bookmarkStart w:id="574" w:name="_Toc455493565"/>
      <w:bookmarkStart w:id="575" w:name="_Toc455493634"/>
      <w:bookmarkStart w:id="576" w:name="_Toc455493766"/>
      <w:bookmarkStart w:id="577" w:name="_Toc455493892"/>
      <w:bookmarkStart w:id="578" w:name="_Toc455494192"/>
      <w:bookmarkStart w:id="579" w:name="_Toc455494492"/>
      <w:bookmarkStart w:id="580" w:name="_Toc455496220"/>
      <w:bookmarkStart w:id="581" w:name="_Toc455496458"/>
      <w:bookmarkStart w:id="582" w:name="_Toc455496528"/>
      <w:bookmarkStart w:id="583" w:name="_Toc455496599"/>
      <w:bookmarkStart w:id="584" w:name="_Toc455502168"/>
      <w:bookmarkStart w:id="585" w:name="_Toc455502298"/>
      <w:bookmarkStart w:id="586" w:name="_Toc455502404"/>
      <w:bookmarkStart w:id="587" w:name="_Toc455502677"/>
      <w:bookmarkStart w:id="588" w:name="_Toc455503212"/>
      <w:bookmarkStart w:id="589" w:name="_Toc455503470"/>
      <w:bookmarkStart w:id="590" w:name="_Toc455506737"/>
      <w:bookmarkStart w:id="591" w:name="_Toc455506810"/>
      <w:bookmarkStart w:id="592" w:name="_Toc455506939"/>
      <w:bookmarkStart w:id="593" w:name="_Toc455507236"/>
      <w:bookmarkStart w:id="594" w:name="_Toc455574881"/>
      <w:bookmarkStart w:id="595" w:name="_Toc455575128"/>
      <w:bookmarkStart w:id="596" w:name="_Toc455673492"/>
      <w:bookmarkStart w:id="597" w:name="_Toc455673744"/>
      <w:bookmarkStart w:id="598" w:name="_Toc455698138"/>
      <w:bookmarkStart w:id="599" w:name="_Toc455417289"/>
      <w:bookmarkStart w:id="600" w:name="_Toc455486807"/>
      <w:bookmarkStart w:id="601" w:name="_Toc455487106"/>
      <w:bookmarkStart w:id="602" w:name="_Toc455487473"/>
      <w:bookmarkStart w:id="603" w:name="_Toc455493900"/>
      <w:bookmarkStart w:id="604" w:name="_Toc455494200"/>
      <w:bookmarkStart w:id="605" w:name="_Toc455494500"/>
      <w:bookmarkStart w:id="606" w:name="_Toc455496228"/>
      <w:bookmarkStart w:id="607" w:name="_Toc455506947"/>
      <w:bookmarkStart w:id="608" w:name="_Toc455507244"/>
      <w:bookmarkStart w:id="609" w:name="_Toc455574889"/>
      <w:bookmarkStart w:id="610" w:name="_Toc455673500"/>
      <w:bookmarkStart w:id="611" w:name="_Toc419553115"/>
      <w:bookmarkStart w:id="612" w:name="_Toc419623695"/>
      <w:bookmarkStart w:id="613" w:name="_Toc419641620"/>
      <w:bookmarkStart w:id="614" w:name="_Toc420005531"/>
      <w:bookmarkStart w:id="615" w:name="_Toc420016241"/>
      <w:bookmarkStart w:id="616" w:name="_Toc420016285"/>
      <w:bookmarkStart w:id="617" w:name="_Toc420196319"/>
      <w:bookmarkStart w:id="618" w:name="_Toc420196401"/>
      <w:bookmarkStart w:id="619" w:name="_Toc420197570"/>
      <w:bookmarkStart w:id="620" w:name="_Toc457355482"/>
      <w:bookmarkEnd w:id="321"/>
      <w:bookmarkEnd w:id="32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2F128D">
        <w:rPr>
          <w:rFonts w:cs="Calibri"/>
          <w:szCs w:val="26"/>
          <w:lang w:val="en-US"/>
        </w:rPr>
        <w:t>REVENUE SIDE TRUING UP</w:t>
      </w:r>
      <w:bookmarkEnd w:id="620"/>
    </w:p>
    <w:p w:rsidR="002F128D" w:rsidRDefault="002F128D" w:rsidP="002F128D">
      <w:pPr>
        <w:spacing w:before="0" w:line="240" w:lineRule="auto"/>
        <w:jc w:val="left"/>
      </w:pPr>
    </w:p>
    <w:p w:rsidR="002F128D" w:rsidRDefault="002F128D" w:rsidP="002F128D">
      <w:pPr>
        <w:spacing w:before="0" w:line="240" w:lineRule="auto"/>
        <w:jc w:val="left"/>
        <w:rPr>
          <w:b/>
        </w:rPr>
      </w:pPr>
      <w:r>
        <w:tab/>
      </w:r>
      <w:r w:rsidRPr="00C60AD1">
        <w:rPr>
          <w:b/>
        </w:rPr>
        <w:t>NON-TARIFF INCOME</w:t>
      </w:r>
    </w:p>
    <w:p w:rsidR="002F128D" w:rsidRPr="00C60AD1" w:rsidRDefault="002F128D" w:rsidP="002F128D">
      <w:pPr>
        <w:pStyle w:val="Heading3"/>
        <w:tabs>
          <w:tab w:val="clear" w:pos="720"/>
        </w:tabs>
        <w:spacing w:after="240"/>
        <w:ind w:left="993" w:hanging="993"/>
      </w:pPr>
      <w:r w:rsidRPr="00C60AD1">
        <w:t>The Petitioner has submitted that the actual non-tariff income during FY 201</w:t>
      </w:r>
      <w:r>
        <w:t>3</w:t>
      </w:r>
      <w:r w:rsidRPr="00C60AD1">
        <w:t>-1</w:t>
      </w:r>
      <w:r>
        <w:t>4</w:t>
      </w:r>
      <w:r w:rsidRPr="00C60AD1">
        <w:t xml:space="preserve"> was Rs. </w:t>
      </w:r>
      <w:r w:rsidR="004E7907">
        <w:t>7.04</w:t>
      </w:r>
      <w:r w:rsidRPr="00C60AD1">
        <w:t xml:space="preserve"> Crore as compared to Rs. </w:t>
      </w:r>
      <w:r w:rsidR="004E7907">
        <w:t>5.65</w:t>
      </w:r>
      <w:r w:rsidRPr="00C60AD1">
        <w:t xml:space="preserve"> Crore approved by the Commission in the Tariff Order.</w:t>
      </w:r>
    </w:p>
    <w:p w:rsidR="002F128D" w:rsidRPr="00C60AD1" w:rsidRDefault="002F128D" w:rsidP="002F128D">
      <w:pPr>
        <w:pStyle w:val="Heading3"/>
        <w:tabs>
          <w:tab w:val="clear" w:pos="720"/>
        </w:tabs>
        <w:spacing w:after="240"/>
        <w:ind w:left="993" w:hanging="993"/>
      </w:pPr>
      <w:r w:rsidRPr="00C60AD1">
        <w:t xml:space="preserve">The Commission has accepted the submission of the Petitioner under this </w:t>
      </w:r>
      <w:bookmarkStart w:id="621" w:name="_GoBack"/>
      <w:bookmarkEnd w:id="621"/>
      <w:r w:rsidRPr="00C60AD1">
        <w:t xml:space="preserve">head and has accordingly approved Non-Tariff Income of Rs. </w:t>
      </w:r>
      <w:r w:rsidR="004E7907">
        <w:t>7.04</w:t>
      </w:r>
      <w:r w:rsidRPr="00C60AD1">
        <w:t xml:space="preserve"> Crore for FY 201</w:t>
      </w:r>
      <w:r>
        <w:t>3</w:t>
      </w:r>
      <w:r w:rsidRPr="00C60AD1">
        <w:t>-1</w:t>
      </w:r>
      <w:r>
        <w:t>4</w:t>
      </w:r>
      <w:r w:rsidRPr="00C60AD1">
        <w:t>.</w:t>
      </w:r>
    </w:p>
    <w:p w:rsidR="008B0C65" w:rsidRDefault="008B0C65" w:rsidP="008B0C65">
      <w:pPr>
        <w:pStyle w:val="Heading2"/>
        <w:numPr>
          <w:ilvl w:val="0"/>
          <w:numId w:val="0"/>
        </w:numPr>
        <w:ind w:left="780"/>
        <w:rPr>
          <w:rFonts w:cs="Calibri"/>
          <w:szCs w:val="26"/>
          <w:lang w:val="en-US"/>
        </w:rPr>
      </w:pPr>
    </w:p>
    <w:p w:rsidR="003147B8" w:rsidRPr="00C60AD1" w:rsidRDefault="003147B8" w:rsidP="00C60AD1">
      <w:pPr>
        <w:pStyle w:val="Heading2"/>
        <w:rPr>
          <w:rFonts w:cs="Calibri"/>
          <w:szCs w:val="26"/>
          <w:lang w:val="en-US"/>
        </w:rPr>
      </w:pPr>
      <w:bookmarkStart w:id="622" w:name="_Toc457355483"/>
      <w:r w:rsidRPr="00C60AD1">
        <w:rPr>
          <w:rFonts w:cs="Calibri"/>
          <w:szCs w:val="26"/>
          <w:lang w:val="en-US"/>
        </w:rPr>
        <w:t>REVENUE FROM SALE OF POWER</w:t>
      </w:r>
      <w:bookmarkEnd w:id="622"/>
    </w:p>
    <w:p w:rsidR="003147B8" w:rsidRPr="00C60AD1" w:rsidRDefault="008A1A72" w:rsidP="00C60AD1">
      <w:pPr>
        <w:pStyle w:val="Heading3"/>
        <w:tabs>
          <w:tab w:val="clear" w:pos="720"/>
        </w:tabs>
        <w:spacing w:after="240"/>
        <w:ind w:left="993" w:hanging="993"/>
      </w:pPr>
      <w:r w:rsidRPr="00C60AD1">
        <w:t xml:space="preserve">The Petitioner has submitted that the actual revenue from </w:t>
      </w:r>
      <w:r w:rsidR="00B94C76" w:rsidRPr="00C60AD1">
        <w:t>sale of power during FY 201</w:t>
      </w:r>
      <w:r w:rsidR="004B6A9F">
        <w:t>3</w:t>
      </w:r>
      <w:r w:rsidR="00B94C76" w:rsidRPr="00C60AD1">
        <w:t>-1</w:t>
      </w:r>
      <w:r w:rsidR="004B6A9F">
        <w:t>4</w:t>
      </w:r>
      <w:r w:rsidR="00B94C76" w:rsidRPr="00C60AD1">
        <w:t xml:space="preserve"> is Rs. </w:t>
      </w:r>
      <w:r w:rsidR="004E7907">
        <w:t>1,545.24</w:t>
      </w:r>
      <w:r w:rsidRPr="00C60AD1">
        <w:t xml:space="preserve"> Crore towards electricity sales of </w:t>
      </w:r>
      <w:r w:rsidR="004E7907">
        <w:t>2,458.09</w:t>
      </w:r>
      <w:r w:rsidRPr="00C60AD1">
        <w:t xml:space="preserve"> MU against Rs. </w:t>
      </w:r>
      <w:r w:rsidR="004E7907">
        <w:t>1,402.33</w:t>
      </w:r>
      <w:r w:rsidRPr="00C60AD1">
        <w:t xml:space="preserve"> Crore approved by the Commission in its Tariff Order.</w:t>
      </w:r>
    </w:p>
    <w:p w:rsidR="003147B8" w:rsidRPr="00642DF2" w:rsidRDefault="008B0C65" w:rsidP="00C60AD1">
      <w:pPr>
        <w:pStyle w:val="Heading3"/>
        <w:tabs>
          <w:tab w:val="clear" w:pos="720"/>
        </w:tabs>
        <w:spacing w:after="240"/>
        <w:ind w:left="993" w:hanging="993"/>
      </w:pPr>
      <w:r w:rsidRPr="008B0C65">
        <w:t xml:space="preserve">The Commission, in its deficiency note, asked the Petitioner to confirm that Delayed Payment Surcharge has not been double accounted in the total revenue and </w:t>
      </w:r>
      <w:r w:rsidR="00AE2CE3">
        <w:t>to</w:t>
      </w:r>
      <w:r w:rsidRPr="008B0C65">
        <w:t xml:space="preserve"> submit the detailed break-up of revenue from sale of power. In its reply, the Licensee has submitted that “Delayed Payment surcharge” has not been double accounted in the total revenue and it has been added up to the Revenue from Sales. Further, the complete breakup of the total revenue and delayed payment surcharge as per the audited accounts is also submitted by the Petitioner.</w:t>
      </w:r>
    </w:p>
    <w:p w:rsidR="003147B8" w:rsidRDefault="008B0C65" w:rsidP="00C60AD1">
      <w:pPr>
        <w:pStyle w:val="Heading3"/>
        <w:tabs>
          <w:tab w:val="clear" w:pos="720"/>
        </w:tabs>
        <w:spacing w:after="240"/>
        <w:ind w:left="993" w:hanging="993"/>
      </w:pPr>
      <w:r w:rsidRPr="008B0C65">
        <w:t xml:space="preserve">The Commission has accepted the revenue from sale of power as submitted by the Petitioner and has accordingly approved the actual revenue of Rs. </w:t>
      </w:r>
      <w:r w:rsidR="004E7907">
        <w:t>1,545.24</w:t>
      </w:r>
      <w:r w:rsidRPr="008B0C65">
        <w:t xml:space="preserve"> Crore including delayed payment surcharge as per the audited accounts for FY 201</w:t>
      </w:r>
      <w:r w:rsidR="00FE4D56">
        <w:t>3</w:t>
      </w:r>
      <w:r w:rsidRPr="008B0C65">
        <w:t>-1</w:t>
      </w:r>
      <w:r w:rsidR="00FE4D56">
        <w:t>4</w:t>
      </w:r>
      <w:r w:rsidRPr="008B0C65">
        <w:t xml:space="preserve"> towards sales of </w:t>
      </w:r>
      <w:r w:rsidR="004E7907">
        <w:t>2,458.09</w:t>
      </w:r>
      <w:r w:rsidRPr="008B0C65">
        <w:t xml:space="preserve"> MU. The summary of revenue approved in the Tariff Order, as claimed by the Petitioner and as </w:t>
      </w:r>
      <w:r w:rsidRPr="008B0C65">
        <w:lastRenderedPageBreak/>
        <w:t>approved by the Commission in this Order for Truing up of FY 201</w:t>
      </w:r>
      <w:r w:rsidR="00FE4D56">
        <w:t>3</w:t>
      </w:r>
      <w:r w:rsidRPr="008B0C65">
        <w:t>-1</w:t>
      </w:r>
      <w:r w:rsidR="00FE4D56">
        <w:t>4</w:t>
      </w:r>
      <w:r w:rsidRPr="008B0C65">
        <w:t xml:space="preserve"> is shown in the Table below:</w:t>
      </w:r>
    </w:p>
    <w:p w:rsidR="003147B8" w:rsidRPr="00C60AD1" w:rsidRDefault="008A1A72" w:rsidP="00C60AD1">
      <w:pPr>
        <w:spacing w:before="0"/>
        <w:jc w:val="center"/>
        <w:rPr>
          <w:rFonts w:cs="Calibri"/>
          <w:b/>
          <w:sz w:val="22"/>
          <w:szCs w:val="22"/>
          <w:lang w:val="en-US"/>
        </w:rPr>
      </w:pPr>
      <w:bookmarkStart w:id="623" w:name="_Toc394490653"/>
      <w:bookmarkStart w:id="624" w:name="_Toc457355623"/>
      <w:r w:rsidRPr="00642DF2">
        <w:rPr>
          <w:rFonts w:cs="Calibri"/>
          <w:b/>
          <w:sz w:val="22"/>
          <w:szCs w:val="22"/>
          <w:lang w:val="en-US"/>
        </w:rPr>
        <w:t xml:space="preserve">Table </w:t>
      </w:r>
      <w:r w:rsidR="004A2D9E" w:rsidRPr="00642DF2">
        <w:rPr>
          <w:rFonts w:cs="Calibri"/>
          <w:b/>
          <w:sz w:val="22"/>
          <w:szCs w:val="22"/>
          <w:lang w:val="en-US"/>
        </w:rPr>
        <w:fldChar w:fldCharType="begin"/>
      </w:r>
      <w:r w:rsidR="00B65F83">
        <w:rPr>
          <w:rFonts w:cs="Calibri"/>
          <w:b/>
          <w:sz w:val="22"/>
          <w:szCs w:val="22"/>
          <w:lang w:val="en-US"/>
        </w:rPr>
        <w:instrText xml:space="preserve"> STYLEREF 1 \s </w:instrText>
      </w:r>
      <w:r w:rsidR="004A2D9E" w:rsidRPr="00642DF2">
        <w:rPr>
          <w:rFonts w:cs="Calibri"/>
          <w:b/>
          <w:sz w:val="22"/>
          <w:szCs w:val="22"/>
          <w:lang w:val="en-US"/>
        </w:rPr>
        <w:fldChar w:fldCharType="separate"/>
      </w:r>
      <w:r w:rsidR="0011185B">
        <w:rPr>
          <w:rFonts w:cs="Calibri"/>
          <w:b/>
          <w:noProof/>
          <w:sz w:val="22"/>
          <w:szCs w:val="22"/>
          <w:lang w:val="en-US"/>
        </w:rPr>
        <w:t>4</w:t>
      </w:r>
      <w:r w:rsidR="004A2D9E" w:rsidRPr="00642DF2">
        <w:rPr>
          <w:rFonts w:cs="Calibri"/>
          <w:b/>
          <w:sz w:val="22"/>
          <w:szCs w:val="22"/>
          <w:lang w:val="en-US"/>
        </w:rPr>
        <w:fldChar w:fldCharType="end"/>
      </w:r>
      <w:r w:rsidRPr="00642DF2">
        <w:rPr>
          <w:rFonts w:cs="Calibri"/>
          <w:b/>
          <w:sz w:val="22"/>
          <w:szCs w:val="22"/>
          <w:lang w:val="en-US"/>
        </w:rPr>
        <w:noBreakHyphen/>
      </w:r>
      <w:r w:rsidR="004A2D9E" w:rsidRPr="00642DF2">
        <w:rPr>
          <w:rFonts w:cs="Calibri"/>
          <w:b/>
          <w:sz w:val="22"/>
          <w:szCs w:val="22"/>
          <w:lang w:val="en-US"/>
        </w:rPr>
        <w:fldChar w:fldCharType="begin"/>
      </w:r>
      <w:r w:rsidR="00B65F83">
        <w:rPr>
          <w:rFonts w:cs="Calibri"/>
          <w:b/>
          <w:sz w:val="22"/>
          <w:szCs w:val="22"/>
          <w:lang w:val="en-US"/>
        </w:rPr>
        <w:instrText xml:space="preserve"> SEQ Table \* ARABIC \s 1 </w:instrText>
      </w:r>
      <w:r w:rsidR="004A2D9E" w:rsidRPr="00642DF2">
        <w:rPr>
          <w:rFonts w:cs="Calibri"/>
          <w:b/>
          <w:sz w:val="22"/>
          <w:szCs w:val="22"/>
          <w:lang w:val="en-US"/>
        </w:rPr>
        <w:fldChar w:fldCharType="separate"/>
      </w:r>
      <w:r w:rsidR="0011185B">
        <w:rPr>
          <w:rFonts w:cs="Calibri"/>
          <w:b/>
          <w:noProof/>
          <w:sz w:val="22"/>
          <w:szCs w:val="22"/>
          <w:lang w:val="en-US"/>
        </w:rPr>
        <w:t>22</w:t>
      </w:r>
      <w:r w:rsidR="004A2D9E" w:rsidRPr="00642DF2">
        <w:rPr>
          <w:rFonts w:cs="Calibri"/>
          <w:b/>
          <w:sz w:val="22"/>
          <w:szCs w:val="22"/>
          <w:lang w:val="en-US"/>
        </w:rPr>
        <w:fldChar w:fldCharType="end"/>
      </w:r>
      <w:r w:rsidRPr="00642DF2">
        <w:rPr>
          <w:rFonts w:cs="Calibri"/>
          <w:b/>
          <w:sz w:val="22"/>
          <w:szCs w:val="22"/>
          <w:lang w:val="en-US"/>
        </w:rPr>
        <w:t>: REVEN</w:t>
      </w:r>
      <w:r w:rsidRPr="00C60AD1">
        <w:rPr>
          <w:rFonts w:cs="Calibri"/>
          <w:b/>
          <w:sz w:val="22"/>
          <w:szCs w:val="22"/>
          <w:lang w:val="en-US"/>
        </w:rPr>
        <w:t>UE FOR FY 20</w:t>
      </w:r>
      <w:r w:rsidR="00680361" w:rsidRPr="00C60AD1">
        <w:rPr>
          <w:rFonts w:cs="Calibri"/>
          <w:b/>
          <w:sz w:val="22"/>
          <w:szCs w:val="22"/>
          <w:lang w:val="en-US"/>
        </w:rPr>
        <w:t>1</w:t>
      </w:r>
      <w:r w:rsidR="00556578">
        <w:rPr>
          <w:rFonts w:cs="Calibri"/>
          <w:b/>
          <w:sz w:val="22"/>
          <w:szCs w:val="22"/>
          <w:lang w:val="en-US"/>
        </w:rPr>
        <w:t>3</w:t>
      </w:r>
      <w:r w:rsidR="00680361" w:rsidRPr="00C60AD1">
        <w:rPr>
          <w:rFonts w:cs="Calibri"/>
          <w:b/>
          <w:sz w:val="22"/>
          <w:szCs w:val="22"/>
          <w:lang w:val="en-US"/>
        </w:rPr>
        <w:t>-1</w:t>
      </w:r>
      <w:r w:rsidR="00556578">
        <w:rPr>
          <w:rFonts w:cs="Calibri"/>
          <w:b/>
          <w:sz w:val="22"/>
          <w:szCs w:val="22"/>
          <w:lang w:val="en-US"/>
        </w:rPr>
        <w:t>4</w:t>
      </w:r>
      <w:r w:rsidRPr="00C60AD1">
        <w:rPr>
          <w:rFonts w:cs="Calibri"/>
          <w:b/>
          <w:sz w:val="22"/>
          <w:szCs w:val="22"/>
          <w:lang w:val="en-US"/>
        </w:rPr>
        <w:t xml:space="preserve"> (Rs. Crore)</w:t>
      </w:r>
      <w:bookmarkEnd w:id="623"/>
      <w:bookmarkEnd w:id="624"/>
    </w:p>
    <w:tbl>
      <w:tblPr>
        <w:tblW w:w="8782" w:type="dxa"/>
        <w:tblInd w:w="103" w:type="dxa"/>
        <w:tblLayout w:type="fixed"/>
        <w:tblLook w:val="04A0"/>
      </w:tblPr>
      <w:tblGrid>
        <w:gridCol w:w="2982"/>
        <w:gridCol w:w="1134"/>
        <w:gridCol w:w="1843"/>
        <w:gridCol w:w="1134"/>
        <w:gridCol w:w="1689"/>
      </w:tblGrid>
      <w:tr w:rsidR="00D124DB" w:rsidRPr="001F296D" w:rsidTr="004F012E">
        <w:trPr>
          <w:trHeight w:val="359"/>
          <w:tblHeader/>
        </w:trPr>
        <w:tc>
          <w:tcPr>
            <w:tcW w:w="2982" w:type="dxa"/>
            <w:tcBorders>
              <w:top w:val="dotted" w:sz="4" w:space="0" w:color="auto"/>
              <w:left w:val="dotted" w:sz="4" w:space="0" w:color="auto"/>
              <w:bottom w:val="dotted" w:sz="4" w:space="0" w:color="auto"/>
              <w:right w:val="dotted" w:sz="4" w:space="0" w:color="auto"/>
            </w:tcBorders>
            <w:shd w:val="clear" w:color="000000" w:fill="DBE5F1"/>
            <w:noWrap/>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Particulars</w:t>
            </w:r>
          </w:p>
        </w:tc>
        <w:tc>
          <w:tcPr>
            <w:tcW w:w="1134" w:type="dxa"/>
            <w:tcBorders>
              <w:top w:val="dotted" w:sz="4" w:space="0" w:color="auto"/>
              <w:left w:val="nil"/>
              <w:bottom w:val="dotted" w:sz="4" w:space="0" w:color="auto"/>
              <w:right w:val="dotted" w:sz="4" w:space="0" w:color="auto"/>
            </w:tcBorders>
            <w:shd w:val="clear" w:color="000000" w:fill="DBE5F1"/>
            <w:hideMark/>
          </w:tcPr>
          <w:p w:rsidR="003B3B47"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 xml:space="preserve">Tariff </w:t>
            </w:r>
          </w:p>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Order</w:t>
            </w:r>
          </w:p>
        </w:tc>
        <w:tc>
          <w:tcPr>
            <w:tcW w:w="1843"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Actual as per audited accounts</w:t>
            </w:r>
          </w:p>
        </w:tc>
        <w:tc>
          <w:tcPr>
            <w:tcW w:w="1134"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True-up Petition</w:t>
            </w:r>
          </w:p>
        </w:tc>
        <w:tc>
          <w:tcPr>
            <w:tcW w:w="1689" w:type="dxa"/>
            <w:tcBorders>
              <w:top w:val="dotted" w:sz="4" w:space="0" w:color="auto"/>
              <w:left w:val="nil"/>
              <w:bottom w:val="dotted" w:sz="4" w:space="0" w:color="auto"/>
              <w:right w:val="dotted" w:sz="4" w:space="0" w:color="auto"/>
            </w:tcBorders>
            <w:shd w:val="clear" w:color="000000" w:fill="DBE5F1"/>
            <w:hideMark/>
          </w:tcPr>
          <w:p w:rsidR="00E8205D" w:rsidRPr="001F296D" w:rsidRDefault="00027D0D" w:rsidP="00C60AD1">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lang w:val="en-IN" w:eastAsia="en-IN"/>
              </w:rPr>
              <w:t>Approved upon Truing up</w:t>
            </w:r>
          </w:p>
        </w:tc>
      </w:tr>
      <w:tr w:rsidR="00D124DB" w:rsidRPr="001F296D" w:rsidTr="00085943">
        <w:trPr>
          <w:trHeight w:val="600"/>
        </w:trPr>
        <w:tc>
          <w:tcPr>
            <w:tcW w:w="2982" w:type="dxa"/>
            <w:tcBorders>
              <w:top w:val="nil"/>
              <w:left w:val="dotted" w:sz="4" w:space="0" w:color="auto"/>
              <w:bottom w:val="dotted" w:sz="4" w:space="0" w:color="auto"/>
              <w:right w:val="dotted" w:sz="4" w:space="0" w:color="auto"/>
            </w:tcBorders>
            <w:shd w:val="clear" w:color="auto" w:fill="auto"/>
            <w:hideMark/>
          </w:tcPr>
          <w:p w:rsidR="004E7907" w:rsidRDefault="004E7907">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Revenue from Tariff including Delayed Payment Surcharge</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w:t>
            </w:r>
            <w:r w:rsidR="00D67CBC">
              <w:rPr>
                <w:rFonts w:asciiTheme="minorHAnsi" w:hAnsiTheme="minorHAnsi" w:cs="Arial"/>
                <w:color w:val="000000"/>
                <w:sz w:val="22"/>
                <w:szCs w:val="22"/>
              </w:rPr>
              <w:t>,</w:t>
            </w:r>
            <w:r w:rsidRPr="00023318">
              <w:rPr>
                <w:rFonts w:asciiTheme="minorHAnsi" w:hAnsiTheme="minorHAnsi" w:cs="Arial"/>
                <w:color w:val="000000"/>
                <w:sz w:val="22"/>
                <w:szCs w:val="22"/>
              </w:rPr>
              <w:t>448.71</w:t>
            </w:r>
          </w:p>
        </w:tc>
        <w:tc>
          <w:tcPr>
            <w:tcW w:w="1843"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w:t>
            </w:r>
            <w:r w:rsidR="00D67CBC">
              <w:rPr>
                <w:rFonts w:asciiTheme="minorHAnsi" w:hAnsiTheme="minorHAnsi" w:cs="Arial"/>
                <w:color w:val="000000"/>
                <w:sz w:val="22"/>
                <w:szCs w:val="22"/>
              </w:rPr>
              <w:t>,</w:t>
            </w:r>
            <w:r w:rsidRPr="00023318">
              <w:rPr>
                <w:rFonts w:asciiTheme="minorHAnsi" w:hAnsiTheme="minorHAnsi" w:cs="Arial"/>
                <w:color w:val="000000"/>
                <w:sz w:val="22"/>
                <w:szCs w:val="22"/>
              </w:rPr>
              <w:t>545.24</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w:t>
            </w:r>
            <w:r w:rsidR="00D67CBC">
              <w:rPr>
                <w:rFonts w:asciiTheme="minorHAnsi" w:hAnsiTheme="minorHAnsi" w:cs="Arial"/>
                <w:color w:val="000000"/>
                <w:sz w:val="22"/>
                <w:szCs w:val="22"/>
              </w:rPr>
              <w:t>,</w:t>
            </w:r>
            <w:r w:rsidRPr="00023318">
              <w:rPr>
                <w:rFonts w:asciiTheme="minorHAnsi" w:hAnsiTheme="minorHAnsi" w:cs="Arial"/>
                <w:color w:val="000000"/>
                <w:sz w:val="22"/>
                <w:szCs w:val="22"/>
              </w:rPr>
              <w:t>545.24</w:t>
            </w:r>
          </w:p>
        </w:tc>
        <w:tc>
          <w:tcPr>
            <w:tcW w:w="1689"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1</w:t>
            </w:r>
            <w:r w:rsidR="00D67CBC">
              <w:rPr>
                <w:rFonts w:asciiTheme="minorHAnsi" w:hAnsiTheme="minorHAnsi" w:cs="Arial"/>
                <w:color w:val="000000"/>
                <w:sz w:val="22"/>
                <w:szCs w:val="22"/>
              </w:rPr>
              <w:t>,</w:t>
            </w:r>
            <w:r w:rsidRPr="00023318">
              <w:rPr>
                <w:rFonts w:asciiTheme="minorHAnsi" w:hAnsiTheme="minorHAnsi" w:cs="Arial"/>
                <w:color w:val="000000"/>
                <w:sz w:val="22"/>
                <w:szCs w:val="22"/>
              </w:rPr>
              <w:t>545.24</w:t>
            </w:r>
          </w:p>
        </w:tc>
      </w:tr>
      <w:tr w:rsidR="00D124DB" w:rsidRPr="001F296D" w:rsidTr="00085943">
        <w:trPr>
          <w:trHeight w:val="300"/>
        </w:trPr>
        <w:tc>
          <w:tcPr>
            <w:tcW w:w="2982" w:type="dxa"/>
            <w:tcBorders>
              <w:top w:val="nil"/>
              <w:left w:val="dotted" w:sz="4" w:space="0" w:color="auto"/>
              <w:bottom w:val="dotted" w:sz="4" w:space="0" w:color="auto"/>
              <w:right w:val="dotted" w:sz="4" w:space="0" w:color="auto"/>
            </w:tcBorders>
            <w:shd w:val="clear" w:color="auto" w:fill="auto"/>
            <w:noWrap/>
            <w:hideMark/>
          </w:tcPr>
          <w:p w:rsidR="004E7907" w:rsidRDefault="004E7907">
            <w:pPr>
              <w:spacing w:before="0" w:line="240" w:lineRule="auto"/>
              <w:rPr>
                <w:rFonts w:asciiTheme="minorHAnsi" w:hAnsiTheme="minorHAnsi"/>
                <w:color w:val="000000"/>
                <w:sz w:val="22"/>
                <w:szCs w:val="22"/>
                <w:lang w:val="en-IN" w:eastAsia="en-IN"/>
              </w:rPr>
            </w:pPr>
            <w:r w:rsidRPr="00027D0D">
              <w:rPr>
                <w:rFonts w:asciiTheme="minorHAnsi" w:hAnsiTheme="minorHAnsi"/>
                <w:color w:val="000000"/>
                <w:sz w:val="22"/>
                <w:szCs w:val="22"/>
                <w:lang w:val="en-IN" w:eastAsia="en-IN"/>
              </w:rPr>
              <w:t>Non tariff items</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5.65</w:t>
            </w:r>
          </w:p>
        </w:tc>
        <w:tc>
          <w:tcPr>
            <w:tcW w:w="1843"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7.04</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7.04</w:t>
            </w:r>
          </w:p>
        </w:tc>
        <w:tc>
          <w:tcPr>
            <w:tcW w:w="1689"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color w:val="000000"/>
                <w:sz w:val="22"/>
                <w:szCs w:val="22"/>
                <w:lang w:val="en-IN" w:eastAsia="en-IN"/>
              </w:rPr>
            </w:pPr>
            <w:r w:rsidRPr="00023318">
              <w:rPr>
                <w:rFonts w:asciiTheme="minorHAnsi" w:hAnsiTheme="minorHAnsi" w:cs="Arial"/>
                <w:color w:val="000000"/>
                <w:sz w:val="22"/>
                <w:szCs w:val="22"/>
              </w:rPr>
              <w:t>7.04</w:t>
            </w:r>
          </w:p>
        </w:tc>
      </w:tr>
      <w:tr w:rsidR="00D124DB" w:rsidRPr="001F296D" w:rsidTr="00085943">
        <w:trPr>
          <w:trHeight w:val="300"/>
        </w:trPr>
        <w:tc>
          <w:tcPr>
            <w:tcW w:w="2982" w:type="dxa"/>
            <w:tcBorders>
              <w:top w:val="nil"/>
              <w:left w:val="dotted" w:sz="4" w:space="0" w:color="auto"/>
              <w:bottom w:val="dotted" w:sz="4" w:space="0" w:color="auto"/>
              <w:right w:val="dotted" w:sz="4" w:space="0" w:color="auto"/>
            </w:tcBorders>
            <w:shd w:val="clear" w:color="auto" w:fill="auto"/>
            <w:noWrap/>
            <w:hideMark/>
          </w:tcPr>
          <w:p w:rsidR="004E7907" w:rsidRDefault="004E7907">
            <w:pPr>
              <w:spacing w:before="0" w:line="240" w:lineRule="auto"/>
              <w:rPr>
                <w:rFonts w:asciiTheme="minorHAnsi" w:hAnsiTheme="minorHAnsi"/>
                <w:b/>
                <w:bCs/>
                <w:color w:val="000000"/>
                <w:sz w:val="22"/>
                <w:szCs w:val="22"/>
                <w:lang w:val="en-IN" w:eastAsia="en-IN"/>
              </w:rPr>
            </w:pPr>
            <w:r w:rsidRPr="00027D0D">
              <w:rPr>
                <w:rFonts w:asciiTheme="minorHAnsi" w:hAnsiTheme="minorHAnsi"/>
                <w:b/>
                <w:bCs/>
                <w:color w:val="000000"/>
                <w:sz w:val="22"/>
                <w:szCs w:val="22"/>
                <w:lang w:val="en-IN" w:eastAsia="en-IN"/>
              </w:rPr>
              <w:t>Total Revenue</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454.36</w:t>
            </w:r>
          </w:p>
        </w:tc>
        <w:tc>
          <w:tcPr>
            <w:tcW w:w="1843"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552.28</w:t>
            </w:r>
          </w:p>
        </w:tc>
        <w:tc>
          <w:tcPr>
            <w:tcW w:w="1134"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552.28</w:t>
            </w:r>
          </w:p>
        </w:tc>
        <w:tc>
          <w:tcPr>
            <w:tcW w:w="1689" w:type="dxa"/>
            <w:tcBorders>
              <w:top w:val="nil"/>
              <w:left w:val="nil"/>
              <w:bottom w:val="dotted" w:sz="4" w:space="0" w:color="auto"/>
              <w:right w:val="dotted" w:sz="4" w:space="0" w:color="auto"/>
            </w:tcBorders>
            <w:shd w:val="clear" w:color="auto" w:fill="auto"/>
            <w:noWrap/>
            <w:vAlign w:val="center"/>
            <w:hideMark/>
          </w:tcPr>
          <w:p w:rsidR="004E7907" w:rsidRPr="004E7907" w:rsidRDefault="00023318" w:rsidP="004E7907">
            <w:pPr>
              <w:spacing w:before="0" w:line="240" w:lineRule="auto"/>
              <w:jc w:val="right"/>
              <w:rPr>
                <w:rFonts w:asciiTheme="minorHAnsi" w:hAnsiTheme="minorHAnsi"/>
                <w:b/>
                <w:bCs/>
                <w:color w:val="000000"/>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552.28</w:t>
            </w:r>
          </w:p>
        </w:tc>
      </w:tr>
    </w:tbl>
    <w:p w:rsidR="006061F7" w:rsidRDefault="006061F7" w:rsidP="00C60AD1">
      <w:pPr>
        <w:spacing w:before="0" w:line="240" w:lineRule="auto"/>
        <w:jc w:val="left"/>
        <w:rPr>
          <w:rFonts w:asciiTheme="minorHAnsi" w:hAnsiTheme="minorHAnsi" w:cs="Calibri"/>
          <w:b/>
          <w:bCs/>
          <w:color w:val="000000"/>
          <w:szCs w:val="26"/>
          <w:lang w:val="en-US"/>
        </w:rPr>
      </w:pPr>
    </w:p>
    <w:p w:rsidR="00D67CBC" w:rsidRDefault="00D67CBC" w:rsidP="00C60AD1">
      <w:pPr>
        <w:spacing w:before="0" w:line="240" w:lineRule="auto"/>
        <w:jc w:val="left"/>
        <w:rPr>
          <w:rFonts w:asciiTheme="minorHAnsi" w:hAnsiTheme="minorHAnsi" w:cs="Calibri"/>
          <w:b/>
          <w:bCs/>
          <w:color w:val="000000"/>
          <w:szCs w:val="26"/>
          <w:lang w:val="en-US"/>
        </w:rPr>
      </w:pPr>
    </w:p>
    <w:p w:rsidR="00F70DA9" w:rsidRPr="00C60AD1" w:rsidRDefault="003147B8" w:rsidP="00C60AD1">
      <w:pPr>
        <w:pStyle w:val="Heading2"/>
        <w:spacing w:before="0"/>
        <w:rPr>
          <w:rFonts w:cs="Calibri"/>
          <w:b w:val="0"/>
          <w:bCs w:val="0"/>
          <w:szCs w:val="26"/>
          <w:lang w:val="en-US"/>
        </w:rPr>
      </w:pPr>
      <w:bookmarkStart w:id="625" w:name="_Toc455417333"/>
      <w:bookmarkStart w:id="626" w:name="_Toc455486851"/>
      <w:bookmarkStart w:id="627" w:name="_Toc455487150"/>
      <w:bookmarkStart w:id="628" w:name="_Toc455487517"/>
      <w:bookmarkStart w:id="629" w:name="_Toc455493944"/>
      <w:bookmarkStart w:id="630" w:name="_Toc455494244"/>
      <w:bookmarkStart w:id="631" w:name="_Toc455494544"/>
      <w:bookmarkStart w:id="632" w:name="_Toc455496272"/>
      <w:bookmarkStart w:id="633" w:name="_Toc455506991"/>
      <w:bookmarkStart w:id="634" w:name="_Toc455507288"/>
      <w:bookmarkStart w:id="635" w:name="_Toc455574933"/>
      <w:bookmarkStart w:id="636" w:name="_Toc455673544"/>
      <w:bookmarkStart w:id="637" w:name="_Toc457355484"/>
      <w:bookmarkEnd w:id="625"/>
      <w:bookmarkEnd w:id="626"/>
      <w:bookmarkEnd w:id="627"/>
      <w:bookmarkEnd w:id="628"/>
      <w:bookmarkEnd w:id="629"/>
      <w:bookmarkEnd w:id="630"/>
      <w:bookmarkEnd w:id="631"/>
      <w:bookmarkEnd w:id="632"/>
      <w:bookmarkEnd w:id="633"/>
      <w:bookmarkEnd w:id="634"/>
      <w:bookmarkEnd w:id="635"/>
      <w:bookmarkEnd w:id="636"/>
      <w:r w:rsidRPr="00C60AD1">
        <w:rPr>
          <w:rFonts w:cs="Calibri"/>
          <w:szCs w:val="26"/>
          <w:lang w:val="en-US"/>
        </w:rPr>
        <w:t>A</w:t>
      </w:r>
      <w:r w:rsidR="00AE51BC" w:rsidRPr="00C60AD1">
        <w:rPr>
          <w:rFonts w:cs="Calibri"/>
          <w:szCs w:val="26"/>
          <w:lang w:val="en-US"/>
        </w:rPr>
        <w:t>RR</w:t>
      </w:r>
      <w:r w:rsidRPr="00C60AD1">
        <w:rPr>
          <w:rFonts w:cs="Calibri"/>
          <w:szCs w:val="26"/>
          <w:lang w:val="en-US"/>
        </w:rPr>
        <w:t xml:space="preserve"> AND REVENUE GAP/ (SURPLUS) FOR FY 20</w:t>
      </w:r>
      <w:r w:rsidR="00BD2E25" w:rsidRPr="00C60AD1">
        <w:rPr>
          <w:rFonts w:cs="Calibri"/>
          <w:szCs w:val="26"/>
          <w:lang w:val="en-US"/>
        </w:rPr>
        <w:t>1</w:t>
      </w:r>
      <w:r w:rsidR="0030630C">
        <w:rPr>
          <w:rFonts w:cs="Calibri"/>
          <w:szCs w:val="26"/>
          <w:lang w:val="en-US"/>
        </w:rPr>
        <w:t>3</w:t>
      </w:r>
      <w:r w:rsidR="00BD2E25" w:rsidRPr="00C60AD1">
        <w:rPr>
          <w:rFonts w:cs="Calibri"/>
          <w:szCs w:val="26"/>
          <w:lang w:val="en-US"/>
        </w:rPr>
        <w:t>-1</w:t>
      </w:r>
      <w:r w:rsidR="0030630C">
        <w:rPr>
          <w:rFonts w:cs="Calibri"/>
          <w:szCs w:val="26"/>
          <w:lang w:val="en-US"/>
        </w:rPr>
        <w:t>4</w:t>
      </w:r>
      <w:r w:rsidRPr="00C60AD1">
        <w:rPr>
          <w:rFonts w:cs="Calibri"/>
          <w:szCs w:val="26"/>
          <w:lang w:val="en-US"/>
        </w:rPr>
        <w:t xml:space="preserve"> AFTER TRUING UP</w:t>
      </w:r>
      <w:bookmarkEnd w:id="637"/>
    </w:p>
    <w:p w:rsidR="00F70DA9" w:rsidRPr="00C60AD1" w:rsidRDefault="003147B8" w:rsidP="00C60AD1">
      <w:pPr>
        <w:pStyle w:val="Heading3"/>
        <w:tabs>
          <w:tab w:val="clear" w:pos="720"/>
        </w:tabs>
        <w:spacing w:after="240" w:line="240" w:lineRule="auto"/>
        <w:ind w:left="993" w:hanging="993"/>
      </w:pPr>
      <w:r w:rsidRPr="00C60AD1">
        <w:t>The Aggregate Revenue Requirement for FY 20</w:t>
      </w:r>
      <w:r w:rsidR="00542998" w:rsidRPr="00C60AD1">
        <w:t>1</w:t>
      </w:r>
      <w:r w:rsidR="009A2BBB">
        <w:t>3</w:t>
      </w:r>
      <w:r w:rsidR="00542998" w:rsidRPr="00C60AD1">
        <w:t>-1</w:t>
      </w:r>
      <w:r w:rsidR="009A2BBB">
        <w:t>4</w:t>
      </w:r>
      <w:r w:rsidRPr="00C60AD1">
        <w:t xml:space="preserve"> after final truing up is summarized in the Table below:</w:t>
      </w:r>
    </w:p>
    <w:p w:rsidR="003147B8" w:rsidRPr="00C60AD1" w:rsidRDefault="008A1A72" w:rsidP="00C60AD1">
      <w:pPr>
        <w:spacing w:before="0"/>
        <w:jc w:val="center"/>
        <w:rPr>
          <w:b/>
          <w:sz w:val="22"/>
          <w:szCs w:val="22"/>
          <w:lang w:val="en-US"/>
        </w:rPr>
      </w:pPr>
      <w:bookmarkStart w:id="638" w:name="_Toc394490654"/>
      <w:bookmarkStart w:id="639" w:name="_Toc457355624"/>
      <w:r w:rsidRPr="00C60AD1">
        <w:rPr>
          <w:b/>
          <w:sz w:val="22"/>
          <w:szCs w:val="22"/>
          <w:lang w:val="en-US"/>
        </w:rPr>
        <w:t xml:space="preserve">Table </w:t>
      </w:r>
      <w:r w:rsidR="004A2D9E" w:rsidRPr="00C60AD1">
        <w:rPr>
          <w:b/>
          <w:sz w:val="22"/>
          <w:szCs w:val="22"/>
          <w:lang w:val="en-US"/>
        </w:rPr>
        <w:fldChar w:fldCharType="begin"/>
      </w:r>
      <w:r w:rsidRPr="00C60AD1">
        <w:rPr>
          <w:b/>
          <w:sz w:val="22"/>
          <w:szCs w:val="22"/>
          <w:lang w:val="en-US"/>
        </w:rPr>
        <w:instrText xml:space="preserve"> STYLEREF 1 \s </w:instrText>
      </w:r>
      <w:r w:rsidR="004A2D9E" w:rsidRPr="00C60AD1">
        <w:rPr>
          <w:b/>
          <w:sz w:val="22"/>
          <w:szCs w:val="22"/>
          <w:lang w:val="en-US"/>
        </w:rPr>
        <w:fldChar w:fldCharType="separate"/>
      </w:r>
      <w:r w:rsidR="0011185B">
        <w:rPr>
          <w:b/>
          <w:noProof/>
          <w:sz w:val="22"/>
          <w:szCs w:val="22"/>
          <w:lang w:val="en-US"/>
        </w:rPr>
        <w:t>4</w:t>
      </w:r>
      <w:r w:rsidR="004A2D9E" w:rsidRPr="00C60AD1">
        <w:rPr>
          <w:b/>
          <w:sz w:val="22"/>
          <w:szCs w:val="22"/>
          <w:lang w:val="en-US"/>
        </w:rPr>
        <w:fldChar w:fldCharType="end"/>
      </w:r>
      <w:r w:rsidRPr="00C60AD1">
        <w:rPr>
          <w:b/>
          <w:sz w:val="22"/>
          <w:szCs w:val="22"/>
          <w:lang w:val="en-US"/>
        </w:rPr>
        <w:noBreakHyphen/>
      </w:r>
      <w:r w:rsidR="004A2D9E" w:rsidRPr="00C60AD1">
        <w:rPr>
          <w:b/>
          <w:sz w:val="22"/>
          <w:szCs w:val="22"/>
          <w:lang w:val="en-US"/>
        </w:rPr>
        <w:fldChar w:fldCharType="begin"/>
      </w:r>
      <w:r w:rsidRPr="00C60AD1">
        <w:rPr>
          <w:b/>
          <w:sz w:val="22"/>
          <w:szCs w:val="22"/>
          <w:lang w:val="en-US"/>
        </w:rPr>
        <w:instrText xml:space="preserve"> SEQ Table \* ARABIC \s 1 </w:instrText>
      </w:r>
      <w:r w:rsidR="004A2D9E" w:rsidRPr="00C60AD1">
        <w:rPr>
          <w:b/>
          <w:sz w:val="22"/>
          <w:szCs w:val="22"/>
          <w:lang w:val="en-US"/>
        </w:rPr>
        <w:fldChar w:fldCharType="separate"/>
      </w:r>
      <w:r w:rsidR="0011185B">
        <w:rPr>
          <w:b/>
          <w:noProof/>
          <w:sz w:val="22"/>
          <w:szCs w:val="22"/>
          <w:lang w:val="en-US"/>
        </w:rPr>
        <w:t>23</w:t>
      </w:r>
      <w:r w:rsidR="004A2D9E" w:rsidRPr="00C60AD1">
        <w:rPr>
          <w:b/>
          <w:sz w:val="22"/>
          <w:szCs w:val="22"/>
          <w:lang w:val="en-US"/>
        </w:rPr>
        <w:fldChar w:fldCharType="end"/>
      </w:r>
      <w:r w:rsidRPr="00C60AD1">
        <w:rPr>
          <w:b/>
          <w:sz w:val="22"/>
          <w:szCs w:val="22"/>
          <w:lang w:val="en-US"/>
        </w:rPr>
        <w:t xml:space="preserve">: ARR, REVENUE AND GAP </w:t>
      </w:r>
      <w:r w:rsidRPr="00C60AD1">
        <w:rPr>
          <w:rFonts w:cs="Calibri"/>
          <w:b/>
          <w:sz w:val="22"/>
          <w:szCs w:val="22"/>
          <w:lang w:val="en-US"/>
        </w:rPr>
        <w:t>SUMMARY</w:t>
      </w:r>
      <w:r w:rsidRPr="00C60AD1">
        <w:rPr>
          <w:b/>
          <w:sz w:val="22"/>
          <w:szCs w:val="22"/>
          <w:lang w:val="en-US"/>
        </w:rPr>
        <w:t xml:space="preserve"> FOR FY 201</w:t>
      </w:r>
      <w:r w:rsidR="009A2BBB">
        <w:rPr>
          <w:b/>
          <w:sz w:val="22"/>
          <w:szCs w:val="22"/>
          <w:lang w:val="en-US"/>
        </w:rPr>
        <w:t>3</w:t>
      </w:r>
      <w:r w:rsidRPr="00C60AD1">
        <w:rPr>
          <w:b/>
          <w:sz w:val="22"/>
          <w:szCs w:val="22"/>
          <w:lang w:val="en-US"/>
        </w:rPr>
        <w:t>-1</w:t>
      </w:r>
      <w:r w:rsidR="009A2BBB">
        <w:rPr>
          <w:b/>
          <w:sz w:val="22"/>
          <w:szCs w:val="22"/>
          <w:lang w:val="en-US"/>
        </w:rPr>
        <w:t>4</w:t>
      </w:r>
      <w:r w:rsidRPr="00C60AD1">
        <w:rPr>
          <w:b/>
          <w:sz w:val="22"/>
          <w:szCs w:val="22"/>
          <w:lang w:val="en-US"/>
        </w:rPr>
        <w:t xml:space="preserve"> (Rs. Crore)</w:t>
      </w:r>
      <w:bookmarkEnd w:id="638"/>
      <w:bookmarkEnd w:id="639"/>
    </w:p>
    <w:tbl>
      <w:tblPr>
        <w:tblW w:w="5622" w:type="pct"/>
        <w:tblInd w:w="-702" w:type="dxa"/>
        <w:tblLayout w:type="fixed"/>
        <w:tblLook w:val="04A0"/>
      </w:tblPr>
      <w:tblGrid>
        <w:gridCol w:w="4322"/>
        <w:gridCol w:w="1439"/>
        <w:gridCol w:w="1620"/>
        <w:gridCol w:w="1085"/>
        <w:gridCol w:w="1524"/>
      </w:tblGrid>
      <w:tr w:rsidR="00D67CBC" w:rsidRPr="007F21AA" w:rsidTr="004F012E">
        <w:trPr>
          <w:trHeight w:val="656"/>
          <w:tblHeader/>
        </w:trPr>
        <w:tc>
          <w:tcPr>
            <w:tcW w:w="2163" w:type="pct"/>
            <w:tcBorders>
              <w:top w:val="dotted" w:sz="4" w:space="0" w:color="auto"/>
              <w:left w:val="dotted" w:sz="4" w:space="0" w:color="auto"/>
              <w:bottom w:val="dotted" w:sz="4" w:space="0" w:color="auto"/>
              <w:right w:val="dotted" w:sz="4" w:space="0" w:color="auto"/>
            </w:tcBorders>
            <w:shd w:val="clear" w:color="000000" w:fill="DBE5F1"/>
            <w:hideMark/>
          </w:tcPr>
          <w:p w:rsidR="003267CD" w:rsidRDefault="0022393E">
            <w:pPr>
              <w:spacing w:before="0" w:line="240" w:lineRule="auto"/>
              <w:jc w:val="center"/>
              <w:rPr>
                <w:rFonts w:asciiTheme="minorHAnsi" w:hAnsiTheme="minorHAnsi"/>
                <w:b/>
                <w:sz w:val="22"/>
                <w:szCs w:val="22"/>
                <w:lang w:val="en-IN" w:eastAsia="en-IN"/>
              </w:rPr>
            </w:pPr>
            <w:r w:rsidRPr="007F21AA">
              <w:rPr>
                <w:rFonts w:asciiTheme="minorHAnsi" w:hAnsiTheme="minorHAnsi"/>
                <w:b/>
                <w:sz w:val="22"/>
                <w:szCs w:val="22"/>
                <w:lang w:val="en-IN" w:eastAsia="en-IN"/>
              </w:rPr>
              <w:t>Particulars</w:t>
            </w:r>
          </w:p>
        </w:tc>
        <w:tc>
          <w:tcPr>
            <w:tcW w:w="720"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w:t>
            </w:r>
          </w:p>
        </w:tc>
        <w:tc>
          <w:tcPr>
            <w:tcW w:w="811"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Actual as per audited accounts</w:t>
            </w:r>
          </w:p>
        </w:tc>
        <w:tc>
          <w:tcPr>
            <w:tcW w:w="543"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True-up Petition</w:t>
            </w:r>
          </w:p>
        </w:tc>
        <w:tc>
          <w:tcPr>
            <w:tcW w:w="763" w:type="pct"/>
            <w:tcBorders>
              <w:top w:val="dotted" w:sz="4" w:space="0" w:color="auto"/>
              <w:left w:val="nil"/>
              <w:bottom w:val="dotted" w:sz="4" w:space="0" w:color="auto"/>
              <w:right w:val="dotted" w:sz="4" w:space="0" w:color="auto"/>
            </w:tcBorders>
            <w:shd w:val="clear" w:color="000000" w:fill="DBE5F1"/>
            <w:hideMark/>
          </w:tcPr>
          <w:p w:rsidR="003267CD" w:rsidRDefault="00FE4615">
            <w:pPr>
              <w:spacing w:before="0" w:line="240" w:lineRule="auto"/>
              <w:jc w:val="center"/>
              <w:rPr>
                <w:rFonts w:asciiTheme="minorHAnsi" w:hAnsiTheme="minorHAnsi"/>
                <w:b/>
                <w:sz w:val="22"/>
                <w:szCs w:val="22"/>
                <w:lang w:val="en-IN" w:eastAsia="en-IN"/>
              </w:rPr>
            </w:pPr>
            <w:r w:rsidRPr="005607D3">
              <w:rPr>
                <w:rFonts w:asciiTheme="minorHAnsi" w:hAnsiTheme="minorHAnsi"/>
                <w:b/>
                <w:sz w:val="22"/>
                <w:szCs w:val="22"/>
                <w:lang w:val="en-IN" w:eastAsia="en-IN"/>
              </w:rPr>
              <w:t>Approved upon Truing Up</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Power Purchase Expenses</w:t>
            </w:r>
            <w:r>
              <w:rPr>
                <w:rFonts w:asciiTheme="minorHAnsi" w:hAnsiTheme="minorHAnsi"/>
                <w:sz w:val="22"/>
                <w:szCs w:val="22"/>
                <w:lang w:val="en-IN" w:eastAsia="en-IN"/>
              </w:rPr>
              <w:t xml:space="preserve"> (including PGCIL charges)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370.93</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663.59</w:t>
            </w:r>
          </w:p>
        </w:tc>
        <w:tc>
          <w:tcPr>
            <w:tcW w:w="543" w:type="pct"/>
            <w:tcBorders>
              <w:top w:val="nil"/>
              <w:left w:val="nil"/>
              <w:bottom w:val="dotted" w:sz="4" w:space="0" w:color="auto"/>
              <w:right w:val="dotted" w:sz="4" w:space="0" w:color="auto"/>
            </w:tcBorders>
            <w:shd w:val="clear" w:color="000000" w:fill="FFFFFF"/>
            <w:noWrap/>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329.13</w:t>
            </w:r>
          </w:p>
        </w:tc>
        <w:tc>
          <w:tcPr>
            <w:tcW w:w="763" w:type="pct"/>
            <w:tcBorders>
              <w:top w:val="nil"/>
              <w:left w:val="nil"/>
              <w:bottom w:val="dotted" w:sz="4" w:space="0" w:color="auto"/>
              <w:right w:val="dotted" w:sz="4" w:space="0" w:color="auto"/>
            </w:tcBorders>
            <w:shd w:val="clear" w:color="000000" w:fill="FFFFFF"/>
            <w:noWrap/>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367.72</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Apportionment of O&amp;M Expenses of UPPCL#</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7.22</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auto" w:fill="auto"/>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 xml:space="preserve">Transmission </w:t>
            </w:r>
            <w:r>
              <w:rPr>
                <w:rFonts w:asciiTheme="minorHAnsi" w:hAnsiTheme="minorHAnsi"/>
                <w:sz w:val="22"/>
                <w:szCs w:val="22"/>
                <w:lang w:val="en-IN" w:eastAsia="en-IN"/>
              </w:rPr>
              <w:t>Charges- Intra State(including SLDC charges)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47.14</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74.55</w:t>
            </w:r>
          </w:p>
        </w:tc>
        <w:tc>
          <w:tcPr>
            <w:tcW w:w="543" w:type="pct"/>
            <w:tcBorders>
              <w:top w:val="nil"/>
              <w:left w:val="nil"/>
              <w:bottom w:val="dotted" w:sz="4" w:space="0" w:color="auto"/>
              <w:right w:val="dotted" w:sz="4" w:space="0" w:color="auto"/>
            </w:tcBorders>
            <w:shd w:val="clear" w:color="000000" w:fill="FFFFFF"/>
            <w:noWrap/>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61.72</w:t>
            </w:r>
          </w:p>
        </w:tc>
        <w:tc>
          <w:tcPr>
            <w:tcW w:w="763" w:type="pct"/>
            <w:tcBorders>
              <w:top w:val="nil"/>
              <w:left w:val="nil"/>
              <w:bottom w:val="dotted" w:sz="4" w:space="0" w:color="auto"/>
              <w:right w:val="dotted" w:sz="4" w:space="0" w:color="auto"/>
            </w:tcBorders>
            <w:shd w:val="clear" w:color="000000" w:fill="FFFFFF"/>
            <w:noWrap/>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39.81</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O&amp;M Expenses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188.53</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172.42</w:t>
            </w:r>
            <w:r w:rsidR="00730692">
              <w:rPr>
                <w:rFonts w:asciiTheme="minorHAnsi" w:hAnsiTheme="minorHAnsi" w:cs="Arial"/>
                <w:color w:val="000000"/>
                <w:sz w:val="22"/>
                <w:szCs w:val="22"/>
              </w:rPr>
              <w:t>*</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203.33</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172.42</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Interest on Long Term Loans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3.60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294.34</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Pr="007F21AA"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Finance Charges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7.09</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8.10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8.10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8.10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Interest on Working Capital</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21.11</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21.13</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20.80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Discount to Consumers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0.90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Depreciation</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32.55</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17.76</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36.80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36.80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Prior Period Expenses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 xml:space="preserve">           (41.37)</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 xml:space="preserve"> (41.37)</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Other Misc Expenses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134"/>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Provision for Bad and Doubtful Debts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11.21</w:t>
            </w:r>
            <w:r w:rsidR="00730692">
              <w:rPr>
                <w:rFonts w:asciiTheme="minorHAnsi" w:hAnsiTheme="minorHAnsi" w:cs="Arial"/>
                <w:sz w:val="22"/>
                <w:szCs w:val="22"/>
              </w:rPr>
              <w:t>*</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32.09</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Gross Expenditure</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671.84</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2</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200.60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658.15</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645.64</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Employee Capitalisation</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19.09</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1.07</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1.07</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1.07</w:t>
            </w:r>
          </w:p>
        </w:tc>
      </w:tr>
      <w:tr w:rsidR="00D67CBC" w:rsidRPr="007F21AA" w:rsidTr="00D67CBC">
        <w:trPr>
          <w:trHeight w:val="339"/>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A&amp;G Capitalisation</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tabs>
                <w:tab w:val="left" w:pos="470"/>
              </w:tabs>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1.23</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0.02</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0.02</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0.02</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Less: Interest Capitalisation</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0.83</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color w:val="000000"/>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Total Capitalisation</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21.15</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1.09</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1.09</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1.09</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Net Expenditure</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650.69</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2</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199.51</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657.07</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644.55</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t>Add: Return on Equity</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sidRPr="007F21AA">
              <w:rPr>
                <w:rFonts w:asciiTheme="minorHAnsi" w:hAnsiTheme="minorHAnsi"/>
                <w:sz w:val="22"/>
                <w:szCs w:val="22"/>
                <w:lang w:val="en-IN" w:eastAsia="en-IN"/>
              </w:rPr>
              <w:lastRenderedPageBreak/>
              <w:t>Less: Non-tariff Income</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5.65</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7.04</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7.04</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7.04</w:t>
            </w:r>
          </w:p>
        </w:tc>
      </w:tr>
      <w:tr w:rsidR="00D67CBC" w:rsidRPr="007F21AA" w:rsidTr="00D67CBC">
        <w:trPr>
          <w:trHeight w:val="107"/>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Pr="00D67CBC" w:rsidRDefault="00D67CBC" w:rsidP="00D67CBC">
            <w:pPr>
              <w:spacing w:before="0" w:line="240" w:lineRule="auto"/>
              <w:rPr>
                <w:rFonts w:asciiTheme="minorHAnsi" w:hAnsiTheme="minorHAnsi"/>
                <w:b/>
                <w:sz w:val="22"/>
                <w:szCs w:val="22"/>
                <w:lang w:val="en-IN" w:eastAsia="en-IN"/>
              </w:rPr>
            </w:pPr>
            <w:r w:rsidRPr="007F21AA" w:rsidDel="00DC2782">
              <w:rPr>
                <w:rFonts w:asciiTheme="minorHAnsi" w:hAnsiTheme="minorHAnsi"/>
                <w:sz w:val="22"/>
                <w:szCs w:val="22"/>
                <w:lang w:val="en-IN" w:eastAsia="en-IN"/>
              </w:rPr>
              <w:t>Add: Efficiency Gains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 </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 </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0.00</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9.24</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Pr="005607D3" w:rsidRDefault="00D67CBC" w:rsidP="00D67CBC">
            <w:pPr>
              <w:spacing w:before="0" w:line="240" w:lineRule="auto"/>
              <w:rPr>
                <w:rFonts w:asciiTheme="minorHAnsi" w:hAnsiTheme="minorHAnsi"/>
                <w:b/>
                <w:sz w:val="22"/>
                <w:szCs w:val="22"/>
                <w:lang w:val="en-IN" w:eastAsia="en-IN"/>
              </w:rPr>
            </w:pPr>
            <w:r w:rsidRPr="005607D3">
              <w:rPr>
                <w:rFonts w:asciiTheme="minorHAnsi" w:hAnsiTheme="minorHAnsi"/>
                <w:b/>
                <w:sz w:val="22"/>
                <w:szCs w:val="22"/>
                <w:lang w:val="en-IN" w:eastAsia="en-IN"/>
              </w:rPr>
              <w:t>Annual Revenue Requirement</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Del="00957DE6" w:rsidRDefault="00023318" w:rsidP="00D67CBC">
            <w:pPr>
              <w:spacing w:before="0" w:line="240" w:lineRule="auto"/>
              <w:jc w:val="right"/>
              <w:rPr>
                <w:rFonts w:asciiTheme="minorHAnsi" w:hAnsiTheme="minorHAnsi"/>
                <w:sz w:val="22"/>
                <w:szCs w:val="22"/>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645.04</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Del="00957DE6" w:rsidRDefault="00023318" w:rsidP="00D67CBC">
            <w:pPr>
              <w:spacing w:before="0" w:line="240" w:lineRule="auto"/>
              <w:jc w:val="right"/>
              <w:rPr>
                <w:rFonts w:asciiTheme="minorHAnsi" w:hAnsiTheme="minorHAnsi"/>
                <w:sz w:val="22"/>
                <w:szCs w:val="22"/>
              </w:rPr>
            </w:pPr>
            <w:r w:rsidRPr="00023318">
              <w:rPr>
                <w:rFonts w:asciiTheme="minorHAnsi" w:hAnsiTheme="minorHAnsi" w:cs="Arial"/>
                <w:b/>
                <w:bCs/>
                <w:color w:val="000000"/>
                <w:sz w:val="22"/>
                <w:szCs w:val="22"/>
              </w:rPr>
              <w:t>2</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192.48</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Del="00957DE6" w:rsidRDefault="00023318" w:rsidP="00D67CBC">
            <w:pPr>
              <w:spacing w:before="0" w:line="240" w:lineRule="auto"/>
              <w:jc w:val="right"/>
              <w:rPr>
                <w:rFonts w:asciiTheme="minorHAnsi" w:hAnsiTheme="minorHAnsi"/>
                <w:sz w:val="22"/>
                <w:szCs w:val="22"/>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650.03</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Del="00957DE6" w:rsidRDefault="00023318" w:rsidP="00D67CBC">
            <w:pPr>
              <w:spacing w:before="0" w:line="240" w:lineRule="auto"/>
              <w:jc w:val="right"/>
              <w:rPr>
                <w:rFonts w:asciiTheme="minorHAnsi" w:hAnsiTheme="minorHAnsi"/>
                <w:sz w:val="22"/>
                <w:szCs w:val="22"/>
              </w:rPr>
            </w:pPr>
            <w:r w:rsidRPr="00023318">
              <w:rPr>
                <w:rFonts w:asciiTheme="minorHAnsi" w:hAnsiTheme="minorHAnsi" w:cs="Arial"/>
                <w:b/>
                <w:bCs/>
                <w:color w:val="000000"/>
                <w:sz w:val="22"/>
                <w:szCs w:val="22"/>
              </w:rPr>
              <w:t>1</w:t>
            </w:r>
            <w:r w:rsidR="00D67CBC">
              <w:rPr>
                <w:rFonts w:asciiTheme="minorHAnsi" w:hAnsiTheme="minorHAnsi" w:cs="Arial"/>
                <w:b/>
                <w:bCs/>
                <w:color w:val="000000"/>
                <w:sz w:val="22"/>
                <w:szCs w:val="22"/>
              </w:rPr>
              <w:t>,</w:t>
            </w:r>
            <w:r w:rsidRPr="00023318">
              <w:rPr>
                <w:rFonts w:asciiTheme="minorHAnsi" w:hAnsiTheme="minorHAnsi" w:cs="Arial"/>
                <w:b/>
                <w:bCs/>
                <w:color w:val="000000"/>
                <w:sz w:val="22"/>
                <w:szCs w:val="22"/>
              </w:rPr>
              <w:t>646.75</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sz w:val="22"/>
                <w:szCs w:val="22"/>
                <w:lang w:val="en-IN" w:eastAsia="en-IN"/>
              </w:rPr>
            </w:pPr>
            <w:r>
              <w:rPr>
                <w:rFonts w:asciiTheme="minorHAnsi" w:hAnsiTheme="minorHAnsi"/>
                <w:sz w:val="22"/>
                <w:szCs w:val="22"/>
                <w:lang w:val="en-IN" w:eastAsia="en-IN"/>
              </w:rPr>
              <w:t>Revenue from Tariff incl. DPS</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448.71</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545.24</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545.24</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sz w:val="22"/>
                <w:szCs w:val="22"/>
                <w:lang w:val="en-IN" w:eastAsia="en-IN"/>
              </w:rPr>
            </w:pPr>
            <w:r w:rsidRPr="00023318">
              <w:rPr>
                <w:rFonts w:asciiTheme="minorHAnsi" w:hAnsiTheme="minorHAnsi" w:cs="Arial"/>
                <w:sz w:val="22"/>
                <w:szCs w:val="22"/>
              </w:rPr>
              <w:t>1</w:t>
            </w:r>
            <w:r w:rsidR="00D67CBC">
              <w:rPr>
                <w:rFonts w:asciiTheme="minorHAnsi" w:hAnsiTheme="minorHAnsi" w:cs="Arial"/>
                <w:sz w:val="22"/>
                <w:szCs w:val="22"/>
              </w:rPr>
              <w:t>,</w:t>
            </w:r>
            <w:r w:rsidRPr="00023318">
              <w:rPr>
                <w:rFonts w:asciiTheme="minorHAnsi" w:hAnsiTheme="minorHAnsi" w:cs="Arial"/>
                <w:sz w:val="22"/>
                <w:szCs w:val="22"/>
              </w:rPr>
              <w:t>545.24</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Default="00D67CBC" w:rsidP="00D67CBC">
            <w:pPr>
              <w:spacing w:before="0" w:line="240" w:lineRule="auto"/>
              <w:rPr>
                <w:rFonts w:asciiTheme="minorHAnsi" w:hAnsiTheme="minorHAnsi"/>
                <w:b/>
                <w:sz w:val="22"/>
                <w:szCs w:val="22"/>
                <w:lang w:val="en-IN" w:eastAsia="en-IN"/>
              </w:rPr>
            </w:pPr>
            <w:r w:rsidRPr="00D67CBC">
              <w:rPr>
                <w:rFonts w:asciiTheme="minorHAnsi" w:hAnsiTheme="minorHAnsi"/>
                <w:sz w:val="22"/>
                <w:szCs w:val="22"/>
                <w:lang w:val="en-IN" w:eastAsia="en-IN"/>
              </w:rPr>
              <w:t>Revenue Surplus approved in Order dated 21st May, 2013 consequent to final truing up from FY 2000-01 to 2007-08</w:t>
            </w:r>
            <w:r w:rsidRPr="00D67CBC" w:rsidDel="00957DE6">
              <w:rPr>
                <w:rFonts w:asciiTheme="minorHAnsi" w:hAnsiTheme="minorHAnsi"/>
                <w:sz w:val="22"/>
                <w:szCs w:val="22"/>
                <w:lang w:val="en-IN" w:eastAsia="en-IN"/>
              </w:rPr>
              <w:t xml:space="preserve"> </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sz w:val="22"/>
                <w:szCs w:val="22"/>
              </w:rPr>
              <w:t xml:space="preserve">           196.31 </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sz w:val="22"/>
                <w:szCs w:val="22"/>
              </w:rPr>
              <w:t> </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sz w:val="22"/>
                <w:szCs w:val="22"/>
              </w:rPr>
              <w:t> </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CA0A70" w:rsidP="00D67CBC">
            <w:pPr>
              <w:spacing w:before="0" w:line="240" w:lineRule="auto"/>
              <w:jc w:val="right"/>
              <w:rPr>
                <w:rFonts w:asciiTheme="minorHAnsi" w:hAnsiTheme="minorHAnsi"/>
                <w:b/>
                <w:sz w:val="22"/>
                <w:szCs w:val="22"/>
                <w:lang w:val="en-IN" w:eastAsia="en-IN"/>
              </w:rPr>
            </w:pPr>
            <w:r>
              <w:rPr>
                <w:rFonts w:asciiTheme="minorHAnsi" w:hAnsiTheme="minorHAnsi" w:cs="Arial"/>
                <w:sz w:val="22"/>
                <w:szCs w:val="22"/>
              </w:rPr>
              <w:t>196.31</w:t>
            </w:r>
            <w:r w:rsidR="00023318" w:rsidRPr="00023318">
              <w:rPr>
                <w:rFonts w:asciiTheme="minorHAnsi" w:hAnsiTheme="minorHAnsi" w:cs="Arial"/>
                <w:sz w:val="22"/>
                <w:szCs w:val="22"/>
              </w:rPr>
              <w:t> </w:t>
            </w:r>
          </w:p>
        </w:tc>
      </w:tr>
      <w:tr w:rsidR="00D67CBC" w:rsidRPr="007F21AA" w:rsidTr="00D67CBC">
        <w:trPr>
          <w:trHeight w:val="295"/>
        </w:trPr>
        <w:tc>
          <w:tcPr>
            <w:tcW w:w="2163" w:type="pct"/>
            <w:tcBorders>
              <w:top w:val="nil"/>
              <w:left w:val="dotted" w:sz="4" w:space="0" w:color="auto"/>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rPr>
                <w:rFonts w:asciiTheme="minorHAnsi" w:hAnsiTheme="minorHAnsi"/>
                <w:b/>
                <w:sz w:val="22"/>
                <w:szCs w:val="22"/>
                <w:lang w:val="en-IN" w:eastAsia="en-IN"/>
              </w:rPr>
            </w:pPr>
            <w:r w:rsidRPr="00023318">
              <w:rPr>
                <w:rFonts w:asciiTheme="minorHAnsi" w:hAnsiTheme="minorHAnsi"/>
                <w:b/>
                <w:sz w:val="22"/>
                <w:szCs w:val="22"/>
                <w:lang w:val="en-IN" w:eastAsia="en-IN"/>
              </w:rPr>
              <w:t>Net Revenue Gap</w:t>
            </w:r>
          </w:p>
        </w:tc>
        <w:tc>
          <w:tcPr>
            <w:tcW w:w="720"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0.01</w:t>
            </w:r>
          </w:p>
        </w:tc>
        <w:tc>
          <w:tcPr>
            <w:tcW w:w="811"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647.24</w:t>
            </w:r>
          </w:p>
        </w:tc>
        <w:tc>
          <w:tcPr>
            <w:tcW w:w="543" w:type="pct"/>
            <w:tcBorders>
              <w:top w:val="nil"/>
              <w:left w:val="nil"/>
              <w:bottom w:val="dotted" w:sz="4" w:space="0" w:color="auto"/>
              <w:right w:val="dotted" w:sz="4" w:space="0" w:color="auto"/>
            </w:tcBorders>
            <w:shd w:val="clear" w:color="000000" w:fill="FFFFFF"/>
            <w:vAlign w:val="center"/>
            <w:hideMark/>
          </w:tcPr>
          <w:p w:rsidR="00D67CBC" w:rsidRPr="00D67CBC" w:rsidRDefault="00023318" w:rsidP="00D67CBC">
            <w:pPr>
              <w:spacing w:before="0" w:line="240" w:lineRule="auto"/>
              <w:jc w:val="right"/>
              <w:rPr>
                <w:rFonts w:asciiTheme="minorHAnsi" w:hAnsiTheme="minorHAnsi"/>
                <w:b/>
                <w:sz w:val="22"/>
                <w:szCs w:val="22"/>
                <w:lang w:val="en-IN" w:eastAsia="en-IN"/>
              </w:rPr>
            </w:pPr>
            <w:r w:rsidRPr="00023318">
              <w:rPr>
                <w:rFonts w:asciiTheme="minorHAnsi" w:hAnsiTheme="minorHAnsi" w:cs="Arial"/>
                <w:b/>
                <w:bCs/>
                <w:color w:val="000000"/>
                <w:sz w:val="22"/>
                <w:szCs w:val="22"/>
              </w:rPr>
              <w:t>104.79</w:t>
            </w:r>
          </w:p>
        </w:tc>
        <w:tc>
          <w:tcPr>
            <w:tcW w:w="763" w:type="pct"/>
            <w:tcBorders>
              <w:top w:val="nil"/>
              <w:left w:val="nil"/>
              <w:bottom w:val="dotted" w:sz="4" w:space="0" w:color="auto"/>
              <w:right w:val="dotted" w:sz="4" w:space="0" w:color="auto"/>
            </w:tcBorders>
            <w:shd w:val="clear" w:color="000000" w:fill="FFFFFF"/>
            <w:vAlign w:val="center"/>
            <w:hideMark/>
          </w:tcPr>
          <w:p w:rsidR="00D67CBC" w:rsidRPr="00D67CBC" w:rsidRDefault="00CA0A70" w:rsidP="00D67CBC">
            <w:pPr>
              <w:spacing w:before="0" w:line="240" w:lineRule="auto"/>
              <w:jc w:val="right"/>
              <w:rPr>
                <w:rFonts w:asciiTheme="minorHAnsi" w:hAnsiTheme="minorHAnsi"/>
                <w:b/>
                <w:sz w:val="22"/>
                <w:szCs w:val="22"/>
                <w:lang w:val="en-IN" w:eastAsia="en-IN"/>
              </w:rPr>
            </w:pPr>
            <w:r>
              <w:rPr>
                <w:rFonts w:asciiTheme="minorHAnsi" w:hAnsiTheme="minorHAnsi" w:cs="Arial"/>
                <w:b/>
                <w:bCs/>
                <w:color w:val="000000"/>
                <w:sz w:val="22"/>
                <w:szCs w:val="22"/>
              </w:rPr>
              <w:t>(94.80)</w:t>
            </w:r>
          </w:p>
        </w:tc>
      </w:tr>
    </w:tbl>
    <w:p w:rsidR="00F70DA9" w:rsidRDefault="0022393E" w:rsidP="007F21AA">
      <w:pPr>
        <w:spacing w:before="0"/>
        <w:jc w:val="left"/>
        <w:rPr>
          <w:i/>
          <w:sz w:val="22"/>
          <w:szCs w:val="22"/>
          <w:lang w:val="en-US"/>
        </w:rPr>
      </w:pPr>
      <w:r w:rsidRPr="00C60AD1">
        <w:rPr>
          <w:i/>
          <w:sz w:val="22"/>
          <w:szCs w:val="22"/>
          <w:lang w:val="en-US"/>
        </w:rPr>
        <w:t># Apportionment of O&amp;M Expenses of UPPCL has been allowed while computing BST</w:t>
      </w:r>
    </w:p>
    <w:p w:rsidR="008071F3" w:rsidRPr="00C60AD1" w:rsidRDefault="008071F3" w:rsidP="007F21AA">
      <w:pPr>
        <w:spacing w:before="0"/>
        <w:jc w:val="left"/>
        <w:rPr>
          <w:i/>
          <w:sz w:val="22"/>
          <w:szCs w:val="22"/>
          <w:lang w:val="en-US"/>
        </w:rPr>
      </w:pPr>
    </w:p>
    <w:p w:rsidR="003147B8" w:rsidRPr="00C60AD1" w:rsidRDefault="008A1A72" w:rsidP="00C60AD1">
      <w:pPr>
        <w:pStyle w:val="Heading3"/>
        <w:tabs>
          <w:tab w:val="clear" w:pos="720"/>
        </w:tabs>
        <w:spacing w:after="240"/>
        <w:ind w:left="993" w:hanging="993"/>
      </w:pPr>
      <w:r w:rsidRPr="00C60AD1">
        <w:t>The Petitioner requested the Commission to consider the revenue side true-up and expense side true-up as per the aforementioned sections wherein the net revenue gap has been comput</w:t>
      </w:r>
      <w:r w:rsidR="00B94C76" w:rsidRPr="00C60AD1">
        <w:t xml:space="preserve">ed at Rs. </w:t>
      </w:r>
      <w:r w:rsidR="003F7D04">
        <w:t>104.79</w:t>
      </w:r>
      <w:r w:rsidR="008071F3">
        <w:t xml:space="preserve"> </w:t>
      </w:r>
      <w:r w:rsidRPr="00C60AD1">
        <w:t>Crore.</w:t>
      </w:r>
    </w:p>
    <w:p w:rsidR="00690371" w:rsidRDefault="008A1A72" w:rsidP="00C60AD1">
      <w:pPr>
        <w:pStyle w:val="Heading3"/>
        <w:tabs>
          <w:tab w:val="clear" w:pos="720"/>
        </w:tabs>
        <w:spacing w:after="240"/>
        <w:ind w:left="993" w:hanging="993"/>
      </w:pPr>
      <w:r w:rsidRPr="00C60AD1">
        <w:t xml:space="preserve">However, as observed from the above Table, against the gap of Rs. </w:t>
      </w:r>
      <w:r w:rsidR="003F7D04">
        <w:t>104.79</w:t>
      </w:r>
      <w:r w:rsidRPr="00C60AD1">
        <w:t xml:space="preserve"> Crore claimed by the Petitioner for truing up of FY 20</w:t>
      </w:r>
      <w:r w:rsidR="005E02CD" w:rsidRPr="00C60AD1">
        <w:t>1</w:t>
      </w:r>
      <w:r w:rsidR="00C71221">
        <w:t>3</w:t>
      </w:r>
      <w:r w:rsidR="005E02CD" w:rsidRPr="00C60AD1">
        <w:t>-1</w:t>
      </w:r>
      <w:r w:rsidR="00C71221">
        <w:t>4</w:t>
      </w:r>
      <w:r w:rsidR="00B94C76" w:rsidRPr="00C60AD1">
        <w:t xml:space="preserve"> </w:t>
      </w:r>
      <w:r w:rsidR="00CA0A70">
        <w:t>does not include the revenue surplus of Rs. 196.31 Crore as approved by the Commission in its Order dated May 21, 2013</w:t>
      </w:r>
      <w:r w:rsidR="00CA0A70" w:rsidRPr="00C60AD1">
        <w:t xml:space="preserve">, </w:t>
      </w:r>
      <w:r w:rsidR="00CA0A70">
        <w:t xml:space="preserve">however </w:t>
      </w:r>
      <w:r w:rsidR="00CA0A70" w:rsidRPr="00C60AD1">
        <w:t xml:space="preserve">the Commission has worked out the </w:t>
      </w:r>
      <w:r w:rsidR="00CA0A70">
        <w:t>net surplus</w:t>
      </w:r>
      <w:r w:rsidR="00CA0A70" w:rsidRPr="00C60AD1">
        <w:t xml:space="preserve"> </w:t>
      </w:r>
      <w:r w:rsidR="00CA0A70">
        <w:t xml:space="preserve">to be Rs. 94.80 </w:t>
      </w:r>
      <w:r w:rsidR="00CA0A70" w:rsidRPr="00C60AD1">
        <w:t>Crore while carrying out the truing up on the basis of the audited accounts</w:t>
      </w:r>
      <w:r w:rsidR="00CA0A70">
        <w:t xml:space="preserve"> and considering the Order dated May 21, 2013</w:t>
      </w:r>
      <w:r w:rsidR="00CA0A70" w:rsidRPr="00C60AD1">
        <w:t xml:space="preserve">. The Commission has discussed the treatment of above revenue </w:t>
      </w:r>
      <w:r w:rsidR="00873B99">
        <w:t>surplus</w:t>
      </w:r>
      <w:r w:rsidR="00CA0A70" w:rsidRPr="00C60AD1">
        <w:t xml:space="preserve"> subsequently in this Order.</w:t>
      </w:r>
    </w:p>
    <w:p w:rsidR="00C802B9" w:rsidRDefault="00C802B9" w:rsidP="00555516">
      <w:pPr>
        <w:pStyle w:val="Heading3"/>
        <w:numPr>
          <w:ilvl w:val="0"/>
          <w:numId w:val="0"/>
        </w:numPr>
        <w:tabs>
          <w:tab w:val="clear" w:pos="720"/>
        </w:tabs>
        <w:spacing w:after="240"/>
        <w:ind w:left="993"/>
        <w:sectPr w:rsidR="00C802B9" w:rsidSect="00D55642">
          <w:headerReference w:type="default" r:id="rId11"/>
          <w:footerReference w:type="default" r:id="rId12"/>
          <w:pgSz w:w="11909" w:h="16834"/>
          <w:pgMar w:top="1440" w:right="1440" w:bottom="1440" w:left="1800" w:header="142" w:footer="720" w:gutter="0"/>
          <w:pgNumType w:chapSep="colon"/>
          <w:cols w:space="720"/>
        </w:sectPr>
      </w:pPr>
    </w:p>
    <w:p w:rsidR="00023318" w:rsidRDefault="00C34658" w:rsidP="006C08CE">
      <w:pPr>
        <w:pStyle w:val="Heading1"/>
        <w:spacing w:before="0" w:after="0"/>
        <w:jc w:val="left"/>
      </w:pPr>
      <w:bookmarkStart w:id="640" w:name="_Toc419992290"/>
      <w:bookmarkStart w:id="641" w:name="_Toc453367598"/>
      <w:bookmarkStart w:id="642" w:name="_Toc457355485"/>
      <w:r w:rsidRPr="00C60AD1">
        <w:lastRenderedPageBreak/>
        <w:t>A</w:t>
      </w:r>
      <w:bookmarkStart w:id="643" w:name="_Toc396898546"/>
      <w:bookmarkStart w:id="644" w:name="_Toc396946226"/>
      <w:bookmarkStart w:id="645" w:name="_Toc396946407"/>
      <w:bookmarkStart w:id="646" w:name="_Toc397291300"/>
      <w:bookmarkStart w:id="647" w:name="_Toc397291479"/>
      <w:bookmarkStart w:id="648" w:name="_Toc399520975"/>
      <w:bookmarkStart w:id="649" w:name="_Toc399521199"/>
      <w:bookmarkStart w:id="650" w:name="_Toc399521421"/>
      <w:bookmarkStart w:id="651" w:name="_Toc399521947"/>
      <w:bookmarkStart w:id="652" w:name="_Toc399522220"/>
      <w:bookmarkStart w:id="653" w:name="_Toc399522402"/>
      <w:bookmarkStart w:id="654" w:name="_Toc396898571"/>
      <w:bookmarkStart w:id="655" w:name="_Toc396946251"/>
      <w:bookmarkStart w:id="656" w:name="_Toc396946432"/>
      <w:bookmarkStart w:id="657" w:name="_Toc397291325"/>
      <w:bookmarkStart w:id="658" w:name="_Toc397291504"/>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C60AD1">
        <w:t>NNUAL REVENUE REQUIREMENT FOR 201</w:t>
      </w:r>
      <w:r>
        <w:t>6</w:t>
      </w:r>
      <w:r w:rsidRPr="00C60AD1">
        <w:t>-1</w:t>
      </w:r>
      <w:r>
        <w:t>7</w:t>
      </w:r>
      <w:bookmarkEnd w:id="640"/>
      <w:bookmarkEnd w:id="641"/>
      <w:bookmarkEnd w:id="642"/>
    </w:p>
    <w:p w:rsidR="006C08CE" w:rsidRDefault="006C08CE" w:rsidP="006C08CE">
      <w:pPr>
        <w:pStyle w:val="Heading2"/>
        <w:numPr>
          <w:ilvl w:val="0"/>
          <w:numId w:val="0"/>
        </w:numPr>
        <w:spacing w:before="0"/>
        <w:ind w:left="780"/>
      </w:pPr>
      <w:bookmarkStart w:id="659" w:name="_Toc396573823"/>
      <w:bookmarkStart w:id="660" w:name="_Toc399623721"/>
      <w:bookmarkStart w:id="661" w:name="_Toc419992291"/>
      <w:bookmarkStart w:id="662" w:name="_Toc453367599"/>
      <w:bookmarkStart w:id="663" w:name="_Toc457355486"/>
    </w:p>
    <w:p w:rsidR="00C34658" w:rsidRPr="00C60AD1" w:rsidRDefault="00C34658" w:rsidP="006C08CE">
      <w:pPr>
        <w:pStyle w:val="Heading2"/>
        <w:numPr>
          <w:ilvl w:val="1"/>
          <w:numId w:val="14"/>
        </w:numPr>
        <w:spacing w:before="0"/>
      </w:pPr>
      <w:r w:rsidRPr="00C60AD1">
        <w:t>INTRODUCTION</w:t>
      </w:r>
      <w:bookmarkEnd w:id="659"/>
      <w:bookmarkEnd w:id="660"/>
      <w:bookmarkEnd w:id="661"/>
      <w:bookmarkEnd w:id="662"/>
      <w:bookmarkEnd w:id="663"/>
    </w:p>
    <w:p w:rsidR="00023318" w:rsidRDefault="00C34658" w:rsidP="00023318">
      <w:pPr>
        <w:pStyle w:val="Heading3"/>
        <w:tabs>
          <w:tab w:val="clear" w:pos="720"/>
        </w:tabs>
        <w:spacing w:after="240"/>
        <w:ind w:left="993" w:hanging="993"/>
      </w:pPr>
      <w:r w:rsidRPr="00C60AD1">
        <w:t>In this section, the Commission has undertaken the process of approval of the Annual Revenue Requirements of the Licensee for FY 201</w:t>
      </w:r>
      <w:r>
        <w:t>6</w:t>
      </w:r>
      <w:r w:rsidRPr="00C60AD1">
        <w:t>-1</w:t>
      </w:r>
      <w:r>
        <w:t>7</w:t>
      </w:r>
      <w:r w:rsidRPr="00C60AD1">
        <w:t xml:space="preserve"> in line with the provisions of the Distribution Tariff Regulations, 2006.</w:t>
      </w:r>
    </w:p>
    <w:p w:rsidR="006C08CE" w:rsidRDefault="006C08CE" w:rsidP="006C08CE">
      <w:pPr>
        <w:pStyle w:val="Heading3"/>
        <w:numPr>
          <w:ilvl w:val="0"/>
          <w:numId w:val="0"/>
        </w:numPr>
        <w:tabs>
          <w:tab w:val="clear" w:pos="720"/>
        </w:tabs>
        <w:spacing w:before="0"/>
        <w:ind w:left="993"/>
      </w:pPr>
    </w:p>
    <w:p w:rsidR="00C34658" w:rsidRPr="00C60AD1" w:rsidRDefault="00C34658" w:rsidP="006C08CE">
      <w:pPr>
        <w:pStyle w:val="Heading2"/>
        <w:numPr>
          <w:ilvl w:val="1"/>
          <w:numId w:val="14"/>
        </w:numPr>
        <w:spacing w:before="0"/>
      </w:pPr>
      <w:bookmarkStart w:id="664" w:name="_Toc356322586"/>
      <w:bookmarkStart w:id="665" w:name="_Toc357733322"/>
      <w:bookmarkStart w:id="666" w:name="_Toc396573824"/>
      <w:bookmarkStart w:id="667" w:name="_Toc399623722"/>
      <w:bookmarkStart w:id="668" w:name="_Toc419992292"/>
      <w:bookmarkStart w:id="669" w:name="_Toc453367600"/>
      <w:bookmarkStart w:id="670" w:name="_Toc457355487"/>
      <w:r w:rsidRPr="00C60AD1">
        <w:t>CONSUMPTION PARAMETERS:</w:t>
      </w:r>
      <w:bookmarkEnd w:id="664"/>
      <w:bookmarkEnd w:id="665"/>
      <w:r w:rsidRPr="00C60AD1">
        <w:t xml:space="preserve"> CONSUMER NUMBERS, CONNECTED LOAD, SALES</w:t>
      </w:r>
      <w:bookmarkEnd w:id="666"/>
      <w:bookmarkEnd w:id="667"/>
      <w:bookmarkEnd w:id="668"/>
      <w:bookmarkEnd w:id="669"/>
      <w:bookmarkEnd w:id="670"/>
    </w:p>
    <w:p w:rsidR="00023318" w:rsidRDefault="00C34658" w:rsidP="00023318">
      <w:pPr>
        <w:pStyle w:val="Heading3"/>
        <w:tabs>
          <w:tab w:val="clear" w:pos="720"/>
        </w:tabs>
        <w:spacing w:after="240"/>
        <w:ind w:left="993" w:hanging="993"/>
      </w:pPr>
      <w:r w:rsidRPr="004D708D">
        <w:t xml:space="preserve">The Petitioner submitted that it has projected the category-wise sales based on the CAGR of the last eight years data and considering factors like available population data, expected conversion of unauthorized connections, connected load factor and specific growth factors and wherever the data was incongruous such incongruity was ignored while projecting the load growth for the ensuing years. </w:t>
      </w:r>
    </w:p>
    <w:p w:rsidR="00023318" w:rsidRDefault="00C34658" w:rsidP="00023318">
      <w:pPr>
        <w:pStyle w:val="Heading3"/>
        <w:tabs>
          <w:tab w:val="clear" w:pos="720"/>
        </w:tabs>
        <w:spacing w:after="240"/>
        <w:ind w:left="993" w:hanging="993"/>
      </w:pPr>
      <w:r w:rsidRPr="00B7186A">
        <w:t>The Petitioner submitted that the forecast model projects the specific consumption level (consumption per customer) appropriate for each customer category. The Petitioner submitted that this forecast is based on expected growth relationships to income and pric</w:t>
      </w:r>
      <w:r w:rsidRPr="007F4034">
        <w:t xml:space="preserve">e, effect of Demand Side Management and impact of hours of service. </w:t>
      </w:r>
    </w:p>
    <w:p w:rsidR="00023318" w:rsidRDefault="00C34658" w:rsidP="00023318">
      <w:pPr>
        <w:pStyle w:val="Heading3"/>
        <w:tabs>
          <w:tab w:val="clear" w:pos="720"/>
        </w:tabs>
        <w:spacing w:after="240"/>
        <w:ind w:left="993" w:hanging="993"/>
      </w:pPr>
      <w:r w:rsidRPr="007F4034">
        <w:t>The Petitioner submitted that the specific consumption level along with the number of cus</w:t>
      </w:r>
      <w:r w:rsidRPr="00C33876">
        <w:t xml:space="preserve">tomers in each category gives the sales figure for that particular sub-category and the final detailed calculations estimate the connected load </w:t>
      </w:r>
      <w:r>
        <w:t>for each</w:t>
      </w:r>
      <w:r w:rsidRPr="00C33876">
        <w:t xml:space="preserve"> tariff category. The Petitioner added that the division level forecasts have been consolidated and losses have been added to the sales estimates to determine power purchase requirements.</w:t>
      </w:r>
    </w:p>
    <w:p w:rsidR="00023318" w:rsidRDefault="00C34658" w:rsidP="00023318">
      <w:pPr>
        <w:pStyle w:val="Heading3"/>
        <w:tabs>
          <w:tab w:val="clear" w:pos="720"/>
        </w:tabs>
        <w:spacing w:after="240"/>
        <w:ind w:left="993" w:hanging="993"/>
      </w:pPr>
      <w:r w:rsidRPr="00C60AD1">
        <w:t>The billing determinants including number of Consumers, Connected Load and Energy Sales for FY 201</w:t>
      </w:r>
      <w:r>
        <w:t>6</w:t>
      </w:r>
      <w:r w:rsidRPr="00C60AD1">
        <w:t>-1</w:t>
      </w:r>
      <w:r>
        <w:t>7</w:t>
      </w:r>
      <w:r w:rsidRPr="00C60AD1">
        <w:t xml:space="preserve"> as submitted by the Petitioner are shown in the Table below:</w:t>
      </w:r>
    </w:p>
    <w:p w:rsidR="00C34658" w:rsidRPr="00C60AD1" w:rsidRDefault="00C34658" w:rsidP="00C34658">
      <w:pPr>
        <w:pStyle w:val="Heading3"/>
        <w:numPr>
          <w:ilvl w:val="0"/>
          <w:numId w:val="0"/>
        </w:numPr>
        <w:ind w:left="90"/>
      </w:pPr>
    </w:p>
    <w:p w:rsidR="00C34658" w:rsidRPr="00C60AD1" w:rsidRDefault="00C34658" w:rsidP="00C34658">
      <w:pPr>
        <w:spacing w:before="0" w:line="240" w:lineRule="auto"/>
        <w:jc w:val="left"/>
        <w:rPr>
          <w:rFonts w:cs="Calibri"/>
          <w:b/>
          <w:sz w:val="22"/>
          <w:szCs w:val="22"/>
          <w:lang w:val="en-US"/>
        </w:rPr>
      </w:pPr>
      <w:bookmarkStart w:id="671" w:name="_Toc395657916"/>
      <w:bookmarkStart w:id="672" w:name="_Toc396573967"/>
      <w:r w:rsidRPr="00C60AD1">
        <w:rPr>
          <w:rFonts w:cs="Calibri"/>
          <w:b/>
          <w:sz w:val="22"/>
          <w:szCs w:val="22"/>
          <w:lang w:val="en-US"/>
        </w:rPr>
        <w:br w:type="page"/>
      </w:r>
    </w:p>
    <w:p w:rsidR="00C34658" w:rsidRPr="00C60AD1" w:rsidRDefault="00C34658" w:rsidP="00C34658">
      <w:pPr>
        <w:spacing w:before="0"/>
        <w:jc w:val="center"/>
        <w:rPr>
          <w:rFonts w:cstheme="minorHAnsi"/>
          <w:b/>
        </w:rPr>
      </w:pPr>
      <w:bookmarkStart w:id="673" w:name="_Toc419992308"/>
      <w:bookmarkStart w:id="674" w:name="_Toc399624068"/>
      <w:bookmarkStart w:id="675" w:name="_Toc453367649"/>
      <w:bookmarkStart w:id="676" w:name="_Toc457355625"/>
      <w:r w:rsidRPr="00C60AD1">
        <w:rPr>
          <w:rFonts w:cs="Calibri"/>
          <w:b/>
          <w:sz w:val="22"/>
          <w:szCs w:val="22"/>
          <w:lang w:val="en-US"/>
        </w:rPr>
        <w:lastRenderedPageBreak/>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w:t>
      </w:r>
      <w:r w:rsidR="004A2D9E" w:rsidRPr="00C60AD1">
        <w:rPr>
          <w:rFonts w:cs="Calibri"/>
          <w:b/>
          <w:sz w:val="22"/>
          <w:szCs w:val="22"/>
          <w:lang w:val="en-US"/>
        </w:rPr>
        <w:fldChar w:fldCharType="end"/>
      </w:r>
      <w:r w:rsidRPr="00C60AD1">
        <w:rPr>
          <w:rFonts w:cs="Calibri"/>
          <w:b/>
          <w:sz w:val="22"/>
          <w:szCs w:val="22"/>
          <w:lang w:val="en-US"/>
        </w:rPr>
        <w:t>: C</w:t>
      </w:r>
      <w:r>
        <w:rPr>
          <w:rFonts w:cs="Calibri"/>
          <w:b/>
          <w:sz w:val="22"/>
          <w:szCs w:val="22"/>
          <w:lang w:val="en-US"/>
        </w:rPr>
        <w:t>O</w:t>
      </w:r>
      <w:r w:rsidRPr="00C60AD1">
        <w:rPr>
          <w:rFonts w:cs="Calibri"/>
          <w:b/>
          <w:sz w:val="22"/>
          <w:szCs w:val="22"/>
          <w:lang w:val="en-US"/>
        </w:rPr>
        <w:t>NSUMPTION PARAMETERS SUBMITTED BY THE PETITIONER FOR FY 201</w:t>
      </w:r>
      <w:r>
        <w:rPr>
          <w:rFonts w:cs="Calibri"/>
          <w:b/>
          <w:sz w:val="22"/>
          <w:szCs w:val="22"/>
          <w:lang w:val="en-US"/>
        </w:rPr>
        <w:t>6</w:t>
      </w:r>
      <w:r w:rsidRPr="00C60AD1">
        <w:rPr>
          <w:rFonts w:cs="Calibri"/>
          <w:b/>
          <w:sz w:val="22"/>
          <w:szCs w:val="22"/>
          <w:lang w:val="en-US"/>
        </w:rPr>
        <w:t>-</w:t>
      </w:r>
      <w:r w:rsidRPr="00C60AD1">
        <w:rPr>
          <w:rFonts w:cstheme="minorHAnsi"/>
          <w:b/>
        </w:rPr>
        <w:t>1</w:t>
      </w:r>
      <w:r>
        <w:rPr>
          <w:rFonts w:cstheme="minorHAnsi"/>
          <w:b/>
        </w:rPr>
        <w:t>7</w:t>
      </w:r>
      <w:bookmarkEnd w:id="671"/>
      <w:bookmarkEnd w:id="672"/>
      <w:bookmarkEnd w:id="673"/>
      <w:bookmarkEnd w:id="674"/>
      <w:bookmarkEnd w:id="675"/>
      <w:bookmarkEnd w:id="676"/>
    </w:p>
    <w:tbl>
      <w:tblPr>
        <w:tblW w:w="8447" w:type="dxa"/>
        <w:jc w:val="center"/>
        <w:tblInd w:w="4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35"/>
        <w:gridCol w:w="1704"/>
        <w:gridCol w:w="1704"/>
        <w:gridCol w:w="1704"/>
      </w:tblGrid>
      <w:tr w:rsidR="00C34658" w:rsidRPr="00043425" w:rsidTr="00BB6B0D">
        <w:trPr>
          <w:trHeight w:val="523"/>
          <w:jc w:val="center"/>
        </w:trPr>
        <w:tc>
          <w:tcPr>
            <w:tcW w:w="3335" w:type="dxa"/>
            <w:shd w:val="clear" w:color="000000" w:fill="DCE6F1"/>
            <w:noWrap/>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704" w:type="dxa"/>
            <w:shd w:val="clear" w:color="000000" w:fill="DCE6F1"/>
            <w:hideMark/>
          </w:tcPr>
          <w:p w:rsidR="003267CD" w:rsidRDefault="00027D0D">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511448</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1200707</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1939</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53489</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157111</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222</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18</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14117</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61</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826</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15248</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65</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9735</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122688</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334</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537</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18072</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43</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3346</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127222</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19</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174</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67532</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144</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595</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215905</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452</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vAlign w:val="center"/>
            <w:hideMark/>
          </w:tcPr>
          <w:p w:rsidR="006C3A33" w:rsidRDefault="006C3A33">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6C3A33" w:rsidRPr="00043425" w:rsidTr="00BB6B0D">
        <w:trPr>
          <w:trHeight w:val="300"/>
          <w:jc w:val="center"/>
        </w:trPr>
        <w:tc>
          <w:tcPr>
            <w:tcW w:w="3335" w:type="dxa"/>
            <w:shd w:val="clear" w:color="auto" w:fill="auto"/>
            <w:noWrap/>
            <w:hideMark/>
          </w:tcPr>
          <w:p w:rsidR="006C3A33" w:rsidRDefault="006C3A33">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Total</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5,80,167</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19,38,603</w:t>
            </w:r>
          </w:p>
        </w:tc>
        <w:tc>
          <w:tcPr>
            <w:tcW w:w="1704" w:type="dxa"/>
            <w:shd w:val="clear" w:color="auto" w:fill="auto"/>
            <w:noWrap/>
            <w:vAlign w:val="center"/>
            <w:hideMark/>
          </w:tcPr>
          <w:p w:rsidR="006C3A33"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3,278</w:t>
            </w:r>
          </w:p>
        </w:tc>
      </w:tr>
    </w:tbl>
    <w:p w:rsidR="00C34658" w:rsidRDefault="00C34658" w:rsidP="00C34658">
      <w:pPr>
        <w:pStyle w:val="Heading3"/>
        <w:numPr>
          <w:ilvl w:val="0"/>
          <w:numId w:val="0"/>
        </w:numPr>
        <w:spacing w:before="0"/>
      </w:pPr>
    </w:p>
    <w:p w:rsidR="00023318" w:rsidRDefault="00C34658" w:rsidP="00023318">
      <w:pPr>
        <w:pStyle w:val="Heading3"/>
        <w:tabs>
          <w:tab w:val="clear" w:pos="720"/>
        </w:tabs>
        <w:spacing w:after="240"/>
        <w:ind w:left="993" w:hanging="993"/>
      </w:pPr>
      <w:r w:rsidRPr="00C60AD1">
        <w:t>For forecasting the consumption parameters the Commission has adopted the same methodology as proposed by the Petitioner as it seems fair and equitable.</w:t>
      </w:r>
    </w:p>
    <w:p w:rsidR="00023318" w:rsidRDefault="00C34658" w:rsidP="00023318">
      <w:pPr>
        <w:pStyle w:val="Heading3"/>
        <w:tabs>
          <w:tab w:val="clear" w:pos="720"/>
        </w:tabs>
        <w:spacing w:after="240"/>
        <w:ind w:left="993" w:hanging="993"/>
      </w:pPr>
      <w:r w:rsidRPr="00C60AD1">
        <w:t xml:space="preserve">The consumption norms for projection of unmetered sales were established vide UPPCL Order No. 2649-CUR/L, dated July 7, 2001 and Order No. 165 CUR-2 / R-3 dated February 14, 2014 as detailed below: </w:t>
      </w:r>
    </w:p>
    <w:p w:rsidR="00C34658" w:rsidRPr="00353873" w:rsidRDefault="00C34658" w:rsidP="00C34658">
      <w:pPr>
        <w:spacing w:before="0"/>
        <w:jc w:val="center"/>
        <w:rPr>
          <w:rFonts w:cs="Calibri"/>
          <w:b/>
          <w:sz w:val="22"/>
          <w:szCs w:val="22"/>
          <w:highlight w:val="yellow"/>
          <w:lang w:val="en-US"/>
        </w:rPr>
      </w:pPr>
      <w:bookmarkStart w:id="677" w:name="_Ref395693076"/>
      <w:bookmarkStart w:id="678" w:name="_Toc338310668"/>
      <w:bookmarkStart w:id="679" w:name="_Toc338419498"/>
      <w:bookmarkStart w:id="680" w:name="_Toc357738726"/>
      <w:bookmarkStart w:id="681" w:name="_Toc395657918"/>
      <w:bookmarkStart w:id="682" w:name="_Toc396573969"/>
      <w:bookmarkStart w:id="683" w:name="_Toc399624070"/>
      <w:bookmarkStart w:id="684" w:name="_Toc453367650"/>
      <w:bookmarkStart w:id="685" w:name="_Toc457355626"/>
      <w:r w:rsidRPr="009917C8">
        <w:rPr>
          <w:rFonts w:cs="Calibri"/>
          <w:b/>
          <w:sz w:val="22"/>
          <w:szCs w:val="22"/>
          <w:lang w:val="en-US"/>
        </w:rPr>
        <w:t xml:space="preserve">Table </w:t>
      </w:r>
      <w:r w:rsidR="004A2D9E" w:rsidRPr="009917C8">
        <w:rPr>
          <w:rFonts w:cs="Calibri"/>
          <w:b/>
          <w:sz w:val="22"/>
          <w:szCs w:val="22"/>
          <w:lang w:val="en-US"/>
        </w:rPr>
        <w:fldChar w:fldCharType="begin"/>
      </w:r>
      <w:r w:rsidRPr="009917C8">
        <w:rPr>
          <w:rFonts w:cs="Calibri"/>
          <w:b/>
          <w:sz w:val="22"/>
          <w:szCs w:val="22"/>
          <w:lang w:val="en-US"/>
        </w:rPr>
        <w:instrText xml:space="preserve"> STYLEREF 1 \s </w:instrText>
      </w:r>
      <w:r w:rsidR="004A2D9E" w:rsidRPr="009917C8">
        <w:rPr>
          <w:rFonts w:cs="Calibri"/>
          <w:b/>
          <w:sz w:val="22"/>
          <w:szCs w:val="22"/>
          <w:lang w:val="en-US"/>
        </w:rPr>
        <w:fldChar w:fldCharType="separate"/>
      </w:r>
      <w:r w:rsidR="0011185B">
        <w:rPr>
          <w:rFonts w:cs="Calibri"/>
          <w:b/>
          <w:noProof/>
          <w:sz w:val="22"/>
          <w:szCs w:val="22"/>
          <w:lang w:val="en-US"/>
        </w:rPr>
        <w:t>5</w:t>
      </w:r>
      <w:r w:rsidR="004A2D9E" w:rsidRPr="009917C8">
        <w:rPr>
          <w:rFonts w:cs="Calibri"/>
          <w:b/>
          <w:sz w:val="22"/>
          <w:szCs w:val="22"/>
          <w:lang w:val="en-US"/>
        </w:rPr>
        <w:fldChar w:fldCharType="end"/>
      </w:r>
      <w:r w:rsidRPr="009917C8">
        <w:rPr>
          <w:rFonts w:cs="Calibri"/>
          <w:b/>
          <w:sz w:val="22"/>
          <w:szCs w:val="22"/>
          <w:lang w:val="en-US"/>
        </w:rPr>
        <w:noBreakHyphen/>
      </w:r>
      <w:r w:rsidR="004A2D9E" w:rsidRPr="009917C8">
        <w:rPr>
          <w:rFonts w:cs="Calibri"/>
          <w:b/>
          <w:sz w:val="22"/>
          <w:szCs w:val="22"/>
          <w:lang w:val="en-US"/>
        </w:rPr>
        <w:fldChar w:fldCharType="begin"/>
      </w:r>
      <w:r w:rsidRPr="009917C8">
        <w:rPr>
          <w:rFonts w:cs="Calibri"/>
          <w:b/>
          <w:sz w:val="22"/>
          <w:szCs w:val="22"/>
          <w:lang w:val="en-US"/>
        </w:rPr>
        <w:instrText xml:space="preserve"> SEQ Table \* ARABIC \s 1 </w:instrText>
      </w:r>
      <w:r w:rsidR="004A2D9E" w:rsidRPr="009917C8">
        <w:rPr>
          <w:rFonts w:cs="Calibri"/>
          <w:b/>
          <w:sz w:val="22"/>
          <w:szCs w:val="22"/>
          <w:lang w:val="en-US"/>
        </w:rPr>
        <w:fldChar w:fldCharType="separate"/>
      </w:r>
      <w:r w:rsidR="0011185B">
        <w:rPr>
          <w:rFonts w:cs="Calibri"/>
          <w:b/>
          <w:noProof/>
          <w:sz w:val="22"/>
          <w:szCs w:val="22"/>
          <w:lang w:val="en-US"/>
        </w:rPr>
        <w:t>2</w:t>
      </w:r>
      <w:r w:rsidR="004A2D9E" w:rsidRPr="009917C8">
        <w:rPr>
          <w:rFonts w:cs="Calibri"/>
          <w:b/>
          <w:sz w:val="22"/>
          <w:szCs w:val="22"/>
          <w:lang w:val="en-US"/>
        </w:rPr>
        <w:fldChar w:fldCharType="end"/>
      </w:r>
      <w:bookmarkEnd w:id="677"/>
      <w:r w:rsidRPr="009917C8">
        <w:rPr>
          <w:rFonts w:cs="Calibri"/>
          <w:b/>
          <w:sz w:val="22"/>
          <w:szCs w:val="22"/>
          <w:lang w:val="en-US"/>
        </w:rPr>
        <w:t>: CONSUMPTION NORMS FOR UNMETERED CATEGORIES</w:t>
      </w:r>
      <w:bookmarkEnd w:id="678"/>
      <w:bookmarkEnd w:id="679"/>
      <w:bookmarkEnd w:id="680"/>
      <w:bookmarkEnd w:id="681"/>
      <w:bookmarkEnd w:id="682"/>
      <w:bookmarkEnd w:id="683"/>
      <w:bookmarkEnd w:id="684"/>
      <w:bookmarkEnd w:id="685"/>
    </w:p>
    <w:tbl>
      <w:tblPr>
        <w:tblW w:w="5451" w:type="pct"/>
        <w:jc w:val="center"/>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8"/>
        <w:gridCol w:w="3061"/>
        <w:gridCol w:w="3001"/>
        <w:gridCol w:w="3026"/>
      </w:tblGrid>
      <w:tr w:rsidR="00C34658" w:rsidRPr="007F633D" w:rsidTr="007F633D">
        <w:trPr>
          <w:trHeight w:val="300"/>
          <w:tblHeader/>
          <w:jc w:val="center"/>
        </w:trPr>
        <w:tc>
          <w:tcPr>
            <w:tcW w:w="30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Sl. No</w:t>
            </w:r>
          </w:p>
        </w:tc>
        <w:tc>
          <w:tcPr>
            <w:tcW w:w="1580"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Category</w:t>
            </w:r>
          </w:p>
        </w:tc>
        <w:tc>
          <w:tcPr>
            <w:tcW w:w="1549"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2649-CUR/L dated July 20, 2001)</w:t>
            </w:r>
          </w:p>
        </w:tc>
        <w:tc>
          <w:tcPr>
            <w:tcW w:w="1562" w:type="pct"/>
            <w:shd w:val="clear" w:color="auto" w:fill="DBE5F1" w:themeFill="accent1" w:themeFillTint="33"/>
            <w:noWrap/>
            <w:hideMark/>
          </w:tcPr>
          <w:p w:rsidR="003267CD" w:rsidRPr="007F633D" w:rsidRDefault="006069BE">
            <w:pPr>
              <w:spacing w:before="0"/>
              <w:jc w:val="center"/>
              <w:rPr>
                <w:rFonts w:asciiTheme="minorHAnsi" w:hAnsiTheme="minorHAnsi"/>
                <w:b/>
                <w:sz w:val="22"/>
                <w:szCs w:val="22"/>
              </w:rPr>
            </w:pPr>
            <w:r w:rsidRPr="006069BE">
              <w:rPr>
                <w:rFonts w:asciiTheme="minorHAnsi" w:hAnsiTheme="minorHAnsi"/>
                <w:b/>
                <w:sz w:val="22"/>
                <w:szCs w:val="22"/>
              </w:rPr>
              <w:t>Consumption Norm (As per UPPCL Order No. 165 CUR-2/ R-3 dated February 14, 2014)</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1</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LMV1: Domestic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2</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LMV2: Non Domestic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72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108 kWh / kW / month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3</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LMV3: Public Lamps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300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No Change </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4</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LMV3: Public Lamps (Urban)</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360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No Change</w:t>
            </w:r>
          </w:p>
        </w:tc>
      </w:tr>
      <w:tr w:rsidR="00C34658"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5</w:t>
            </w:r>
          </w:p>
        </w:tc>
        <w:tc>
          <w:tcPr>
            <w:tcW w:w="1580" w:type="pct"/>
            <w:shd w:val="clear" w:color="auto" w:fill="auto"/>
            <w:noWrap/>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LMV5: Private Tube Wells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91.66 kWh / kW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 xml:space="preserve">137.49 kWh / kW / month </w:t>
            </w:r>
          </w:p>
        </w:tc>
      </w:tr>
      <w:tr w:rsidR="007F633D" w:rsidRPr="007F633D" w:rsidTr="007F633D">
        <w:trPr>
          <w:trHeight w:val="300"/>
          <w:jc w:val="center"/>
        </w:trPr>
        <w:tc>
          <w:tcPr>
            <w:tcW w:w="309" w:type="pct"/>
            <w:shd w:val="clear" w:color="auto" w:fill="auto"/>
            <w:noWrap/>
            <w:vAlign w:val="center"/>
            <w:hideMark/>
          </w:tcPr>
          <w:p w:rsidR="007132A6" w:rsidRPr="007132A6" w:rsidRDefault="007132A6" w:rsidP="007132A6">
            <w:pPr>
              <w:spacing w:before="0"/>
              <w:rPr>
                <w:rFonts w:asciiTheme="minorHAnsi" w:hAnsiTheme="minorHAnsi"/>
                <w:sz w:val="22"/>
                <w:szCs w:val="22"/>
              </w:rPr>
            </w:pPr>
            <w:r w:rsidRPr="007132A6">
              <w:rPr>
                <w:rFonts w:asciiTheme="minorHAnsi" w:hAnsiTheme="minorHAnsi"/>
                <w:sz w:val="22"/>
                <w:szCs w:val="22"/>
              </w:rPr>
              <w:t>6</w:t>
            </w:r>
          </w:p>
        </w:tc>
        <w:tc>
          <w:tcPr>
            <w:tcW w:w="1580" w:type="pct"/>
            <w:shd w:val="clear" w:color="auto" w:fill="auto"/>
            <w:noWrap/>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LMV8: State Tube Wells (Rural)</w:t>
            </w:r>
          </w:p>
        </w:tc>
        <w:tc>
          <w:tcPr>
            <w:tcW w:w="1549"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3562.35 kWh / pump / month</w:t>
            </w:r>
          </w:p>
        </w:tc>
        <w:tc>
          <w:tcPr>
            <w:tcW w:w="1562" w:type="pct"/>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5343.53 kWh / pump / month</w:t>
            </w:r>
          </w:p>
        </w:tc>
      </w:tr>
    </w:tbl>
    <w:p w:rsidR="00023318" w:rsidRDefault="00C34658" w:rsidP="00023318">
      <w:pPr>
        <w:pStyle w:val="Heading3"/>
        <w:tabs>
          <w:tab w:val="clear" w:pos="720"/>
        </w:tabs>
        <w:spacing w:after="240"/>
        <w:ind w:left="993" w:hanging="993"/>
      </w:pPr>
      <w:r w:rsidRPr="008B0C65">
        <w:lastRenderedPageBreak/>
        <w:t>As regards consumption norms to be considered for assessment of consumption of unmetered categories, Regulation 3.1 (3) of the Distribution Tariff Regulations, 2006 specifies as follows:</w:t>
      </w:r>
    </w:p>
    <w:p w:rsidR="00C34658" w:rsidRPr="000935DA" w:rsidRDefault="00C34658" w:rsidP="00C34658">
      <w:pPr>
        <w:pStyle w:val="Heading3"/>
        <w:numPr>
          <w:ilvl w:val="0"/>
          <w:numId w:val="0"/>
        </w:numPr>
        <w:ind w:left="1440"/>
        <w:rPr>
          <w:i/>
        </w:rPr>
      </w:pPr>
      <w:r w:rsidRPr="008B0C65">
        <w:rPr>
          <w:i/>
        </w:rPr>
        <w:t>“3. As per the Tariff Policy issued by the Central Government metering is to be completed by March 2007, however, based on ground realities if the distribution licensee seeks exemption towards its metering obligation for any particular category of consumers it must provide the Commission revised norms, based on fresh studies, for assessment of consumption for these categories. Sales forecast for such un-metered categories shall be validated with norms approved by the Commission on the basis of above study carried out by the licensee.”</w:t>
      </w:r>
    </w:p>
    <w:p w:rsidR="00023318" w:rsidRDefault="00C34658" w:rsidP="00023318">
      <w:pPr>
        <w:pStyle w:val="Heading3"/>
        <w:tabs>
          <w:tab w:val="clear" w:pos="720"/>
        </w:tabs>
        <w:spacing w:after="240"/>
        <w:ind w:left="993" w:hanging="993"/>
      </w:pPr>
      <w:r w:rsidRPr="008B0C65">
        <w:t>Also, the Hon’ble ATE in its Judgment dated November</w:t>
      </w:r>
      <w:r>
        <w:t xml:space="preserve"> 28</w:t>
      </w:r>
      <w:r w:rsidRPr="008B0C65">
        <w:t>, 2013 in Appeal No. 239 of 2012 has ruled as follows:</w:t>
      </w:r>
    </w:p>
    <w:p w:rsidR="00C34658" w:rsidRPr="000935DA" w:rsidRDefault="00C34658" w:rsidP="00C34658">
      <w:pPr>
        <w:pStyle w:val="Heading3"/>
        <w:numPr>
          <w:ilvl w:val="0"/>
          <w:numId w:val="0"/>
        </w:numPr>
        <w:ind w:left="1440"/>
        <w:rPr>
          <w:i/>
        </w:rPr>
      </w:pPr>
      <w:r w:rsidRPr="008B0C65">
        <w:rPr>
          <w:i/>
        </w:rPr>
        <w:t>“The issue of unmetered supply is not restricted only to the State of Uttar Pradesh but is prevalent in every State throughout the country especially in the agriculture sector. The Commission has to adopt some normative value for estimation of the unmetered supply. In the absence of any scientific study made available to the Commission, the Commission has adopted the norms available at that relevant time. The Commission had been directing the distribution licensees to carry out study done for accurate estimation of consumption by unmetered supply. We accept the submissions made by the Commission and do not intend to interfere with the impugned order at present. However, we feel that the important issue cannot be postponed indefinitely at the hands of distribution licensees. We direct the Commission to get the required study done by itself through some expert consultant in a fixed time frame.”</w:t>
      </w:r>
    </w:p>
    <w:p w:rsidR="00023318" w:rsidRDefault="00C34658" w:rsidP="00023318">
      <w:pPr>
        <w:pStyle w:val="Heading3"/>
        <w:tabs>
          <w:tab w:val="clear" w:pos="720"/>
        </w:tabs>
        <w:spacing w:after="240"/>
        <w:ind w:left="993" w:hanging="993"/>
      </w:pPr>
      <w:r w:rsidRPr="008B0C65">
        <w:t>With regard to the consumption norms, the Commission in its Tariff Order for FY 2014-15 dated October 1, 2014 has specified as under:</w:t>
      </w:r>
    </w:p>
    <w:p w:rsidR="00C34658" w:rsidRPr="0050103C" w:rsidRDefault="00C34658" w:rsidP="00C34658">
      <w:pPr>
        <w:pStyle w:val="Heading3"/>
        <w:numPr>
          <w:ilvl w:val="0"/>
          <w:numId w:val="0"/>
        </w:numPr>
        <w:tabs>
          <w:tab w:val="clear" w:pos="720"/>
        </w:tabs>
        <w:spacing w:after="240"/>
        <w:ind w:left="1440"/>
        <w:rPr>
          <w:i/>
        </w:rPr>
      </w:pPr>
      <w:r w:rsidRPr="008B0C65">
        <w:rPr>
          <w:i/>
        </w:rPr>
        <w:t>“However, since, the unmetered data submitted by the Distribution Licensees is itself on assessment basis, and does not give the accurate and true picture of the actual unmetered consumption; the data submitted by the Distribution Licensees cannot be the only basis for computation of new consumption norms.”</w:t>
      </w:r>
    </w:p>
    <w:p w:rsidR="00023318" w:rsidRDefault="00C34658" w:rsidP="00023318">
      <w:pPr>
        <w:pStyle w:val="Heading3"/>
        <w:tabs>
          <w:tab w:val="clear" w:pos="720"/>
        </w:tabs>
        <w:spacing w:after="240"/>
        <w:ind w:left="993" w:hanging="993"/>
      </w:pPr>
      <w:r w:rsidRPr="008B0C65">
        <w:lastRenderedPageBreak/>
        <w:t>In view of the above, to provide accurate and effective consumption norms the Commission in its Tariff Order for FY 2014-15 dated October 1, 2014 has directed the Licensees to conduct a detailed study. The relevant extract of the aforesaid Order is depicted below:</w:t>
      </w:r>
    </w:p>
    <w:p w:rsidR="00C34658" w:rsidRPr="0050103C" w:rsidRDefault="00C34658" w:rsidP="00C34658">
      <w:pPr>
        <w:pStyle w:val="Heading3"/>
        <w:numPr>
          <w:ilvl w:val="0"/>
          <w:numId w:val="0"/>
        </w:numPr>
        <w:tabs>
          <w:tab w:val="clear" w:pos="720"/>
        </w:tabs>
        <w:spacing w:after="240"/>
        <w:ind w:left="1440"/>
        <w:rPr>
          <w:i/>
        </w:rPr>
      </w:pPr>
      <w:r w:rsidRPr="008B0C65">
        <w:rPr>
          <w:i/>
        </w:rPr>
        <w:t>“Hence, the Commission is of the opinion that revising the consumption norms without validating the same based on detailed and appropriate study, would not be appropriate. Further, the Distribution Licensees / UPPCL in the meeting on this issue held with the Commission on 28</w:t>
      </w:r>
      <w:r w:rsidRPr="008B0C65">
        <w:rPr>
          <w:i/>
          <w:vertAlign w:val="superscript"/>
        </w:rPr>
        <w:t>th</w:t>
      </w:r>
      <w:r w:rsidRPr="008B0C65">
        <w:rPr>
          <w:i/>
        </w:rPr>
        <w:t xml:space="preserve"> April, 2014 in response to the In-House Paper prepared by the Commission, have agreed to conduct a study to assess the actual consumption norms in accordance with the Regulations.</w:t>
      </w:r>
    </w:p>
    <w:p w:rsidR="00C34658" w:rsidRPr="0050103C" w:rsidRDefault="00C34658" w:rsidP="00C34658">
      <w:pPr>
        <w:pStyle w:val="Heading3"/>
        <w:numPr>
          <w:ilvl w:val="0"/>
          <w:numId w:val="0"/>
        </w:numPr>
        <w:tabs>
          <w:tab w:val="clear" w:pos="720"/>
        </w:tabs>
        <w:spacing w:after="240"/>
        <w:ind w:left="1440"/>
        <w:rPr>
          <w:i/>
        </w:rPr>
      </w:pPr>
      <w:bookmarkStart w:id="686" w:name="_Ref399524004"/>
      <w:r w:rsidRPr="008B0C65">
        <w:rPr>
          <w:i/>
        </w:rPr>
        <w:t>In view of the above, to provide accurate and effective consumption norms, the Commission directs the Petitioners to conduct a detailed study, which should include the following:</w:t>
      </w:r>
      <w:bookmarkEnd w:id="686"/>
    </w:p>
    <w:p w:rsidR="00C34658" w:rsidRPr="0050103C" w:rsidRDefault="00C34658" w:rsidP="00BA3941">
      <w:pPr>
        <w:pStyle w:val="Heading3"/>
        <w:numPr>
          <w:ilvl w:val="0"/>
          <w:numId w:val="15"/>
        </w:numPr>
        <w:tabs>
          <w:tab w:val="clear" w:pos="720"/>
        </w:tabs>
        <w:spacing w:before="0"/>
        <w:ind w:left="2160"/>
        <w:rPr>
          <w:i/>
        </w:rPr>
      </w:pPr>
      <w:r w:rsidRPr="008B0C65">
        <w:rPr>
          <w:i/>
        </w:rPr>
        <w:t>Review of Methodology adopted by Distribution Licensees for assessment of consumption norms for unmetered consumers.</w:t>
      </w:r>
    </w:p>
    <w:p w:rsidR="00C34658" w:rsidRPr="0050103C" w:rsidRDefault="00C34658" w:rsidP="00BA3941">
      <w:pPr>
        <w:pStyle w:val="Heading3"/>
        <w:numPr>
          <w:ilvl w:val="0"/>
          <w:numId w:val="15"/>
        </w:numPr>
        <w:tabs>
          <w:tab w:val="clear" w:pos="720"/>
        </w:tabs>
        <w:spacing w:before="0"/>
        <w:ind w:left="2160"/>
        <w:rPr>
          <w:i/>
        </w:rPr>
      </w:pPr>
      <w:r w:rsidRPr="008B0C65">
        <w:rPr>
          <w:i/>
        </w:rPr>
        <w:t>Identification and finalization of sample size of unmetered consumers for installation of meters by Distribution Licensee.</w:t>
      </w:r>
    </w:p>
    <w:p w:rsidR="00C34658" w:rsidRPr="0050103C" w:rsidRDefault="00C34658" w:rsidP="00BA3941">
      <w:pPr>
        <w:pStyle w:val="Heading3"/>
        <w:numPr>
          <w:ilvl w:val="0"/>
          <w:numId w:val="15"/>
        </w:numPr>
        <w:tabs>
          <w:tab w:val="clear" w:pos="720"/>
        </w:tabs>
        <w:spacing w:before="0"/>
        <w:ind w:left="2160"/>
      </w:pPr>
      <w:r w:rsidRPr="008B0C65">
        <w:rPr>
          <w:i/>
        </w:rPr>
        <w:t>Collection and analysis of data like Distribution Sub-division wise number of consumers where sample meters have been installed, month wise load of each such consumer maintained in the Distribution Sub-divisions, month-wise consumption readings of each sample meter along with number of supply hours per month, total connected load - division wise and month wise, etc.</w:t>
      </w:r>
      <w:r w:rsidR="00AA2E99">
        <w:rPr>
          <w:i/>
        </w:rPr>
        <w:t>”</w:t>
      </w:r>
    </w:p>
    <w:p w:rsidR="00023318" w:rsidRDefault="00C34658" w:rsidP="00023318">
      <w:pPr>
        <w:pStyle w:val="Heading3"/>
        <w:tabs>
          <w:tab w:val="clear" w:pos="720"/>
        </w:tabs>
        <w:spacing w:after="240"/>
        <w:ind w:left="993" w:hanging="993"/>
      </w:pPr>
      <w:r w:rsidRPr="008B0C65">
        <w:t>Further, in reply to the Commission</w:t>
      </w:r>
      <w:r>
        <w:t>’s</w:t>
      </w:r>
      <w:r w:rsidRPr="008B0C65">
        <w:t xml:space="preserve"> directive to conduct a detailed study to provide accurate and effective consumption norms as per the Uttar Pradesh Electricity Regulatory Commission (Multi Year Distribution Tariff) Regulations, 2014, the Licensee requested for some more time for compliance of the same. </w:t>
      </w:r>
    </w:p>
    <w:p w:rsidR="00023318" w:rsidRDefault="00C34658" w:rsidP="00023318">
      <w:pPr>
        <w:pStyle w:val="Heading3"/>
        <w:tabs>
          <w:tab w:val="clear" w:pos="720"/>
        </w:tabs>
        <w:spacing w:after="240"/>
        <w:ind w:left="993" w:hanging="993"/>
      </w:pPr>
      <w:r w:rsidRPr="008B0C65">
        <w:rPr>
          <w:b/>
        </w:rPr>
        <w:t>Hence, the Commission reiterates that the Licensees should adhere to the time line outlined in Uttar Pradesh Electricity Regulatory Commission (Multi Year Distribution Tariff) Regulations, 2014 for conducting a detailed study to provide accurate and effective consumption norms as specified by the Commission in its earlier Orders</w:t>
      </w:r>
      <w:r w:rsidR="00BB6B0D">
        <w:rPr>
          <w:b/>
        </w:rPr>
        <w:t xml:space="preserve"> to complete the same at the earliest</w:t>
      </w:r>
      <w:r w:rsidRPr="008B0C65">
        <w:rPr>
          <w:b/>
        </w:rPr>
        <w:t>.</w:t>
      </w:r>
    </w:p>
    <w:p w:rsidR="00023318" w:rsidRDefault="00C34658" w:rsidP="00023318">
      <w:pPr>
        <w:pStyle w:val="Heading3"/>
        <w:tabs>
          <w:tab w:val="clear" w:pos="720"/>
        </w:tabs>
        <w:spacing w:after="240"/>
        <w:ind w:left="993" w:hanging="993"/>
        <w:rPr>
          <w:rFonts w:asciiTheme="minorHAnsi" w:hAnsiTheme="minorHAnsi" w:cstheme="minorHAnsi"/>
        </w:rPr>
      </w:pPr>
      <w:r w:rsidRPr="00C60AD1">
        <w:rPr>
          <w:rFonts w:asciiTheme="minorHAnsi" w:hAnsiTheme="minorHAnsi" w:cstheme="minorHAnsi"/>
          <w:szCs w:val="24"/>
        </w:rPr>
        <w:lastRenderedPageBreak/>
        <w:t xml:space="preserve">Further, vide letter No. 83/ PCL/ Revenue dated </w:t>
      </w:r>
      <w:r w:rsidRPr="008B0C65">
        <w:rPr>
          <w:rFonts w:asciiTheme="minorHAnsi" w:hAnsiTheme="minorHAnsi" w:cstheme="minorHAnsi"/>
          <w:szCs w:val="24"/>
        </w:rPr>
        <w:t>March 31, 2014</w:t>
      </w:r>
      <w:r w:rsidRPr="00C60AD1">
        <w:rPr>
          <w:rFonts w:asciiTheme="minorHAnsi" w:hAnsiTheme="minorHAnsi" w:cstheme="minorHAnsi"/>
          <w:szCs w:val="24"/>
        </w:rPr>
        <w:t>, UPPCL submitted the minimum consumption units for billing the consumers with defective meters in urban area as specified below:</w:t>
      </w:r>
    </w:p>
    <w:p w:rsidR="00C34658" w:rsidRPr="006C08CE" w:rsidRDefault="00C34658" w:rsidP="00C34658">
      <w:pPr>
        <w:jc w:val="center"/>
        <w:rPr>
          <w:rFonts w:asciiTheme="minorHAnsi" w:hAnsiTheme="minorHAnsi" w:cstheme="minorHAnsi"/>
          <w:b/>
          <w:sz w:val="22"/>
        </w:rPr>
      </w:pPr>
      <w:bookmarkStart w:id="687" w:name="_Toc419992309"/>
      <w:bookmarkStart w:id="688" w:name="_Toc453367651"/>
      <w:bookmarkStart w:id="689" w:name="_Toc457355627"/>
      <w:r w:rsidRPr="006C08CE">
        <w:rPr>
          <w:rFonts w:cs="Calibri"/>
          <w:b/>
          <w:sz w:val="22"/>
          <w:szCs w:val="22"/>
          <w:lang w:val="en-US"/>
        </w:rPr>
        <w:t xml:space="preserve">Table </w:t>
      </w:r>
      <w:r w:rsidR="004A2D9E" w:rsidRPr="006C08CE">
        <w:rPr>
          <w:rFonts w:cs="Calibri"/>
          <w:b/>
          <w:sz w:val="22"/>
          <w:szCs w:val="22"/>
          <w:lang w:val="en-US"/>
        </w:rPr>
        <w:fldChar w:fldCharType="begin"/>
      </w:r>
      <w:r w:rsidRPr="006C08CE">
        <w:rPr>
          <w:rFonts w:cs="Calibri"/>
          <w:b/>
          <w:sz w:val="22"/>
          <w:szCs w:val="22"/>
          <w:lang w:val="en-US"/>
        </w:rPr>
        <w:instrText xml:space="preserve"> STYLEREF 1 \s </w:instrText>
      </w:r>
      <w:r w:rsidR="004A2D9E" w:rsidRPr="006C08CE">
        <w:rPr>
          <w:rFonts w:cs="Calibri"/>
          <w:b/>
          <w:sz w:val="22"/>
          <w:szCs w:val="22"/>
          <w:lang w:val="en-US"/>
        </w:rPr>
        <w:fldChar w:fldCharType="separate"/>
      </w:r>
      <w:r w:rsidR="0011185B" w:rsidRPr="006C08CE">
        <w:rPr>
          <w:rFonts w:cs="Calibri"/>
          <w:b/>
          <w:noProof/>
          <w:sz w:val="22"/>
          <w:szCs w:val="22"/>
          <w:lang w:val="en-US"/>
        </w:rPr>
        <w:t>5</w:t>
      </w:r>
      <w:r w:rsidR="004A2D9E" w:rsidRPr="006C08CE">
        <w:rPr>
          <w:rFonts w:cs="Calibri"/>
          <w:b/>
          <w:sz w:val="22"/>
          <w:szCs w:val="22"/>
          <w:lang w:val="en-US"/>
        </w:rPr>
        <w:fldChar w:fldCharType="end"/>
      </w:r>
      <w:r w:rsidRPr="006C08CE">
        <w:rPr>
          <w:rFonts w:cs="Calibri"/>
          <w:b/>
          <w:sz w:val="22"/>
          <w:szCs w:val="22"/>
          <w:lang w:val="en-US"/>
        </w:rPr>
        <w:noBreakHyphen/>
      </w:r>
      <w:r w:rsidR="004A2D9E" w:rsidRPr="006C08CE">
        <w:rPr>
          <w:rFonts w:cs="Calibri"/>
          <w:b/>
          <w:sz w:val="22"/>
          <w:szCs w:val="22"/>
          <w:lang w:val="en-US"/>
        </w:rPr>
        <w:fldChar w:fldCharType="begin"/>
      </w:r>
      <w:r w:rsidRPr="006C08CE">
        <w:rPr>
          <w:rFonts w:cs="Calibri"/>
          <w:b/>
          <w:sz w:val="22"/>
          <w:szCs w:val="22"/>
          <w:lang w:val="en-US"/>
        </w:rPr>
        <w:instrText xml:space="preserve"> SEQ Table \* ARABIC \s 1 </w:instrText>
      </w:r>
      <w:r w:rsidR="004A2D9E" w:rsidRPr="006C08CE">
        <w:rPr>
          <w:rFonts w:cs="Calibri"/>
          <w:b/>
          <w:sz w:val="22"/>
          <w:szCs w:val="22"/>
          <w:lang w:val="en-US"/>
        </w:rPr>
        <w:fldChar w:fldCharType="separate"/>
      </w:r>
      <w:r w:rsidR="0011185B" w:rsidRPr="006C08CE">
        <w:rPr>
          <w:rFonts w:cs="Calibri"/>
          <w:b/>
          <w:noProof/>
          <w:sz w:val="22"/>
          <w:szCs w:val="22"/>
          <w:lang w:val="en-US"/>
        </w:rPr>
        <w:t>3</w:t>
      </w:r>
      <w:r w:rsidR="004A2D9E" w:rsidRPr="006C08CE">
        <w:rPr>
          <w:rFonts w:cs="Calibri"/>
          <w:b/>
          <w:sz w:val="22"/>
          <w:szCs w:val="22"/>
          <w:lang w:val="en-US"/>
        </w:rPr>
        <w:fldChar w:fldCharType="end"/>
      </w:r>
      <w:r w:rsidR="00757B08" w:rsidRPr="006C08CE">
        <w:rPr>
          <w:rFonts w:cs="Calibri"/>
          <w:b/>
          <w:sz w:val="22"/>
          <w:szCs w:val="22"/>
          <w:lang w:val="en-US"/>
        </w:rPr>
        <w:t>:</w:t>
      </w:r>
      <w:r w:rsidR="00757B08" w:rsidRPr="006C08CE">
        <w:rPr>
          <w:rFonts w:asciiTheme="minorHAnsi" w:hAnsiTheme="minorHAnsi" w:cstheme="minorHAnsi"/>
          <w:b/>
          <w:sz w:val="22"/>
        </w:rPr>
        <w:t xml:space="preserve"> CONSUMPTION</w:t>
      </w:r>
      <w:r w:rsidRPr="006C08CE">
        <w:rPr>
          <w:rFonts w:asciiTheme="minorHAnsi" w:hAnsiTheme="minorHAnsi" w:cstheme="minorHAnsi"/>
          <w:b/>
          <w:sz w:val="22"/>
        </w:rPr>
        <w:t xml:space="preserve"> NORMS IN URBAN AREA SUBMITTED BY UPPCL</w:t>
      </w:r>
      <w:bookmarkEnd w:id="687"/>
      <w:bookmarkEnd w:id="688"/>
      <w:bookmarkEnd w:id="689"/>
    </w:p>
    <w:tbl>
      <w:tblPr>
        <w:tblStyle w:val="TableGrid"/>
        <w:tblW w:w="7883" w:type="dxa"/>
        <w:tblInd w:w="8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134"/>
        <w:gridCol w:w="3467"/>
        <w:gridCol w:w="3282"/>
      </w:tblGrid>
      <w:tr w:rsidR="00C34658" w:rsidRPr="00043425" w:rsidTr="004F012E">
        <w:trPr>
          <w:trHeight w:val="251"/>
        </w:trPr>
        <w:tc>
          <w:tcPr>
            <w:tcW w:w="1134"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Sl. No</w:t>
            </w:r>
          </w:p>
        </w:tc>
        <w:tc>
          <w:tcPr>
            <w:tcW w:w="3467"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Category</w:t>
            </w:r>
          </w:p>
        </w:tc>
        <w:tc>
          <w:tcPr>
            <w:tcW w:w="3282" w:type="dxa"/>
            <w:shd w:val="clear" w:color="auto" w:fill="DBE5F1" w:themeFill="accent1" w:themeFillTint="33"/>
          </w:tcPr>
          <w:p w:rsidR="003267CD" w:rsidRDefault="00027D0D">
            <w:pPr>
              <w:spacing w:before="0"/>
              <w:jc w:val="center"/>
              <w:rPr>
                <w:rFonts w:asciiTheme="minorHAnsi" w:hAnsiTheme="minorHAnsi"/>
                <w:b/>
                <w:sz w:val="22"/>
              </w:rPr>
            </w:pPr>
            <w:r w:rsidRPr="00027D0D">
              <w:rPr>
                <w:rFonts w:asciiTheme="minorHAnsi" w:hAnsiTheme="minorHAnsi"/>
                <w:b/>
                <w:sz w:val="22"/>
              </w:rPr>
              <w:t>Consumption Assessed</w:t>
            </w:r>
          </w:p>
        </w:tc>
      </w:tr>
      <w:tr w:rsidR="00C34658" w:rsidRPr="00043425" w:rsidTr="00BB6B0D">
        <w:trPr>
          <w:trHeight w:val="332"/>
        </w:trPr>
        <w:tc>
          <w:tcPr>
            <w:tcW w:w="1134" w:type="dxa"/>
          </w:tcPr>
          <w:p w:rsidR="003267CD" w:rsidRDefault="00027D0D">
            <w:pPr>
              <w:spacing w:before="0"/>
              <w:jc w:val="center"/>
              <w:rPr>
                <w:rFonts w:asciiTheme="minorHAnsi" w:hAnsiTheme="minorHAnsi"/>
                <w:sz w:val="22"/>
              </w:rPr>
            </w:pPr>
            <w:r w:rsidRPr="00027D0D">
              <w:rPr>
                <w:rFonts w:asciiTheme="minorHAnsi" w:hAnsiTheme="minorHAnsi"/>
                <w:sz w:val="22"/>
              </w:rPr>
              <w:t>1</w:t>
            </w:r>
          </w:p>
        </w:tc>
        <w:tc>
          <w:tcPr>
            <w:tcW w:w="3467" w:type="dxa"/>
          </w:tcPr>
          <w:p w:rsidR="00023318" w:rsidRDefault="00027D0D" w:rsidP="00023318">
            <w:pPr>
              <w:spacing w:before="0"/>
              <w:jc w:val="left"/>
              <w:rPr>
                <w:rFonts w:asciiTheme="minorHAnsi" w:hAnsiTheme="minorHAnsi"/>
                <w:sz w:val="22"/>
                <w:szCs w:val="18"/>
              </w:rPr>
            </w:pPr>
            <w:r w:rsidRPr="00027D0D">
              <w:rPr>
                <w:rFonts w:asciiTheme="minorHAnsi" w:hAnsiTheme="minorHAnsi"/>
                <w:sz w:val="22"/>
              </w:rPr>
              <w:t>LMV-1: Domestic</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155 / kW / Month</w:t>
            </w:r>
          </w:p>
        </w:tc>
      </w:tr>
      <w:tr w:rsidR="00C34658" w:rsidRPr="00043425" w:rsidTr="00BB6B0D">
        <w:trPr>
          <w:trHeight w:val="341"/>
        </w:trPr>
        <w:tc>
          <w:tcPr>
            <w:tcW w:w="1134" w:type="dxa"/>
          </w:tcPr>
          <w:p w:rsidR="003267CD" w:rsidRDefault="00027D0D">
            <w:pPr>
              <w:spacing w:before="0"/>
              <w:jc w:val="center"/>
              <w:rPr>
                <w:rFonts w:asciiTheme="minorHAnsi" w:hAnsiTheme="minorHAnsi"/>
                <w:sz w:val="22"/>
              </w:rPr>
            </w:pPr>
            <w:r w:rsidRPr="00027D0D">
              <w:rPr>
                <w:rFonts w:asciiTheme="minorHAnsi" w:hAnsiTheme="minorHAnsi"/>
                <w:sz w:val="22"/>
              </w:rPr>
              <w:t>2</w:t>
            </w:r>
          </w:p>
        </w:tc>
        <w:tc>
          <w:tcPr>
            <w:tcW w:w="3467" w:type="dxa"/>
          </w:tcPr>
          <w:p w:rsidR="00023318" w:rsidRDefault="00027D0D" w:rsidP="00023318">
            <w:pPr>
              <w:spacing w:before="0"/>
              <w:jc w:val="left"/>
              <w:rPr>
                <w:rFonts w:asciiTheme="minorHAnsi" w:hAnsiTheme="minorHAnsi"/>
                <w:sz w:val="22"/>
                <w:szCs w:val="18"/>
              </w:rPr>
            </w:pPr>
            <w:r w:rsidRPr="00027D0D">
              <w:rPr>
                <w:rFonts w:asciiTheme="minorHAnsi" w:hAnsiTheme="minorHAnsi"/>
                <w:sz w:val="22"/>
              </w:rPr>
              <w:t>LMV-2: Non-Domestic</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260 / kW / Month</w:t>
            </w:r>
          </w:p>
        </w:tc>
      </w:tr>
      <w:tr w:rsidR="00C34658" w:rsidRPr="00043425" w:rsidTr="00BB6B0D">
        <w:trPr>
          <w:trHeight w:val="350"/>
        </w:trPr>
        <w:tc>
          <w:tcPr>
            <w:tcW w:w="1134" w:type="dxa"/>
          </w:tcPr>
          <w:p w:rsidR="003267CD" w:rsidRDefault="00027D0D">
            <w:pPr>
              <w:spacing w:before="0"/>
              <w:jc w:val="center"/>
              <w:rPr>
                <w:rFonts w:asciiTheme="minorHAnsi" w:hAnsiTheme="minorHAnsi"/>
                <w:sz w:val="22"/>
              </w:rPr>
            </w:pPr>
            <w:r w:rsidRPr="00027D0D">
              <w:rPr>
                <w:rFonts w:asciiTheme="minorHAnsi" w:hAnsiTheme="minorHAnsi"/>
                <w:sz w:val="22"/>
              </w:rPr>
              <w:t>3</w:t>
            </w:r>
          </w:p>
        </w:tc>
        <w:tc>
          <w:tcPr>
            <w:tcW w:w="3467" w:type="dxa"/>
          </w:tcPr>
          <w:p w:rsidR="00023318" w:rsidRDefault="00027D0D" w:rsidP="00023318">
            <w:pPr>
              <w:spacing w:before="0"/>
              <w:jc w:val="left"/>
              <w:rPr>
                <w:rFonts w:asciiTheme="minorHAnsi" w:hAnsiTheme="minorHAnsi"/>
                <w:sz w:val="22"/>
                <w:szCs w:val="18"/>
              </w:rPr>
            </w:pPr>
            <w:r w:rsidRPr="00027D0D">
              <w:rPr>
                <w:rFonts w:asciiTheme="minorHAnsi" w:hAnsiTheme="minorHAnsi"/>
                <w:sz w:val="22"/>
              </w:rPr>
              <w:t>LMV-6: Small &amp;Medium power</w:t>
            </w:r>
          </w:p>
        </w:tc>
        <w:tc>
          <w:tcPr>
            <w:tcW w:w="3282" w:type="dxa"/>
          </w:tcPr>
          <w:p w:rsidR="003267CD" w:rsidRDefault="00027D0D">
            <w:pPr>
              <w:spacing w:before="0"/>
              <w:jc w:val="center"/>
              <w:rPr>
                <w:rFonts w:asciiTheme="minorHAnsi" w:hAnsiTheme="minorHAnsi"/>
                <w:sz w:val="22"/>
              </w:rPr>
            </w:pPr>
            <w:r w:rsidRPr="00027D0D">
              <w:rPr>
                <w:rFonts w:asciiTheme="minorHAnsi" w:hAnsiTheme="minorHAnsi"/>
                <w:sz w:val="22"/>
              </w:rPr>
              <w:t>260 / kW / Month</w:t>
            </w:r>
          </w:p>
        </w:tc>
      </w:tr>
    </w:tbl>
    <w:p w:rsidR="00C34658" w:rsidRPr="00C60AD1" w:rsidRDefault="00C34658" w:rsidP="00C34658">
      <w:pPr>
        <w:pStyle w:val="Heading3"/>
        <w:numPr>
          <w:ilvl w:val="0"/>
          <w:numId w:val="0"/>
        </w:numPr>
        <w:tabs>
          <w:tab w:val="clear" w:pos="720"/>
        </w:tabs>
        <w:spacing w:before="0"/>
        <w:ind w:left="993"/>
      </w:pPr>
    </w:p>
    <w:p w:rsidR="00023318" w:rsidRDefault="00C34658" w:rsidP="00023318">
      <w:pPr>
        <w:pStyle w:val="Heading3"/>
        <w:tabs>
          <w:tab w:val="clear" w:pos="720"/>
        </w:tabs>
        <w:spacing w:after="240"/>
        <w:ind w:left="993" w:hanging="993"/>
      </w:pPr>
      <w:r>
        <w:t>T</w:t>
      </w:r>
      <w:r w:rsidRPr="008B0C65">
        <w:t xml:space="preserve">he Commission passed </w:t>
      </w:r>
      <w:r w:rsidR="00BB6B0D">
        <w:t xml:space="preserve">an </w:t>
      </w:r>
      <w:r w:rsidRPr="008B0C65">
        <w:t>Suo</w:t>
      </w:r>
      <w:r w:rsidR="00757B08">
        <w:t xml:space="preserve"> </w:t>
      </w:r>
      <w:r w:rsidRPr="008B0C65">
        <w:t>Mot</w:t>
      </w:r>
      <w:r w:rsidR="00757B08">
        <w:t>o</w:t>
      </w:r>
      <w:r w:rsidRPr="008B0C65">
        <w:t xml:space="preserve"> Order on May 11, 2015 in the matter of provisional billing in case of Defective meters and Normative Consumption for unmetered Consumer wherein the Commission has directed the Licensees to explain as to why revised consumption norms have been issued inspite of the specific instruction in the Tariff Order for FY 2014-15 to conduct a detailed study to provide accurate and effective consumption norms. Further, in the aforesaid Order the Commission has also directed the Distribution Licensees to submit their proposal regarding the Normative Consumption for unmetered consumers.   </w:t>
      </w:r>
    </w:p>
    <w:p w:rsidR="00023318" w:rsidRDefault="00C34658" w:rsidP="00023318">
      <w:pPr>
        <w:pStyle w:val="Heading3"/>
        <w:tabs>
          <w:tab w:val="clear" w:pos="720"/>
        </w:tabs>
        <w:spacing w:after="240"/>
        <w:ind w:left="993" w:hanging="993"/>
      </w:pPr>
      <w:r w:rsidRPr="008B0C65">
        <w:t xml:space="preserve">In the above matter the Commission has passed another Order on May 29, 2015 directing the Licensee to use the normative consumption billing method for defective meters as per the provisions specified in the Electricity Supply Code 2005 and with regard to the study for assessment of metered and unmetered consumers, </w:t>
      </w:r>
      <w:r w:rsidRPr="008B0C65">
        <w:rPr>
          <w:rFonts w:cs="Calibri"/>
        </w:rPr>
        <w:t>the Commission</w:t>
      </w:r>
      <w:r w:rsidRPr="008B0C65">
        <w:t xml:space="preserve"> directed the Licensees to complete the study </w:t>
      </w:r>
      <w:r w:rsidRPr="008B0C65">
        <w:rPr>
          <w:rFonts w:cs="Calibri"/>
        </w:rPr>
        <w:t>adhering to the stipulated timeframe as specified in UPERC (Multi Year Distribution Tariff) Regulations, 2014.</w:t>
      </w:r>
    </w:p>
    <w:p w:rsidR="00023318" w:rsidRDefault="00C34658" w:rsidP="00023318">
      <w:pPr>
        <w:pStyle w:val="Heading3"/>
        <w:tabs>
          <w:tab w:val="clear" w:pos="720"/>
        </w:tabs>
        <w:spacing w:after="240"/>
        <w:ind w:left="993" w:hanging="993"/>
      </w:pPr>
      <w:r w:rsidRPr="008B0C65">
        <w:t>Further, in the aforesaid Order, the Commission has also directed the Licensees that before changing / revising any consumption norms, prior approval of the Commission must be taken by the Licensees in future.</w:t>
      </w:r>
    </w:p>
    <w:p w:rsidR="00023318" w:rsidRDefault="00C34658" w:rsidP="00023318">
      <w:pPr>
        <w:pStyle w:val="Heading3"/>
        <w:tabs>
          <w:tab w:val="clear" w:pos="720"/>
        </w:tabs>
        <w:spacing w:after="240"/>
        <w:ind w:left="993" w:hanging="993"/>
      </w:pPr>
      <w:r w:rsidRPr="008B0C65">
        <w:t xml:space="preserve">In this regard, for the present Order, the Commission has estimated the sales for unmetered categories for FY 2016-17 by multiplying the consumption norms as per </w:t>
      </w:r>
      <w:r w:rsidRPr="00FA7B1E">
        <w:t>UPPCL Orders No. 2649-CUR/L dated 20</w:t>
      </w:r>
      <w:r w:rsidRPr="00FA7B1E">
        <w:rPr>
          <w:vertAlign w:val="superscript"/>
        </w:rPr>
        <w:t>th</w:t>
      </w:r>
      <w:r w:rsidRPr="00FA7B1E">
        <w:t xml:space="preserve"> July, 2001 and 165 CUR-2/ R-3 dated February 14, 2014</w:t>
      </w:r>
      <w:r w:rsidRPr="008B0C65">
        <w:t xml:space="preserve"> with the appropriate consumption parameter (connected load or number of consumers).</w:t>
      </w:r>
    </w:p>
    <w:p w:rsidR="00023318" w:rsidRDefault="00C34658" w:rsidP="00023318">
      <w:pPr>
        <w:pStyle w:val="Heading3"/>
        <w:tabs>
          <w:tab w:val="clear" w:pos="720"/>
        </w:tabs>
        <w:spacing w:after="240"/>
        <w:ind w:left="993" w:hanging="993"/>
      </w:pPr>
      <w:r w:rsidRPr="008B0C65">
        <w:lastRenderedPageBreak/>
        <w:t>Further, the Licensees in its ARR / Tariff Petition for FY 2016-17 have submitted that they have accounted the number of hours of supply / load shedding in different areas to estimate the sales for FY 2016-17. The Petitioner in its Petition has projected the hours of supply for various areas as specified below:</w:t>
      </w:r>
    </w:p>
    <w:p w:rsidR="00C34658" w:rsidRPr="006C08CE" w:rsidRDefault="00C34658" w:rsidP="00C34658">
      <w:pPr>
        <w:pStyle w:val="Heading3"/>
        <w:numPr>
          <w:ilvl w:val="0"/>
          <w:numId w:val="0"/>
        </w:numPr>
        <w:tabs>
          <w:tab w:val="clear" w:pos="720"/>
        </w:tabs>
        <w:spacing w:before="0"/>
        <w:ind w:left="993"/>
        <w:jc w:val="center"/>
        <w:rPr>
          <w:b/>
          <w:sz w:val="22"/>
        </w:rPr>
      </w:pPr>
      <w:bookmarkStart w:id="690" w:name="_Toc453367652"/>
      <w:bookmarkStart w:id="691" w:name="_Toc457355628"/>
      <w:r w:rsidRPr="006C08CE">
        <w:rPr>
          <w:rFonts w:cs="Calibri"/>
          <w:b/>
          <w:sz w:val="22"/>
          <w:szCs w:val="22"/>
          <w:lang w:val="en-US"/>
        </w:rPr>
        <w:t xml:space="preserve">Table </w:t>
      </w:r>
      <w:r w:rsidR="004A2D9E" w:rsidRPr="006C08CE">
        <w:rPr>
          <w:rFonts w:cs="Calibri"/>
          <w:b/>
          <w:sz w:val="22"/>
          <w:szCs w:val="22"/>
          <w:lang w:val="en-US"/>
        </w:rPr>
        <w:fldChar w:fldCharType="begin"/>
      </w:r>
      <w:r w:rsidRPr="006C08CE">
        <w:rPr>
          <w:rFonts w:cs="Calibri"/>
          <w:b/>
          <w:sz w:val="22"/>
          <w:szCs w:val="22"/>
          <w:lang w:val="en-US"/>
        </w:rPr>
        <w:instrText xml:space="preserve"> STYLEREF 1 \s </w:instrText>
      </w:r>
      <w:r w:rsidR="004A2D9E" w:rsidRPr="006C08CE">
        <w:rPr>
          <w:rFonts w:cs="Calibri"/>
          <w:b/>
          <w:sz w:val="22"/>
          <w:szCs w:val="22"/>
          <w:lang w:val="en-US"/>
        </w:rPr>
        <w:fldChar w:fldCharType="separate"/>
      </w:r>
      <w:r w:rsidR="0011185B" w:rsidRPr="006C08CE">
        <w:rPr>
          <w:rFonts w:cs="Calibri"/>
          <w:b/>
          <w:noProof/>
          <w:sz w:val="22"/>
          <w:szCs w:val="22"/>
          <w:lang w:val="en-US"/>
        </w:rPr>
        <w:t>5</w:t>
      </w:r>
      <w:r w:rsidR="004A2D9E" w:rsidRPr="006C08CE">
        <w:rPr>
          <w:rFonts w:cs="Calibri"/>
          <w:b/>
          <w:sz w:val="22"/>
          <w:szCs w:val="22"/>
          <w:lang w:val="en-US"/>
        </w:rPr>
        <w:fldChar w:fldCharType="end"/>
      </w:r>
      <w:r w:rsidRPr="006C08CE">
        <w:rPr>
          <w:rFonts w:cs="Calibri"/>
          <w:b/>
          <w:sz w:val="22"/>
          <w:szCs w:val="22"/>
          <w:lang w:val="en-US"/>
        </w:rPr>
        <w:noBreakHyphen/>
      </w:r>
      <w:r w:rsidR="004A2D9E" w:rsidRPr="006C08CE">
        <w:rPr>
          <w:rFonts w:cs="Calibri"/>
          <w:b/>
          <w:sz w:val="22"/>
          <w:szCs w:val="22"/>
          <w:lang w:val="en-US"/>
        </w:rPr>
        <w:fldChar w:fldCharType="begin"/>
      </w:r>
      <w:r w:rsidRPr="006C08CE">
        <w:rPr>
          <w:rFonts w:cs="Calibri"/>
          <w:b/>
          <w:sz w:val="22"/>
          <w:szCs w:val="22"/>
          <w:lang w:val="en-US"/>
        </w:rPr>
        <w:instrText xml:space="preserve"> SEQ Table \* ARABIC \s 1 </w:instrText>
      </w:r>
      <w:r w:rsidR="004A2D9E" w:rsidRPr="006C08CE">
        <w:rPr>
          <w:rFonts w:cs="Calibri"/>
          <w:b/>
          <w:sz w:val="22"/>
          <w:szCs w:val="22"/>
          <w:lang w:val="en-US"/>
        </w:rPr>
        <w:fldChar w:fldCharType="separate"/>
      </w:r>
      <w:r w:rsidR="0011185B" w:rsidRPr="006C08CE">
        <w:rPr>
          <w:rFonts w:cs="Calibri"/>
          <w:b/>
          <w:noProof/>
          <w:sz w:val="22"/>
          <w:szCs w:val="22"/>
          <w:lang w:val="en-US"/>
        </w:rPr>
        <w:t>4</w:t>
      </w:r>
      <w:r w:rsidR="004A2D9E" w:rsidRPr="006C08CE">
        <w:rPr>
          <w:rFonts w:cs="Calibri"/>
          <w:b/>
          <w:sz w:val="22"/>
          <w:szCs w:val="22"/>
          <w:lang w:val="en-US"/>
        </w:rPr>
        <w:fldChar w:fldCharType="end"/>
      </w:r>
      <w:r w:rsidR="0011185B" w:rsidRPr="006C08CE">
        <w:rPr>
          <w:rFonts w:cs="Calibri"/>
          <w:b/>
          <w:sz w:val="22"/>
          <w:szCs w:val="22"/>
          <w:lang w:val="en-US"/>
        </w:rPr>
        <w:t xml:space="preserve">: </w:t>
      </w:r>
      <w:r w:rsidR="0011185B" w:rsidRPr="006C08CE">
        <w:rPr>
          <w:b/>
          <w:sz w:val="22"/>
        </w:rPr>
        <w:t>PROJECTED HOURS OF SUPPLY AS SUBMITTED BY THE PETITIONER FOR FY 2016-17</w:t>
      </w:r>
      <w:bookmarkEnd w:id="690"/>
      <w:bookmarkEnd w:id="691"/>
    </w:p>
    <w:tbl>
      <w:tblPr>
        <w:tblW w:w="5880" w:type="dxa"/>
        <w:jc w:val="center"/>
        <w:tblInd w:w="-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412"/>
        <w:gridCol w:w="2672"/>
        <w:gridCol w:w="1796"/>
      </w:tblGrid>
      <w:tr w:rsidR="00C34658" w:rsidRPr="00A62970" w:rsidTr="00A62970">
        <w:trPr>
          <w:trHeight w:val="469"/>
          <w:jc w:val="center"/>
        </w:trPr>
        <w:tc>
          <w:tcPr>
            <w:tcW w:w="1412" w:type="dxa"/>
            <w:vMerge w:val="restart"/>
            <w:shd w:val="clear" w:color="000000" w:fill="DBE5F1"/>
            <w:noWrap/>
            <w:hideMark/>
          </w:tcPr>
          <w:p w:rsidR="006402D6" w:rsidRPr="006402D6" w:rsidRDefault="00023318">
            <w:pPr>
              <w:spacing w:before="0" w:line="240" w:lineRule="auto"/>
              <w:jc w:val="center"/>
              <w:rPr>
                <w:rFonts w:asciiTheme="minorHAnsi" w:hAnsiTheme="minorHAnsi"/>
                <w:b/>
                <w:sz w:val="22"/>
              </w:rPr>
            </w:pPr>
            <w:r w:rsidRPr="00023318">
              <w:rPr>
                <w:rFonts w:asciiTheme="minorHAnsi" w:hAnsiTheme="minorHAnsi"/>
                <w:b/>
                <w:sz w:val="22"/>
              </w:rPr>
              <w:t>Sl. No.</w:t>
            </w:r>
          </w:p>
        </w:tc>
        <w:tc>
          <w:tcPr>
            <w:tcW w:w="2672" w:type="dxa"/>
            <w:vMerge w:val="restart"/>
            <w:shd w:val="clear" w:color="000000" w:fill="DBE5F1"/>
            <w:noWrap/>
            <w:hideMark/>
          </w:tcPr>
          <w:p w:rsidR="006402D6" w:rsidRPr="006402D6" w:rsidRDefault="00023318">
            <w:pPr>
              <w:spacing w:before="0" w:line="240" w:lineRule="auto"/>
              <w:jc w:val="center"/>
              <w:rPr>
                <w:rFonts w:asciiTheme="minorHAnsi" w:hAnsiTheme="minorHAnsi"/>
                <w:b/>
                <w:sz w:val="22"/>
              </w:rPr>
            </w:pPr>
            <w:r w:rsidRPr="00023318">
              <w:rPr>
                <w:rFonts w:asciiTheme="minorHAnsi" w:hAnsiTheme="minorHAnsi"/>
                <w:b/>
                <w:sz w:val="22"/>
              </w:rPr>
              <w:t>Description</w:t>
            </w:r>
          </w:p>
        </w:tc>
        <w:tc>
          <w:tcPr>
            <w:tcW w:w="1796" w:type="dxa"/>
            <w:vMerge w:val="restart"/>
            <w:shd w:val="clear" w:color="000000" w:fill="DBE5F1"/>
            <w:noWrap/>
            <w:hideMark/>
          </w:tcPr>
          <w:p w:rsidR="006402D6" w:rsidRPr="006402D6" w:rsidRDefault="00023318">
            <w:pPr>
              <w:spacing w:before="0" w:line="240" w:lineRule="auto"/>
              <w:jc w:val="center"/>
              <w:rPr>
                <w:rFonts w:asciiTheme="minorHAnsi" w:hAnsiTheme="minorHAnsi"/>
                <w:b/>
                <w:sz w:val="22"/>
              </w:rPr>
            </w:pPr>
            <w:r w:rsidRPr="00023318">
              <w:rPr>
                <w:rFonts w:asciiTheme="minorHAnsi" w:hAnsiTheme="minorHAnsi"/>
                <w:b/>
                <w:sz w:val="22"/>
              </w:rPr>
              <w:t>FY 2016-17*</w:t>
            </w:r>
          </w:p>
          <w:p w:rsidR="006402D6" w:rsidRPr="006402D6" w:rsidRDefault="00023318">
            <w:pPr>
              <w:spacing w:before="0" w:line="240" w:lineRule="auto"/>
              <w:jc w:val="center"/>
              <w:rPr>
                <w:rFonts w:asciiTheme="minorHAnsi" w:hAnsiTheme="minorHAnsi"/>
                <w:b/>
                <w:sz w:val="22"/>
              </w:rPr>
            </w:pPr>
            <w:r w:rsidRPr="00023318">
              <w:rPr>
                <w:rFonts w:asciiTheme="minorHAnsi" w:hAnsiTheme="minorHAnsi"/>
                <w:b/>
                <w:sz w:val="22"/>
              </w:rPr>
              <w:t>(No. of Hours)</w:t>
            </w:r>
          </w:p>
        </w:tc>
      </w:tr>
      <w:tr w:rsidR="00C34658" w:rsidRPr="00A62970" w:rsidTr="004F012E">
        <w:trPr>
          <w:trHeight w:val="269"/>
          <w:jc w:val="center"/>
        </w:trPr>
        <w:tc>
          <w:tcPr>
            <w:tcW w:w="1412" w:type="dxa"/>
            <w:vMerge/>
            <w:hideMark/>
          </w:tcPr>
          <w:p w:rsidR="00023318" w:rsidRPr="00023318" w:rsidRDefault="00023318" w:rsidP="00023318">
            <w:pPr>
              <w:spacing w:before="0" w:line="240" w:lineRule="auto"/>
              <w:rPr>
                <w:rFonts w:asciiTheme="minorHAnsi" w:hAnsiTheme="minorHAnsi"/>
                <w:sz w:val="22"/>
              </w:rPr>
            </w:pPr>
            <w:bookmarkStart w:id="692" w:name="_Toc455417338"/>
            <w:bookmarkStart w:id="693" w:name="_Toc455487155"/>
            <w:bookmarkStart w:id="694" w:name="_Toc455487522"/>
            <w:bookmarkStart w:id="695" w:name="_Toc455493949"/>
            <w:bookmarkEnd w:id="692"/>
            <w:bookmarkEnd w:id="693"/>
            <w:bookmarkEnd w:id="694"/>
            <w:bookmarkEnd w:id="695"/>
          </w:p>
        </w:tc>
        <w:tc>
          <w:tcPr>
            <w:tcW w:w="2672" w:type="dxa"/>
            <w:vMerge/>
            <w:hideMark/>
          </w:tcPr>
          <w:p w:rsidR="00023318" w:rsidRPr="00023318" w:rsidRDefault="00023318" w:rsidP="00023318">
            <w:pPr>
              <w:spacing w:before="0" w:line="240" w:lineRule="auto"/>
              <w:rPr>
                <w:rFonts w:asciiTheme="minorHAnsi" w:hAnsiTheme="minorHAnsi"/>
                <w:sz w:val="22"/>
              </w:rPr>
            </w:pPr>
            <w:bookmarkStart w:id="696" w:name="_Toc455417339"/>
            <w:bookmarkStart w:id="697" w:name="_Toc455487156"/>
            <w:bookmarkStart w:id="698" w:name="_Toc455487523"/>
            <w:bookmarkStart w:id="699" w:name="_Toc455493950"/>
            <w:bookmarkEnd w:id="696"/>
            <w:bookmarkEnd w:id="697"/>
            <w:bookmarkEnd w:id="698"/>
            <w:bookmarkEnd w:id="699"/>
          </w:p>
        </w:tc>
        <w:tc>
          <w:tcPr>
            <w:tcW w:w="1796" w:type="dxa"/>
            <w:vMerge/>
            <w:hideMark/>
          </w:tcPr>
          <w:p w:rsidR="00023318" w:rsidRPr="00023318" w:rsidRDefault="00023318" w:rsidP="00023318">
            <w:pPr>
              <w:spacing w:before="0" w:line="240" w:lineRule="auto"/>
              <w:rPr>
                <w:rFonts w:asciiTheme="minorHAnsi" w:hAnsiTheme="minorHAnsi"/>
                <w:sz w:val="22"/>
              </w:rPr>
            </w:pPr>
            <w:bookmarkStart w:id="700" w:name="_Toc455417340"/>
            <w:bookmarkStart w:id="701" w:name="_Toc455487157"/>
            <w:bookmarkStart w:id="702" w:name="_Toc455487524"/>
            <w:bookmarkStart w:id="703" w:name="_Toc455493951"/>
            <w:bookmarkEnd w:id="700"/>
            <w:bookmarkEnd w:id="701"/>
            <w:bookmarkEnd w:id="702"/>
            <w:bookmarkEnd w:id="703"/>
          </w:p>
        </w:tc>
      </w:tr>
      <w:tr w:rsidR="00C34658" w:rsidRPr="00A62970" w:rsidTr="00A62970">
        <w:trPr>
          <w:trHeight w:val="289"/>
          <w:jc w:val="center"/>
        </w:trPr>
        <w:tc>
          <w:tcPr>
            <w:tcW w:w="1412" w:type="dxa"/>
            <w:shd w:val="clear" w:color="auto" w:fill="auto"/>
            <w:noWrap/>
            <w:vAlign w:val="center"/>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1</w:t>
            </w:r>
          </w:p>
        </w:tc>
        <w:tc>
          <w:tcPr>
            <w:tcW w:w="2672" w:type="dxa"/>
            <w:shd w:val="clear" w:color="auto" w:fill="auto"/>
            <w:noWrap/>
            <w:hideMark/>
          </w:tcPr>
          <w:p w:rsidR="006402D6" w:rsidRPr="006402D6" w:rsidRDefault="00023318">
            <w:pPr>
              <w:spacing w:before="0" w:line="240" w:lineRule="auto"/>
              <w:rPr>
                <w:rFonts w:asciiTheme="minorHAnsi" w:hAnsiTheme="minorHAnsi"/>
                <w:sz w:val="22"/>
              </w:rPr>
            </w:pPr>
            <w:r w:rsidRPr="00023318">
              <w:rPr>
                <w:rFonts w:asciiTheme="minorHAnsi" w:hAnsiTheme="minorHAnsi"/>
                <w:sz w:val="22"/>
              </w:rPr>
              <w:t>Mahanagar – M</w:t>
            </w:r>
          </w:p>
        </w:tc>
        <w:tc>
          <w:tcPr>
            <w:tcW w:w="1796" w:type="dxa"/>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rPr>
            </w:pPr>
            <w:r w:rsidRPr="00023318">
              <w:rPr>
                <w:rFonts w:asciiTheme="minorHAnsi" w:hAnsiTheme="minorHAnsi"/>
                <w:sz w:val="22"/>
              </w:rPr>
              <w:t>24:00</w:t>
            </w:r>
          </w:p>
        </w:tc>
      </w:tr>
      <w:tr w:rsidR="00C34658" w:rsidRPr="00A62970" w:rsidTr="00A62970">
        <w:trPr>
          <w:trHeight w:val="289"/>
          <w:jc w:val="center"/>
        </w:trPr>
        <w:tc>
          <w:tcPr>
            <w:tcW w:w="1412" w:type="dxa"/>
            <w:shd w:val="clear" w:color="auto" w:fill="auto"/>
            <w:noWrap/>
            <w:vAlign w:val="center"/>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2</w:t>
            </w:r>
          </w:p>
        </w:tc>
        <w:tc>
          <w:tcPr>
            <w:tcW w:w="2672" w:type="dxa"/>
            <w:shd w:val="clear" w:color="auto" w:fill="auto"/>
            <w:noWrap/>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District – D</w:t>
            </w:r>
          </w:p>
        </w:tc>
        <w:tc>
          <w:tcPr>
            <w:tcW w:w="1796" w:type="dxa"/>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rPr>
            </w:pPr>
            <w:r w:rsidRPr="00023318">
              <w:rPr>
                <w:rFonts w:asciiTheme="minorHAnsi" w:hAnsiTheme="minorHAnsi"/>
                <w:sz w:val="22"/>
              </w:rPr>
              <w:t>22:00</w:t>
            </w:r>
          </w:p>
        </w:tc>
      </w:tr>
      <w:tr w:rsidR="00C34658" w:rsidRPr="00A62970" w:rsidTr="00A62970">
        <w:trPr>
          <w:trHeight w:val="289"/>
          <w:jc w:val="center"/>
        </w:trPr>
        <w:tc>
          <w:tcPr>
            <w:tcW w:w="1412" w:type="dxa"/>
            <w:shd w:val="clear" w:color="auto" w:fill="auto"/>
            <w:noWrap/>
            <w:vAlign w:val="center"/>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3</w:t>
            </w:r>
          </w:p>
        </w:tc>
        <w:tc>
          <w:tcPr>
            <w:tcW w:w="2672" w:type="dxa"/>
            <w:shd w:val="clear" w:color="auto" w:fill="auto"/>
            <w:noWrap/>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Commissionary – C</w:t>
            </w:r>
          </w:p>
        </w:tc>
        <w:tc>
          <w:tcPr>
            <w:tcW w:w="1796" w:type="dxa"/>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rPr>
            </w:pPr>
            <w:r w:rsidRPr="00023318">
              <w:rPr>
                <w:rFonts w:asciiTheme="minorHAnsi" w:hAnsiTheme="minorHAnsi"/>
                <w:sz w:val="22"/>
              </w:rPr>
              <w:t>24:00</w:t>
            </w:r>
          </w:p>
        </w:tc>
      </w:tr>
      <w:tr w:rsidR="00C34658" w:rsidRPr="00A62970" w:rsidTr="00A62970">
        <w:trPr>
          <w:trHeight w:val="289"/>
          <w:jc w:val="center"/>
        </w:trPr>
        <w:tc>
          <w:tcPr>
            <w:tcW w:w="1412" w:type="dxa"/>
            <w:shd w:val="clear" w:color="auto" w:fill="auto"/>
            <w:noWrap/>
            <w:vAlign w:val="center"/>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4</w:t>
            </w:r>
          </w:p>
        </w:tc>
        <w:tc>
          <w:tcPr>
            <w:tcW w:w="2672" w:type="dxa"/>
            <w:shd w:val="clear" w:color="auto" w:fill="auto"/>
            <w:noWrap/>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Rural – R</w:t>
            </w:r>
          </w:p>
        </w:tc>
        <w:tc>
          <w:tcPr>
            <w:tcW w:w="1796" w:type="dxa"/>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rPr>
            </w:pPr>
            <w:r w:rsidRPr="00023318">
              <w:rPr>
                <w:rFonts w:asciiTheme="minorHAnsi" w:hAnsiTheme="minorHAnsi"/>
                <w:sz w:val="22"/>
              </w:rPr>
              <w:t>16:00</w:t>
            </w:r>
          </w:p>
        </w:tc>
      </w:tr>
      <w:tr w:rsidR="00C34658" w:rsidRPr="00A62970" w:rsidTr="00A62970">
        <w:trPr>
          <w:trHeight w:val="242"/>
          <w:jc w:val="center"/>
        </w:trPr>
        <w:tc>
          <w:tcPr>
            <w:tcW w:w="1412" w:type="dxa"/>
            <w:shd w:val="clear" w:color="auto" w:fill="auto"/>
            <w:noWrap/>
            <w:vAlign w:val="center"/>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5</w:t>
            </w:r>
          </w:p>
        </w:tc>
        <w:tc>
          <w:tcPr>
            <w:tcW w:w="2672" w:type="dxa"/>
            <w:shd w:val="clear" w:color="auto" w:fill="auto"/>
            <w:noWrap/>
            <w:hideMark/>
          </w:tcPr>
          <w:p w:rsidR="00023318" w:rsidRPr="00023318" w:rsidRDefault="00023318" w:rsidP="00023318">
            <w:pPr>
              <w:spacing w:before="0" w:line="240" w:lineRule="auto"/>
              <w:rPr>
                <w:rFonts w:asciiTheme="minorHAnsi" w:hAnsiTheme="minorHAnsi"/>
                <w:sz w:val="22"/>
              </w:rPr>
            </w:pPr>
            <w:r w:rsidRPr="00023318">
              <w:rPr>
                <w:rFonts w:asciiTheme="minorHAnsi" w:hAnsiTheme="minorHAnsi"/>
                <w:sz w:val="22"/>
              </w:rPr>
              <w:t>Bundelkhand – B</w:t>
            </w:r>
          </w:p>
        </w:tc>
        <w:tc>
          <w:tcPr>
            <w:tcW w:w="1796" w:type="dxa"/>
            <w:shd w:val="clear" w:color="auto" w:fill="auto"/>
            <w:noWrap/>
            <w:vAlign w:val="center"/>
            <w:hideMark/>
          </w:tcPr>
          <w:p w:rsidR="00023318" w:rsidRPr="00023318" w:rsidRDefault="00023318" w:rsidP="00023318">
            <w:pPr>
              <w:spacing w:before="0" w:line="240" w:lineRule="auto"/>
              <w:jc w:val="right"/>
              <w:rPr>
                <w:rFonts w:asciiTheme="minorHAnsi" w:hAnsiTheme="minorHAnsi"/>
                <w:sz w:val="22"/>
              </w:rPr>
            </w:pPr>
            <w:r w:rsidRPr="00023318">
              <w:rPr>
                <w:rFonts w:asciiTheme="minorHAnsi" w:hAnsiTheme="minorHAnsi"/>
                <w:sz w:val="22"/>
              </w:rPr>
              <w:t>22.00</w:t>
            </w:r>
          </w:p>
        </w:tc>
      </w:tr>
    </w:tbl>
    <w:p w:rsidR="006402D6" w:rsidRDefault="00C34658">
      <w:pPr>
        <w:spacing w:before="0"/>
        <w:ind w:left="547"/>
        <w:jc w:val="left"/>
        <w:rPr>
          <w:rFonts w:cs="Calibri"/>
          <w:i/>
          <w:sz w:val="20"/>
        </w:rPr>
      </w:pPr>
      <w:r w:rsidRPr="00DE7DF0">
        <w:rPr>
          <w:rFonts w:cs="Calibri"/>
          <w:i/>
          <w:sz w:val="20"/>
        </w:rPr>
        <w:t>* Hours of supply would be increased from October 2016 in view of the increase in generation capacities</w:t>
      </w:r>
    </w:p>
    <w:p w:rsidR="00023318" w:rsidRPr="00F242F8" w:rsidRDefault="00E65D3C" w:rsidP="00023318">
      <w:pPr>
        <w:pStyle w:val="Heading3"/>
        <w:tabs>
          <w:tab w:val="clear" w:pos="720"/>
        </w:tabs>
        <w:spacing w:after="240"/>
        <w:ind w:left="993" w:hanging="993"/>
        <w:rPr>
          <w:b/>
        </w:rPr>
      </w:pPr>
      <w:r w:rsidRPr="00E65D3C">
        <w:rPr>
          <w:b/>
        </w:rPr>
        <w:t>The Commission feels that the tariff design should be linked to number of hours of supply. The Commission, therefore, directs the Petitioner to submit a proposal for “Rate Schedule” linked to number of hours of supply while filing of Petition for FY 2017-18.</w:t>
      </w:r>
    </w:p>
    <w:p w:rsidR="00C34658" w:rsidRPr="00C60AD1" w:rsidRDefault="00C34658" w:rsidP="00C34658">
      <w:pPr>
        <w:spacing w:before="0"/>
        <w:jc w:val="center"/>
        <w:rPr>
          <w:rFonts w:cs="Calibri"/>
          <w:b/>
          <w:sz w:val="22"/>
          <w:szCs w:val="22"/>
          <w:lang w:val="en-US"/>
        </w:rPr>
      </w:pPr>
      <w:bookmarkStart w:id="704" w:name="_Toc357738727"/>
      <w:bookmarkStart w:id="705" w:name="_Toc395657919"/>
      <w:bookmarkStart w:id="706" w:name="_Toc396573970"/>
      <w:bookmarkStart w:id="707" w:name="_Toc399624071"/>
      <w:bookmarkStart w:id="708" w:name="_Toc453367653"/>
      <w:bookmarkStart w:id="709" w:name="_Toc457355629"/>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t>: CONSUMPTION PARAMETERS APPROVED BY THE COMMISSION</w:t>
      </w:r>
      <w:bookmarkEnd w:id="704"/>
      <w:r w:rsidRPr="00C60AD1">
        <w:rPr>
          <w:rFonts w:cs="Calibri"/>
          <w:b/>
          <w:sz w:val="22"/>
          <w:szCs w:val="22"/>
          <w:lang w:val="en-US"/>
        </w:rPr>
        <w:t xml:space="preserve"> FOR FY </w:t>
      </w:r>
      <w:bookmarkEnd w:id="705"/>
      <w:bookmarkEnd w:id="706"/>
      <w:bookmarkEnd w:id="707"/>
      <w:r>
        <w:rPr>
          <w:rFonts w:cs="Calibri"/>
          <w:b/>
          <w:sz w:val="22"/>
          <w:szCs w:val="22"/>
          <w:lang w:val="en-US"/>
        </w:rPr>
        <w:t>2016-17</w:t>
      </w:r>
      <w:bookmarkEnd w:id="708"/>
      <w:bookmarkEnd w:id="709"/>
    </w:p>
    <w:tbl>
      <w:tblPr>
        <w:tblW w:w="8794" w:type="dxa"/>
        <w:jc w:val="center"/>
        <w:tblInd w:w="9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24"/>
        <w:gridCol w:w="1701"/>
        <w:gridCol w:w="1842"/>
        <w:gridCol w:w="1927"/>
      </w:tblGrid>
      <w:tr w:rsidR="00C34658" w:rsidRPr="00F11916" w:rsidTr="00BB6B0D">
        <w:trPr>
          <w:trHeight w:val="523"/>
          <w:tblHeader/>
          <w:jc w:val="center"/>
        </w:trPr>
        <w:tc>
          <w:tcPr>
            <w:tcW w:w="3324" w:type="dxa"/>
            <w:shd w:val="clear" w:color="000000" w:fill="DCE6F1"/>
            <w:noWrap/>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Consumer categories</w:t>
            </w:r>
          </w:p>
        </w:tc>
        <w:tc>
          <w:tcPr>
            <w:tcW w:w="1701"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No. of consumers</w:t>
            </w:r>
          </w:p>
        </w:tc>
        <w:tc>
          <w:tcPr>
            <w:tcW w:w="1842"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Connected load (kW)</w:t>
            </w:r>
          </w:p>
        </w:tc>
        <w:tc>
          <w:tcPr>
            <w:tcW w:w="1927" w:type="dxa"/>
            <w:shd w:val="clear" w:color="000000" w:fill="DCE6F1"/>
            <w:vAlign w:val="center"/>
            <w:hideMark/>
          </w:tcPr>
          <w:p w:rsidR="00C34658" w:rsidRPr="00F11916" w:rsidRDefault="00027D0D" w:rsidP="00D55642">
            <w:pPr>
              <w:spacing w:before="0" w:line="240" w:lineRule="auto"/>
              <w:jc w:val="center"/>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t>Energy sales (MU)</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 Domestic</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511448</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1200707</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1939</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LMV-2:Non-Domestic</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53489</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157111</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222</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LMV-3: Public Lamps </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18</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14117</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61</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LMV-4: Institutions</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826</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15248</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65</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LMV-5: Private Tube Wells</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 6: Small and Medium Power</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9735</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122688</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334</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LMV-7: Public Water Works </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537</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18072</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43</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LMV-8: State Tube Wells</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 xml:space="preserve">LMV-9: Temporary Supply </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LMV-10: Departmental Employees</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3346</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127222</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19</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HV-1: Non-Industrial Bulk Loads</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174</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67532</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144</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HV-2: Large and Heavy Power</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595</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215905</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452</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HV-3: Railway Traction</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olor w:val="000000"/>
                <w:sz w:val="22"/>
                <w:szCs w:val="22"/>
                <w:lang w:val="en-US"/>
              </w:rPr>
              <w:t>HV-4: Lift Irrigation</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vAlign w:val="center"/>
            <w:hideMark/>
          </w:tcPr>
          <w:p w:rsidR="0043125B" w:rsidRDefault="0043125B">
            <w:pPr>
              <w:spacing w:before="0" w:line="240" w:lineRule="auto"/>
              <w:rPr>
                <w:rFonts w:asciiTheme="minorHAnsi" w:hAnsiTheme="minorHAnsi" w:cs="Calibri"/>
                <w:color w:val="000000"/>
                <w:sz w:val="22"/>
                <w:szCs w:val="22"/>
                <w:lang w:val="en-US"/>
              </w:rPr>
            </w:pPr>
            <w:r w:rsidRPr="00027D0D">
              <w:rPr>
                <w:rFonts w:asciiTheme="minorHAnsi" w:hAnsiTheme="minorHAnsi" w:cs="Calibri"/>
                <w:color w:val="000000"/>
                <w:sz w:val="22"/>
                <w:szCs w:val="22"/>
                <w:lang w:eastAsia="en-IN"/>
              </w:rPr>
              <w:t>Extra state &amp; Bulk</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color w:val="000000"/>
                <w:sz w:val="22"/>
                <w:szCs w:val="22"/>
                <w:lang w:val="en-US"/>
              </w:rPr>
            </w:pPr>
            <w:r w:rsidRPr="00023318">
              <w:rPr>
                <w:rFonts w:asciiTheme="minorHAnsi" w:hAnsiTheme="minorHAnsi" w:cs="Arial"/>
                <w:color w:val="000000"/>
                <w:sz w:val="22"/>
                <w:szCs w:val="22"/>
              </w:rPr>
              <w:t>0</w:t>
            </w:r>
          </w:p>
        </w:tc>
      </w:tr>
      <w:tr w:rsidR="0043125B" w:rsidRPr="00F11916" w:rsidTr="00BB6B0D">
        <w:trPr>
          <w:trHeight w:val="300"/>
          <w:jc w:val="center"/>
        </w:trPr>
        <w:tc>
          <w:tcPr>
            <w:tcW w:w="3324" w:type="dxa"/>
            <w:shd w:val="clear" w:color="auto" w:fill="auto"/>
            <w:noWrap/>
            <w:hideMark/>
          </w:tcPr>
          <w:p w:rsidR="0043125B" w:rsidRDefault="0043125B">
            <w:pPr>
              <w:spacing w:before="0" w:line="240" w:lineRule="auto"/>
              <w:rPr>
                <w:rFonts w:asciiTheme="minorHAnsi" w:hAnsiTheme="minorHAnsi" w:cs="Calibri"/>
                <w:b/>
                <w:bCs/>
                <w:color w:val="000000"/>
                <w:sz w:val="22"/>
                <w:szCs w:val="22"/>
                <w:lang w:val="en-US"/>
              </w:rPr>
            </w:pPr>
            <w:r w:rsidRPr="00027D0D">
              <w:rPr>
                <w:rFonts w:asciiTheme="minorHAnsi" w:hAnsiTheme="minorHAnsi"/>
                <w:b/>
                <w:bCs/>
                <w:color w:val="000000"/>
                <w:sz w:val="22"/>
                <w:szCs w:val="22"/>
                <w:lang w:val="en-US"/>
              </w:rPr>
              <w:lastRenderedPageBreak/>
              <w:t>Total</w:t>
            </w:r>
          </w:p>
        </w:tc>
        <w:tc>
          <w:tcPr>
            <w:tcW w:w="1701"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5,80,167</w:t>
            </w:r>
          </w:p>
        </w:tc>
        <w:tc>
          <w:tcPr>
            <w:tcW w:w="1842"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19,38,603</w:t>
            </w:r>
          </w:p>
        </w:tc>
        <w:tc>
          <w:tcPr>
            <w:tcW w:w="1927" w:type="dxa"/>
            <w:shd w:val="clear" w:color="auto" w:fill="auto"/>
            <w:noWrap/>
            <w:vAlign w:val="center"/>
            <w:hideMark/>
          </w:tcPr>
          <w:p w:rsidR="0043125B" w:rsidRPr="0043125B" w:rsidRDefault="00023318" w:rsidP="0043125B">
            <w:pPr>
              <w:spacing w:before="0" w:line="240" w:lineRule="auto"/>
              <w:jc w:val="right"/>
              <w:rPr>
                <w:rFonts w:asciiTheme="minorHAnsi" w:hAnsiTheme="minorHAnsi" w:cs="Calibri"/>
                <w:b/>
                <w:bCs/>
                <w:color w:val="000000"/>
                <w:sz w:val="22"/>
                <w:szCs w:val="22"/>
                <w:lang w:val="en-US"/>
              </w:rPr>
            </w:pPr>
            <w:r w:rsidRPr="00023318">
              <w:rPr>
                <w:rFonts w:asciiTheme="minorHAnsi" w:hAnsiTheme="minorHAnsi" w:cs="Arial"/>
                <w:b/>
                <w:bCs/>
                <w:color w:val="000000"/>
                <w:sz w:val="22"/>
                <w:szCs w:val="22"/>
              </w:rPr>
              <w:t>3,278</w:t>
            </w:r>
          </w:p>
        </w:tc>
      </w:tr>
    </w:tbl>
    <w:p w:rsidR="00C34658" w:rsidRDefault="00C34658" w:rsidP="00C34658">
      <w:pPr>
        <w:spacing w:before="0"/>
        <w:jc w:val="center"/>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710" w:name="_Toc453367654"/>
      <w:bookmarkStart w:id="711" w:name="_Toc457355630"/>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6</w:t>
      </w:r>
      <w:r w:rsidR="004A2D9E" w:rsidRPr="00C60AD1">
        <w:rPr>
          <w:rFonts w:cs="Calibri"/>
          <w:b/>
          <w:sz w:val="22"/>
          <w:szCs w:val="22"/>
          <w:lang w:val="en-US"/>
        </w:rPr>
        <w:fldChar w:fldCharType="end"/>
      </w:r>
      <w:r w:rsidRPr="00C60AD1">
        <w:rPr>
          <w:rFonts w:cs="Calibri"/>
          <w:b/>
          <w:sz w:val="22"/>
          <w:szCs w:val="22"/>
          <w:lang w:val="en-US"/>
        </w:rPr>
        <w:t xml:space="preserve">: NUMBER OF CONSUMERS: HISTORICAL TREND AND APPROVED VALUES FOR FY </w:t>
      </w:r>
      <w:r>
        <w:rPr>
          <w:rFonts w:cs="Calibri"/>
          <w:b/>
          <w:sz w:val="22"/>
          <w:szCs w:val="22"/>
          <w:lang w:val="en-US"/>
        </w:rPr>
        <w:t>2016-17</w:t>
      </w:r>
      <w:bookmarkEnd w:id="710"/>
      <w:bookmarkEnd w:id="711"/>
    </w:p>
    <w:tbl>
      <w:tblPr>
        <w:tblW w:w="5550" w:type="pct"/>
        <w:tblInd w:w="-5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20"/>
        <w:gridCol w:w="1170"/>
        <w:gridCol w:w="1260"/>
        <w:gridCol w:w="1187"/>
        <w:gridCol w:w="1442"/>
        <w:gridCol w:w="1383"/>
      </w:tblGrid>
      <w:tr w:rsidR="00DC4D95" w:rsidRPr="00F11916" w:rsidTr="00F11916">
        <w:trPr>
          <w:trHeight w:val="665"/>
          <w:tblHeader/>
        </w:trPr>
        <w:tc>
          <w:tcPr>
            <w:tcW w:w="1734" w:type="pct"/>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593"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FY2012-13</w:t>
            </w:r>
          </w:p>
        </w:tc>
        <w:tc>
          <w:tcPr>
            <w:tcW w:w="639"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FY2013-14</w:t>
            </w:r>
          </w:p>
        </w:tc>
        <w:tc>
          <w:tcPr>
            <w:tcW w:w="602"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FY2014-15</w:t>
            </w:r>
          </w:p>
        </w:tc>
        <w:tc>
          <w:tcPr>
            <w:tcW w:w="73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701" w:type="pct"/>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321EF3" w:rsidRPr="00F11916" w:rsidTr="00321EF3">
        <w:trPr>
          <w:trHeight w:val="215"/>
        </w:trPr>
        <w:tc>
          <w:tcPr>
            <w:tcW w:w="1734" w:type="pct"/>
            <w:shd w:val="clear" w:color="auto" w:fill="auto"/>
            <w:noWrap/>
            <w:hideMark/>
          </w:tcPr>
          <w:p w:rsidR="00321EF3" w:rsidRDefault="00321EF3">
            <w:pPr>
              <w:tabs>
                <w:tab w:val="right" w:pos="3205"/>
              </w:tabs>
              <w:spacing w:before="0" w:line="240" w:lineRule="auto"/>
              <w:rPr>
                <w:rFonts w:asciiTheme="minorHAnsi" w:hAnsiTheme="minorHAnsi"/>
                <w:sz w:val="22"/>
                <w:szCs w:val="22"/>
              </w:rPr>
            </w:pPr>
            <w:r>
              <w:rPr>
                <w:rFonts w:asciiTheme="minorHAnsi" w:hAnsiTheme="minorHAnsi"/>
                <w:sz w:val="22"/>
                <w:szCs w:val="22"/>
                <w:lang w:eastAsia="en-IN"/>
              </w:rPr>
              <w:t>LMV-1: Domestic</w:t>
            </w:r>
            <w:r>
              <w:rPr>
                <w:rFonts w:asciiTheme="minorHAnsi" w:hAnsiTheme="minorHAnsi"/>
                <w:sz w:val="22"/>
                <w:szCs w:val="22"/>
                <w:lang w:eastAsia="en-IN"/>
              </w:rPr>
              <w:tab/>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486851</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401572</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438484</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473563</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511448</w:t>
            </w:r>
          </w:p>
        </w:tc>
      </w:tr>
      <w:tr w:rsidR="00321EF3" w:rsidRPr="00F11916" w:rsidTr="00321EF3">
        <w:trPr>
          <w:trHeight w:val="26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LMV-2:Non-Domestic</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98567</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67550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73262</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62600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53489</w:t>
            </w:r>
          </w:p>
        </w:tc>
      </w:tr>
      <w:tr w:rsidR="00321EF3" w:rsidRPr="00F11916" w:rsidTr="00321EF3">
        <w:trPr>
          <w:trHeight w:val="242"/>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LMV-3: Public Lamps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w:t>
            </w:r>
          </w:p>
        </w:tc>
      </w:tr>
      <w:tr w:rsidR="00321EF3" w:rsidRPr="00F11916" w:rsidTr="00321EF3">
        <w:trPr>
          <w:trHeight w:val="242"/>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LMV-4: Institutions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1125</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877</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746</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785</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826</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LMV-5: Private Tube Wells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LMV6: Small and Medium Power</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8721</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7920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8914</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9315</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9735</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LMV-7: Public Water Works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627</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609</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526</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531</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537</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LMV-8: State Tube Wells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LMV-9: Temporary Supply</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00"/>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LMV-10: Departmental Employees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576</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4844</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3346</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3346</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3346</w:t>
            </w:r>
          </w:p>
        </w:tc>
      </w:tr>
      <w:tr w:rsidR="00321EF3" w:rsidRPr="00F11916" w:rsidTr="00321EF3">
        <w:trPr>
          <w:trHeight w:val="323"/>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HV-1: Non-Industrial Bulk Loads</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133</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141</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167</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170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174</w:t>
            </w:r>
          </w:p>
        </w:tc>
      </w:tr>
      <w:tr w:rsidR="00321EF3" w:rsidRPr="00F11916" w:rsidTr="00321EF3">
        <w:trPr>
          <w:trHeight w:val="233"/>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HV-2: Large and Heavy Power</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543</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558</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572</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583</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595</w:t>
            </w:r>
          </w:p>
        </w:tc>
      </w:tr>
      <w:tr w:rsidR="00321EF3" w:rsidRPr="00F11916" w:rsidTr="00321EF3">
        <w:trPr>
          <w:trHeight w:val="278"/>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HV-3: Railway Traction</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05"/>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HV-4: Lift Irrigation</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23"/>
        </w:trPr>
        <w:tc>
          <w:tcPr>
            <w:tcW w:w="1734" w:type="pct"/>
            <w:shd w:val="clear" w:color="auto" w:fill="auto"/>
            <w:noWrap/>
            <w:hideMark/>
          </w:tcPr>
          <w:p w:rsidR="00321EF3" w:rsidRDefault="00321EF3">
            <w:pPr>
              <w:spacing w:before="0" w:line="240" w:lineRule="auto"/>
              <w:rPr>
                <w:rFonts w:asciiTheme="minorHAnsi" w:hAnsiTheme="minorHAnsi"/>
                <w:sz w:val="22"/>
                <w:szCs w:val="22"/>
              </w:rPr>
            </w:pPr>
            <w:r>
              <w:rPr>
                <w:rFonts w:asciiTheme="minorHAnsi" w:hAnsiTheme="minorHAnsi"/>
                <w:sz w:val="22"/>
                <w:szCs w:val="22"/>
                <w:lang w:eastAsia="en-IN"/>
              </w:rPr>
              <w:t>Extra state &amp; Bulk</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321EF3">
        <w:trPr>
          <w:trHeight w:val="332"/>
        </w:trPr>
        <w:tc>
          <w:tcPr>
            <w:tcW w:w="1734" w:type="pct"/>
            <w:shd w:val="clear" w:color="auto" w:fill="auto"/>
            <w:noWrap/>
            <w:hideMark/>
          </w:tcPr>
          <w:p w:rsidR="00321EF3" w:rsidRDefault="00321EF3">
            <w:pPr>
              <w:spacing w:before="0" w:line="240" w:lineRule="auto"/>
              <w:rPr>
                <w:rFonts w:asciiTheme="minorHAnsi" w:hAnsiTheme="minorHAnsi"/>
                <w:b/>
                <w:sz w:val="22"/>
                <w:szCs w:val="22"/>
              </w:rPr>
            </w:pPr>
            <w:r>
              <w:rPr>
                <w:rFonts w:asciiTheme="minorHAnsi" w:hAnsiTheme="minorHAnsi"/>
                <w:b/>
                <w:sz w:val="22"/>
                <w:szCs w:val="22"/>
                <w:lang w:eastAsia="en-IN"/>
              </w:rPr>
              <w:t>Total</w:t>
            </w:r>
          </w:p>
        </w:tc>
        <w:tc>
          <w:tcPr>
            <w:tcW w:w="59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97</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161</w:t>
            </w:r>
          </w:p>
        </w:tc>
        <w:tc>
          <w:tcPr>
            <w:tcW w:w="63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4</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84</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089</w:t>
            </w:r>
          </w:p>
        </w:tc>
        <w:tc>
          <w:tcPr>
            <w:tcW w:w="602"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26</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035</w:t>
            </w:r>
          </w:p>
        </w:tc>
        <w:tc>
          <w:tcPr>
            <w:tcW w:w="73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50</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911</w:t>
            </w:r>
          </w:p>
        </w:tc>
        <w:tc>
          <w:tcPr>
            <w:tcW w:w="70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80</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167</w:t>
            </w:r>
          </w:p>
        </w:tc>
      </w:tr>
    </w:tbl>
    <w:p w:rsidR="00C34658" w:rsidRDefault="00C34658" w:rsidP="00C34658">
      <w:pPr>
        <w:pStyle w:val="Heading3"/>
        <w:numPr>
          <w:ilvl w:val="0"/>
          <w:numId w:val="0"/>
        </w:numPr>
        <w:spacing w:before="0"/>
      </w:pPr>
    </w:p>
    <w:p w:rsidR="005B7929" w:rsidRDefault="00C34658" w:rsidP="005B7929">
      <w:pPr>
        <w:spacing w:before="0"/>
        <w:rPr>
          <w:rFonts w:cs="Calibri"/>
          <w:b/>
          <w:sz w:val="22"/>
          <w:szCs w:val="22"/>
          <w:lang w:val="en-US"/>
        </w:rPr>
      </w:pPr>
      <w:bookmarkStart w:id="712" w:name="_Toc453367655"/>
      <w:bookmarkStart w:id="713" w:name="_Toc457355631"/>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7</w:t>
      </w:r>
      <w:r w:rsidR="004A2D9E" w:rsidRPr="00C60AD1">
        <w:rPr>
          <w:rFonts w:cs="Calibri"/>
          <w:b/>
          <w:sz w:val="22"/>
          <w:szCs w:val="22"/>
          <w:lang w:val="en-US"/>
        </w:rPr>
        <w:fldChar w:fldCharType="end"/>
      </w:r>
      <w:r w:rsidRPr="00C60AD1">
        <w:rPr>
          <w:rFonts w:cs="Calibri"/>
          <w:b/>
          <w:sz w:val="22"/>
          <w:szCs w:val="22"/>
          <w:lang w:val="en-US"/>
        </w:rPr>
        <w:t>: CONNECTED LOAD (</w:t>
      </w:r>
      <w:r w:rsidR="00FD3967">
        <w:rPr>
          <w:rFonts w:cs="Calibri"/>
          <w:b/>
          <w:sz w:val="22"/>
          <w:szCs w:val="22"/>
          <w:lang w:val="en-US"/>
        </w:rPr>
        <w:t>k</w:t>
      </w:r>
      <w:r w:rsidRPr="00C60AD1">
        <w:rPr>
          <w:rFonts w:cs="Calibri"/>
          <w:b/>
          <w:sz w:val="22"/>
          <w:szCs w:val="22"/>
          <w:lang w:val="en-US"/>
        </w:rPr>
        <w:t xml:space="preserve">W): HISTORICAL TREND AND APPROVED VALUES FOR FY </w:t>
      </w:r>
      <w:r>
        <w:rPr>
          <w:rFonts w:cs="Calibri"/>
          <w:b/>
          <w:sz w:val="22"/>
          <w:szCs w:val="22"/>
          <w:lang w:val="en-US"/>
        </w:rPr>
        <w:t>2016-17</w:t>
      </w:r>
      <w:bookmarkEnd w:id="712"/>
      <w:bookmarkEnd w:id="713"/>
    </w:p>
    <w:tbl>
      <w:tblPr>
        <w:tblW w:w="5590" w:type="pct"/>
        <w:tblInd w:w="-6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2854"/>
        <w:gridCol w:w="1279"/>
        <w:gridCol w:w="1277"/>
        <w:gridCol w:w="1273"/>
        <w:gridCol w:w="1766"/>
        <w:gridCol w:w="1484"/>
      </w:tblGrid>
      <w:tr w:rsidR="00C34658" w:rsidRPr="00F94A34" w:rsidTr="00321EF3">
        <w:trPr>
          <w:trHeight w:val="900"/>
          <w:tblHeader/>
        </w:trPr>
        <w:tc>
          <w:tcPr>
            <w:tcW w:w="1436" w:type="pct"/>
            <w:shd w:val="clear" w:color="000000" w:fill="DCE6F1"/>
            <w:noWrap/>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rPr>
              <w:t>Consumer categories</w:t>
            </w:r>
          </w:p>
        </w:tc>
        <w:tc>
          <w:tcPr>
            <w:tcW w:w="644"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2012-13</w:t>
            </w:r>
          </w:p>
        </w:tc>
        <w:tc>
          <w:tcPr>
            <w:tcW w:w="643"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2013-14</w:t>
            </w:r>
          </w:p>
        </w:tc>
        <w:tc>
          <w:tcPr>
            <w:tcW w:w="641"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FY 2014-15</w:t>
            </w:r>
          </w:p>
        </w:tc>
        <w:tc>
          <w:tcPr>
            <w:tcW w:w="889"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Computed for FY 2015-16</w:t>
            </w:r>
          </w:p>
        </w:tc>
        <w:tc>
          <w:tcPr>
            <w:tcW w:w="748" w:type="pct"/>
            <w:shd w:val="clear" w:color="000000" w:fill="DCE6F1"/>
            <w:hideMark/>
          </w:tcPr>
          <w:p w:rsidR="00C34658" w:rsidRPr="00FA7B1E" w:rsidRDefault="00C34658" w:rsidP="00D55642">
            <w:pPr>
              <w:spacing w:before="0" w:line="240" w:lineRule="auto"/>
              <w:jc w:val="center"/>
              <w:rPr>
                <w:rFonts w:asciiTheme="minorHAnsi" w:hAnsiTheme="minorHAnsi" w:cstheme="minorHAnsi"/>
                <w:b/>
                <w:sz w:val="22"/>
                <w:szCs w:val="22"/>
              </w:rPr>
            </w:pPr>
            <w:r w:rsidRPr="00FA7B1E">
              <w:rPr>
                <w:rFonts w:asciiTheme="minorHAnsi" w:hAnsiTheme="minorHAnsi" w:cstheme="minorHAnsi"/>
                <w:b/>
                <w:sz w:val="22"/>
                <w:szCs w:val="22"/>
                <w:lang w:eastAsia="en-IN"/>
              </w:rPr>
              <w:t>Approved for FY 2016-17</w:t>
            </w:r>
          </w:p>
        </w:tc>
      </w:tr>
      <w:tr w:rsidR="00321EF3" w:rsidRPr="00F94A34" w:rsidTr="00321EF3">
        <w:trPr>
          <w:trHeight w:val="233"/>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LMV-1: Domestic</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1145139</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958837</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1029413</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1111766</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1200707</w:t>
            </w:r>
          </w:p>
        </w:tc>
      </w:tr>
      <w:tr w:rsidR="00321EF3" w:rsidRPr="00F94A34" w:rsidTr="00321EF3">
        <w:trPr>
          <w:trHeight w:val="278"/>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LMV-2:Non-Domestic</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267143</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196375</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215187</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183870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157111</w:t>
            </w:r>
          </w:p>
        </w:tc>
      </w:tr>
      <w:tr w:rsidR="00321EF3" w:rsidRPr="00F94A34" w:rsidTr="00321EF3">
        <w:trPr>
          <w:trHeight w:val="233"/>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LMV-3: Public Lamps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13768</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14068</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14117</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14117</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14117</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LMV-4: Institutions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12270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12595</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13582</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14492</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15248</w:t>
            </w:r>
          </w:p>
        </w:tc>
      </w:tr>
      <w:tr w:rsidR="00321EF3" w:rsidRPr="00F94A34" w:rsidTr="00321EF3">
        <w:trPr>
          <w:trHeight w:val="287"/>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LMV-5: Private Tube Wells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170"/>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 6: Small and Medium Power</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120461</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105888</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112640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117545</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122688</w:t>
            </w:r>
          </w:p>
        </w:tc>
      </w:tr>
      <w:tr w:rsidR="00321EF3" w:rsidRPr="00F94A34" w:rsidTr="00321EF3">
        <w:trPr>
          <w:trHeight w:val="287"/>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LMV-7: Public Water Works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20600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19811</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20505</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17893</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18072</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LMV-8: State Tube Wells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287"/>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LMV-9: Temporary Supply</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 xml:space="preserve">LMV-10: Departmental </w:t>
            </w:r>
            <w:r w:rsidRPr="00FA7B1E">
              <w:rPr>
                <w:rFonts w:asciiTheme="minorHAnsi" w:hAnsiTheme="minorHAnsi"/>
                <w:sz w:val="22"/>
                <w:szCs w:val="22"/>
              </w:rPr>
              <w:lastRenderedPageBreak/>
              <w:t>Employees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lastRenderedPageBreak/>
              <w:t>1853</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14532</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10038</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127222</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127222</w:t>
            </w:r>
          </w:p>
        </w:tc>
      </w:tr>
      <w:tr w:rsidR="00321EF3" w:rsidRPr="00F94A34" w:rsidTr="00321EF3">
        <w:trPr>
          <w:trHeight w:val="188"/>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lastRenderedPageBreak/>
              <w:t>HV-1: Non-Industrial Bulk Loads</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51052</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52255</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65261</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66386</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67532</w:t>
            </w:r>
          </w:p>
        </w:tc>
      </w:tr>
      <w:tr w:rsidR="00321EF3" w:rsidRPr="00F94A34" w:rsidTr="00321EF3">
        <w:trPr>
          <w:trHeight w:val="323"/>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HV-2: Large and Heavy Power</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203898</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205967</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209012</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212428</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215905</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HV-3: Railway Traction</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HV-4: Lift Irrigation</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242"/>
        </w:trPr>
        <w:tc>
          <w:tcPr>
            <w:tcW w:w="1436" w:type="pct"/>
            <w:shd w:val="clear" w:color="auto" w:fill="auto"/>
            <w:noWrap/>
            <w:hideMark/>
          </w:tcPr>
          <w:p w:rsidR="00321EF3" w:rsidRPr="00FA7B1E" w:rsidRDefault="00321EF3" w:rsidP="00D55642">
            <w:pPr>
              <w:spacing w:before="0" w:line="240" w:lineRule="auto"/>
              <w:rPr>
                <w:rFonts w:asciiTheme="minorHAnsi" w:hAnsiTheme="minorHAnsi"/>
                <w:sz w:val="22"/>
                <w:szCs w:val="22"/>
              </w:rPr>
            </w:pPr>
            <w:r w:rsidRPr="00FA7B1E">
              <w:rPr>
                <w:rFonts w:asciiTheme="minorHAnsi" w:hAnsiTheme="minorHAnsi"/>
                <w:sz w:val="22"/>
                <w:szCs w:val="22"/>
              </w:rPr>
              <w:t>Extra state &amp; Bulk</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94A34" w:rsidTr="00321EF3">
        <w:trPr>
          <w:trHeight w:val="197"/>
        </w:trPr>
        <w:tc>
          <w:tcPr>
            <w:tcW w:w="1436" w:type="pct"/>
            <w:shd w:val="clear" w:color="auto" w:fill="auto"/>
            <w:noWrap/>
            <w:hideMark/>
          </w:tcPr>
          <w:p w:rsidR="00321EF3" w:rsidRPr="00FA7B1E" w:rsidRDefault="00321EF3" w:rsidP="00D55642">
            <w:pPr>
              <w:spacing w:before="0" w:line="240" w:lineRule="auto"/>
              <w:rPr>
                <w:rFonts w:asciiTheme="minorHAnsi" w:hAnsiTheme="minorHAnsi"/>
                <w:b/>
                <w:sz w:val="22"/>
                <w:szCs w:val="22"/>
              </w:rPr>
            </w:pPr>
            <w:r w:rsidRPr="00FA7B1E">
              <w:rPr>
                <w:rFonts w:asciiTheme="minorHAnsi" w:hAnsiTheme="minorHAnsi"/>
                <w:b/>
                <w:sz w:val="22"/>
                <w:szCs w:val="22"/>
              </w:rPr>
              <w:t>Total</w:t>
            </w:r>
          </w:p>
        </w:tc>
        <w:tc>
          <w:tcPr>
            <w:tcW w:w="644"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18</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36</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184</w:t>
            </w:r>
          </w:p>
        </w:tc>
        <w:tc>
          <w:tcPr>
            <w:tcW w:w="643"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15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80</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328</w:t>
            </w:r>
          </w:p>
        </w:tc>
        <w:tc>
          <w:tcPr>
            <w:tcW w:w="641"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16</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89</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755</w:t>
            </w:r>
          </w:p>
        </w:tc>
        <w:tc>
          <w:tcPr>
            <w:tcW w:w="889"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18</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65</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720</w:t>
            </w:r>
          </w:p>
        </w:tc>
        <w:tc>
          <w:tcPr>
            <w:tcW w:w="748" w:type="pct"/>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19</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38</w:t>
            </w:r>
            <w:r w:rsidR="00321EF3">
              <w:rPr>
                <w:rFonts w:asciiTheme="minorHAnsi" w:hAnsiTheme="minorHAnsi" w:cs="Arial"/>
                <w:b/>
                <w:bCs/>
                <w:color w:val="000000"/>
                <w:sz w:val="22"/>
                <w:szCs w:val="22"/>
              </w:rPr>
              <w:t>,</w:t>
            </w:r>
            <w:r w:rsidRPr="00023318">
              <w:rPr>
                <w:rFonts w:asciiTheme="minorHAnsi" w:hAnsiTheme="minorHAnsi" w:cs="Arial"/>
                <w:b/>
                <w:bCs/>
                <w:color w:val="000000"/>
                <w:sz w:val="22"/>
                <w:szCs w:val="22"/>
              </w:rPr>
              <w:t>603</w:t>
            </w:r>
          </w:p>
        </w:tc>
      </w:tr>
    </w:tbl>
    <w:p w:rsidR="00F11916" w:rsidRDefault="00F11916" w:rsidP="00C34658">
      <w:pPr>
        <w:spacing w:before="0"/>
        <w:jc w:val="center"/>
        <w:rPr>
          <w:rFonts w:cs="Calibri"/>
          <w:b/>
          <w:sz w:val="22"/>
          <w:szCs w:val="22"/>
          <w:lang w:val="en-US"/>
        </w:rPr>
      </w:pPr>
    </w:p>
    <w:p w:rsidR="00AB309A" w:rsidRDefault="00AB309A" w:rsidP="00C34658">
      <w:pPr>
        <w:spacing w:before="0"/>
        <w:jc w:val="center"/>
        <w:rPr>
          <w:rFonts w:cs="Calibri"/>
          <w:b/>
          <w:sz w:val="22"/>
          <w:szCs w:val="22"/>
          <w:lang w:val="en-US"/>
        </w:rPr>
      </w:pPr>
    </w:p>
    <w:p w:rsidR="00C34658" w:rsidRPr="00C60AD1" w:rsidRDefault="00C34658" w:rsidP="00C34658">
      <w:pPr>
        <w:spacing w:before="0"/>
        <w:jc w:val="center"/>
        <w:rPr>
          <w:rFonts w:cs="Calibri"/>
          <w:b/>
          <w:sz w:val="22"/>
          <w:szCs w:val="22"/>
          <w:lang w:val="en-US"/>
        </w:rPr>
      </w:pPr>
      <w:bookmarkStart w:id="714" w:name="_Toc453367656"/>
      <w:bookmarkStart w:id="715" w:name="_Toc457355632"/>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8</w:t>
      </w:r>
      <w:r w:rsidR="004A2D9E" w:rsidRPr="00C60AD1">
        <w:rPr>
          <w:rFonts w:cs="Calibri"/>
          <w:b/>
          <w:sz w:val="22"/>
          <w:szCs w:val="22"/>
          <w:lang w:val="en-US"/>
        </w:rPr>
        <w:fldChar w:fldCharType="end"/>
      </w:r>
      <w:r w:rsidRPr="00C60AD1">
        <w:rPr>
          <w:rFonts w:cs="Calibri"/>
          <w:b/>
          <w:sz w:val="22"/>
          <w:szCs w:val="22"/>
          <w:lang w:val="en-US"/>
        </w:rPr>
        <w:t xml:space="preserve">: ENERGY SALES (MU): HISTORICAL TREND AND APPROVED VALUES FOR FY </w:t>
      </w:r>
      <w:r>
        <w:rPr>
          <w:rFonts w:cs="Calibri"/>
          <w:b/>
          <w:sz w:val="22"/>
          <w:szCs w:val="22"/>
          <w:lang w:val="en-US"/>
        </w:rPr>
        <w:t>2016-17</w:t>
      </w:r>
      <w:bookmarkEnd w:id="714"/>
      <w:bookmarkEnd w:id="715"/>
    </w:p>
    <w:tbl>
      <w:tblPr>
        <w:tblW w:w="10080" w:type="dxa"/>
        <w:tblInd w:w="-9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065"/>
        <w:gridCol w:w="1318"/>
        <w:gridCol w:w="1318"/>
        <w:gridCol w:w="1319"/>
        <w:gridCol w:w="1573"/>
        <w:gridCol w:w="1487"/>
      </w:tblGrid>
      <w:tr w:rsidR="00D35ACF" w:rsidRPr="00F11916" w:rsidTr="00AB309A">
        <w:trPr>
          <w:trHeight w:val="557"/>
          <w:tblHeader/>
        </w:trPr>
        <w:tc>
          <w:tcPr>
            <w:tcW w:w="3065" w:type="dxa"/>
            <w:shd w:val="clear" w:color="000000" w:fill="DCE6F1"/>
            <w:noWrap/>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Consumer categories</w:t>
            </w:r>
          </w:p>
        </w:tc>
        <w:tc>
          <w:tcPr>
            <w:tcW w:w="1318"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2012-13</w:t>
            </w:r>
          </w:p>
        </w:tc>
        <w:tc>
          <w:tcPr>
            <w:tcW w:w="1318"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2013-14</w:t>
            </w:r>
          </w:p>
        </w:tc>
        <w:tc>
          <w:tcPr>
            <w:tcW w:w="1319"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FY 2014-15</w:t>
            </w:r>
          </w:p>
        </w:tc>
        <w:tc>
          <w:tcPr>
            <w:tcW w:w="1573"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Computed for FY 2015-16</w:t>
            </w:r>
          </w:p>
        </w:tc>
        <w:tc>
          <w:tcPr>
            <w:tcW w:w="1487" w:type="dxa"/>
            <w:shd w:val="clear" w:color="000000" w:fill="DCE6F1"/>
            <w:hideMark/>
          </w:tcPr>
          <w:p w:rsidR="00C34658" w:rsidRPr="00F11916" w:rsidRDefault="00027D0D" w:rsidP="00D55642">
            <w:pPr>
              <w:spacing w:before="0" w:line="240" w:lineRule="auto"/>
              <w:jc w:val="center"/>
              <w:rPr>
                <w:rFonts w:asciiTheme="minorHAnsi" w:hAnsiTheme="minorHAnsi"/>
                <w:b/>
                <w:sz w:val="22"/>
                <w:szCs w:val="22"/>
              </w:rPr>
            </w:pPr>
            <w:r>
              <w:rPr>
                <w:rFonts w:asciiTheme="minorHAnsi" w:hAnsiTheme="minorHAnsi"/>
                <w:b/>
                <w:sz w:val="22"/>
                <w:szCs w:val="22"/>
                <w:lang w:eastAsia="en-IN"/>
              </w:rPr>
              <w:t>Approved for FY 2016-17</w:t>
            </w:r>
          </w:p>
        </w:tc>
      </w:tr>
      <w:tr w:rsidR="00321EF3" w:rsidRPr="00F11916" w:rsidTr="00AB309A">
        <w:trPr>
          <w:trHeight w:val="260"/>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LMV-1: Domestic</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1195</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1258</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1250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1520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1939</w:t>
            </w:r>
          </w:p>
        </w:tc>
      </w:tr>
      <w:tr w:rsidR="00321EF3" w:rsidRPr="00F11916" w:rsidTr="00AB309A">
        <w:trPr>
          <w:trHeight w:val="224"/>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LMV-2:Non-Domestic</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250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255</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251</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220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222</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LMV-3: Public Lamps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51</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61</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61</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LMV-4: Institutions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45</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47</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39</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53</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65</w:t>
            </w:r>
          </w:p>
        </w:tc>
      </w:tr>
      <w:tr w:rsidR="00321EF3" w:rsidRPr="00F11916" w:rsidTr="00AB309A">
        <w:trPr>
          <w:trHeight w:val="134"/>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LMV-5: Private Tube Wells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 6: Small and Medium Power</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240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250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255</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270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334</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LMV-7: Public Water Works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49</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49</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48</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42</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43</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LMV-8: State Tube Wells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260"/>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LMV-9: Temporary Supply</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LMV-10:Departmental Employees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16</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17</w:t>
            </w:r>
          </w:p>
        </w:tc>
        <w:tc>
          <w:tcPr>
            <w:tcW w:w="1573" w:type="dxa"/>
            <w:shd w:val="clear" w:color="auto" w:fill="auto"/>
            <w:noWrap/>
            <w:vAlign w:val="center"/>
            <w:hideMark/>
          </w:tcPr>
          <w:p w:rsidR="00023318" w:rsidRDefault="00023318" w:rsidP="00023318">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17</w:t>
            </w:r>
          </w:p>
        </w:tc>
        <w:tc>
          <w:tcPr>
            <w:tcW w:w="1487" w:type="dxa"/>
            <w:shd w:val="clear" w:color="auto" w:fill="auto"/>
            <w:noWrap/>
            <w:vAlign w:val="center"/>
            <w:hideMark/>
          </w:tcPr>
          <w:p w:rsidR="00321EF3" w:rsidRPr="00321EF3" w:rsidRDefault="00023318" w:rsidP="00321EF3">
            <w:pPr>
              <w:tabs>
                <w:tab w:val="left" w:pos="720"/>
              </w:tabs>
              <w:spacing w:before="0" w:line="240" w:lineRule="auto"/>
              <w:ind w:left="993"/>
              <w:jc w:val="right"/>
              <w:outlineLvl w:val="2"/>
              <w:rPr>
                <w:rFonts w:asciiTheme="minorHAnsi" w:hAnsiTheme="minorHAnsi" w:cs="Arial"/>
                <w:color w:val="000000"/>
                <w:sz w:val="22"/>
                <w:szCs w:val="22"/>
              </w:rPr>
            </w:pPr>
            <w:r w:rsidRPr="00023318">
              <w:rPr>
                <w:rFonts w:asciiTheme="minorHAnsi" w:hAnsiTheme="minorHAnsi" w:cs="Arial"/>
                <w:color w:val="000000"/>
                <w:sz w:val="22"/>
                <w:szCs w:val="22"/>
              </w:rPr>
              <w:t>19</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HV-1: Non-Industrial Bulk Loads</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125</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131</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139</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142</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144</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HV-2: Large and Heavy Power</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410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699</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533</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445</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452</w:t>
            </w:r>
          </w:p>
        </w:tc>
      </w:tr>
      <w:tr w:rsidR="00321EF3" w:rsidRPr="00F11916" w:rsidTr="00AB309A">
        <w:trPr>
          <w:trHeight w:val="134"/>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HV-3: Railway Traction</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19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HV-4: Lift Irrigation</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sz w:val="18"/>
                <w:szCs w:val="18"/>
              </w:rPr>
            </w:pPr>
            <w:r>
              <w:rPr>
                <w:lang w:eastAsia="en-IN"/>
              </w:rPr>
              <w:t>Extra state &amp; Bulk</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color w:val="000000"/>
                <w:sz w:val="22"/>
                <w:szCs w:val="22"/>
              </w:rPr>
            </w:pPr>
            <w:r w:rsidRPr="00023318">
              <w:rPr>
                <w:rFonts w:asciiTheme="minorHAnsi" w:hAnsiTheme="minorHAnsi" w:cs="Arial"/>
                <w:color w:val="000000"/>
                <w:sz w:val="22"/>
                <w:szCs w:val="22"/>
              </w:rPr>
              <w:t>0</w:t>
            </w:r>
          </w:p>
        </w:tc>
      </w:tr>
      <w:tr w:rsidR="00321EF3" w:rsidRPr="00F11916" w:rsidTr="00AB309A">
        <w:trPr>
          <w:trHeight w:val="77"/>
        </w:trPr>
        <w:tc>
          <w:tcPr>
            <w:tcW w:w="3065" w:type="dxa"/>
            <w:shd w:val="clear" w:color="auto" w:fill="auto"/>
            <w:noWrap/>
            <w:vAlign w:val="center"/>
            <w:hideMark/>
          </w:tcPr>
          <w:p w:rsidR="00321EF3" w:rsidRDefault="00321EF3" w:rsidP="007132A6">
            <w:pPr>
              <w:spacing w:before="0" w:line="240" w:lineRule="auto"/>
              <w:jc w:val="left"/>
              <w:rPr>
                <w:b/>
                <w:sz w:val="18"/>
                <w:szCs w:val="18"/>
              </w:rPr>
            </w:pPr>
            <w:r>
              <w:rPr>
                <w:b/>
                <w:lang w:eastAsia="en-IN"/>
              </w:rPr>
              <w:t>Total</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2365</w:t>
            </w:r>
          </w:p>
        </w:tc>
        <w:tc>
          <w:tcPr>
            <w:tcW w:w="1318"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2755</w:t>
            </w:r>
          </w:p>
        </w:tc>
        <w:tc>
          <w:tcPr>
            <w:tcW w:w="1319"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2582</w:t>
            </w:r>
          </w:p>
        </w:tc>
        <w:tc>
          <w:tcPr>
            <w:tcW w:w="1573"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2769</w:t>
            </w:r>
          </w:p>
        </w:tc>
        <w:tc>
          <w:tcPr>
            <w:tcW w:w="1487" w:type="dxa"/>
            <w:shd w:val="clear" w:color="auto" w:fill="auto"/>
            <w:noWrap/>
            <w:vAlign w:val="center"/>
            <w:hideMark/>
          </w:tcPr>
          <w:p w:rsidR="00321EF3" w:rsidRPr="00321EF3" w:rsidRDefault="00023318" w:rsidP="00321EF3">
            <w:pPr>
              <w:spacing w:before="0" w:line="240" w:lineRule="auto"/>
              <w:jc w:val="right"/>
              <w:rPr>
                <w:rFonts w:asciiTheme="minorHAnsi" w:hAnsiTheme="minorHAnsi" w:cs="Arial"/>
                <w:b/>
                <w:bCs/>
                <w:color w:val="000000"/>
                <w:sz w:val="22"/>
                <w:szCs w:val="22"/>
              </w:rPr>
            </w:pPr>
            <w:r w:rsidRPr="00023318">
              <w:rPr>
                <w:rFonts w:asciiTheme="minorHAnsi" w:hAnsiTheme="minorHAnsi" w:cs="Arial"/>
                <w:b/>
                <w:bCs/>
                <w:color w:val="000000"/>
                <w:sz w:val="22"/>
                <w:szCs w:val="22"/>
              </w:rPr>
              <w:t>3278</w:t>
            </w:r>
          </w:p>
        </w:tc>
      </w:tr>
    </w:tbl>
    <w:p w:rsidR="006836EE" w:rsidRDefault="006836EE">
      <w:pPr>
        <w:pStyle w:val="Heading3"/>
        <w:numPr>
          <w:ilvl w:val="0"/>
          <w:numId w:val="0"/>
        </w:numPr>
        <w:spacing w:before="0"/>
      </w:pPr>
    </w:p>
    <w:p w:rsidR="00023318" w:rsidRDefault="00C34658" w:rsidP="00023318">
      <w:pPr>
        <w:pStyle w:val="Heading3"/>
        <w:tabs>
          <w:tab w:val="clear" w:pos="720"/>
        </w:tabs>
        <w:spacing w:after="240"/>
        <w:ind w:left="993" w:hanging="993"/>
      </w:pPr>
      <w:bookmarkStart w:id="716" w:name="_Toc453367657"/>
      <w:bookmarkEnd w:id="716"/>
      <w:r w:rsidRPr="00C60AD1">
        <w:t>As regards the metering of consumers, Section 55 of the Electricity Act, 2003 stipulates as follows:</w:t>
      </w:r>
    </w:p>
    <w:p w:rsidR="00C34658" w:rsidRPr="00C60AD1" w:rsidRDefault="00C34658" w:rsidP="00C34658">
      <w:pPr>
        <w:pStyle w:val="Heading3"/>
        <w:numPr>
          <w:ilvl w:val="0"/>
          <w:numId w:val="0"/>
        </w:numPr>
        <w:ind w:left="1440"/>
        <w:rPr>
          <w:i/>
        </w:rPr>
      </w:pPr>
      <w:r w:rsidRPr="00C60AD1">
        <w:rPr>
          <w:i/>
        </w:rPr>
        <w:lastRenderedPageBreak/>
        <w:t xml:space="preserve">“55. (1) No licensee shall supply electricity, after the expiry of two years from the appointed date, except through installation of a correct meter in accordance with regulations to be made in this behalf by the Authority:”  </w:t>
      </w:r>
    </w:p>
    <w:p w:rsidR="00023318" w:rsidRDefault="00C34658" w:rsidP="00023318">
      <w:pPr>
        <w:pStyle w:val="Heading3"/>
        <w:tabs>
          <w:tab w:val="clear" w:pos="720"/>
        </w:tabs>
        <w:spacing w:after="240"/>
        <w:ind w:left="993" w:hanging="993"/>
      </w:pPr>
      <w:r w:rsidRPr="00C60AD1">
        <w:t>Chapter 5 ‘Metering’ of the U.P. Electricity Supply Code 2005, specifies as follows:</w:t>
      </w:r>
    </w:p>
    <w:p w:rsidR="00C34658" w:rsidRPr="00C60AD1" w:rsidRDefault="00C34658" w:rsidP="00C34658">
      <w:pPr>
        <w:pStyle w:val="Heading3"/>
        <w:numPr>
          <w:ilvl w:val="0"/>
          <w:numId w:val="0"/>
        </w:numPr>
        <w:ind w:left="1440"/>
        <w:rPr>
          <w:i/>
        </w:rPr>
      </w:pPr>
      <w:r w:rsidRPr="00C60AD1">
        <w:rPr>
          <w:i/>
        </w:rPr>
        <w:t>“5.1 Licensees obligation to give supply on meters: Requirement of Meters</w:t>
      </w:r>
    </w:p>
    <w:p w:rsidR="00C34658" w:rsidRPr="00C60AD1" w:rsidRDefault="00C34658" w:rsidP="00C34658">
      <w:pPr>
        <w:pStyle w:val="Heading3"/>
        <w:numPr>
          <w:ilvl w:val="0"/>
          <w:numId w:val="0"/>
        </w:numPr>
        <w:ind w:left="1440"/>
        <w:rPr>
          <w:i/>
        </w:rPr>
      </w:pPr>
      <w:r w:rsidRPr="00C60AD1">
        <w:rPr>
          <w:i/>
        </w:rPr>
        <w:t>(a) 2 [No new connection shall be given without a Meter and Miniature Circuit Breaker (MCB) or Circuit Breaker (CB) of appropriate specification from the date of issue of this code.</w:t>
      </w:r>
    </w:p>
    <w:p w:rsidR="00C34658" w:rsidRPr="00C60AD1" w:rsidRDefault="00C34658" w:rsidP="00C34658">
      <w:pPr>
        <w:pStyle w:val="Heading3"/>
        <w:numPr>
          <w:ilvl w:val="0"/>
          <w:numId w:val="0"/>
        </w:numPr>
        <w:ind w:left="1440"/>
        <w:rPr>
          <w:i/>
        </w:rPr>
      </w:pPr>
      <w:r w:rsidRPr="00C60AD1">
        <w:rPr>
          <w:i/>
        </w:rPr>
        <w:t>(b) All unmetered connections including PTW, streetlights shall be metered by the licensee.</w:t>
      </w:r>
    </w:p>
    <w:p w:rsidR="00C34658" w:rsidRPr="00C60AD1" w:rsidRDefault="00C34658" w:rsidP="00C34658">
      <w:pPr>
        <w:pStyle w:val="Heading3"/>
        <w:numPr>
          <w:ilvl w:val="0"/>
          <w:numId w:val="0"/>
        </w:numPr>
        <w:ind w:left="1440"/>
        <w:rPr>
          <w:i/>
        </w:rPr>
      </w:pPr>
      <w:r w:rsidRPr="00C60AD1">
        <w:rPr>
          <w:i/>
        </w:rPr>
        <w:t>(c) The Licensee shall not supply electricity to any person, except through installation of a correct meter in accordance with the regulations to be made by the Central Electricity Authority under Electricity Act, 2003.]</w:t>
      </w:r>
    </w:p>
    <w:p w:rsidR="00C34658" w:rsidRPr="00C60AD1" w:rsidRDefault="00C34658" w:rsidP="00C34658">
      <w:pPr>
        <w:pStyle w:val="Heading3"/>
        <w:numPr>
          <w:ilvl w:val="0"/>
          <w:numId w:val="0"/>
        </w:numPr>
        <w:ind w:left="1440"/>
        <w:rPr>
          <w:i/>
        </w:rPr>
      </w:pPr>
      <w:r w:rsidRPr="00C60AD1">
        <w:rPr>
          <w:i/>
        </w:rPr>
        <w:t>Provided that the Commission may, by notification, extend the said period for a class or classes of persons or for such area as may be specified in that notification.</w:t>
      </w:r>
    </w:p>
    <w:p w:rsidR="00C34658" w:rsidRPr="00C60AD1" w:rsidRDefault="00C34658" w:rsidP="00C34658">
      <w:pPr>
        <w:pStyle w:val="Heading3"/>
        <w:numPr>
          <w:ilvl w:val="0"/>
          <w:numId w:val="0"/>
        </w:numPr>
        <w:ind w:left="1440"/>
        <w:rPr>
          <w:i/>
        </w:rPr>
      </w:pPr>
      <w:r w:rsidRPr="00C60AD1">
        <w:rPr>
          <w:i/>
        </w:rPr>
        <w:t>2 [Provided also that if a person makes default in complying with the provisions contained in the clauses 5.1(a), (b) and (c), UPERC may make such order as it thinks fit for requiring the default to be made good by the generating company or licensee or by any officer of a company or other association or any person who is responsible for the default.”</w:t>
      </w:r>
    </w:p>
    <w:p w:rsidR="006C08CE" w:rsidRDefault="00C34658" w:rsidP="006C08CE">
      <w:pPr>
        <w:pStyle w:val="Heading3"/>
        <w:tabs>
          <w:tab w:val="clear" w:pos="720"/>
        </w:tabs>
        <w:spacing w:after="240"/>
        <w:ind w:left="994" w:hanging="994"/>
      </w:pPr>
      <w:r w:rsidRPr="00C60AD1">
        <w:t>From the above, it is evident that metering of consumers is essential. However, by not complying with the above, the Distribution Licensee is contravening and is in default of above provisions / Regulations. The Distribution Licensee must demonstrate on best effort basis, their will and intent to comply with the provisions of the Act and Regulations, failing which they are liable for being dealt with appropriately as per provisions of the Act / Regulations.</w:t>
      </w:r>
    </w:p>
    <w:p w:rsidR="00023318" w:rsidRDefault="00C34658" w:rsidP="006C08CE">
      <w:pPr>
        <w:pStyle w:val="Heading3"/>
        <w:tabs>
          <w:tab w:val="clear" w:pos="720"/>
        </w:tabs>
        <w:spacing w:after="240"/>
        <w:ind w:left="994" w:hanging="994"/>
      </w:pPr>
      <w:r w:rsidRPr="00C60AD1">
        <w:t xml:space="preserve">The Distribution Losses of the Distribution Licensees are at higher level and the major reasons for the same is larger number of unmetered connections, which ultimately leads to disallowance of power purchase cost on one hand and loss of revenue on the other hand. Thus, it becomes extremely necessary </w:t>
      </w:r>
      <w:r w:rsidRPr="00C60AD1">
        <w:lastRenderedPageBreak/>
        <w:t>for the Distribution Licensee to ensure that it achieves the target of 100% metering within its distribution area.</w:t>
      </w:r>
    </w:p>
    <w:p w:rsidR="00023318" w:rsidRDefault="00C34658" w:rsidP="00023318">
      <w:pPr>
        <w:pStyle w:val="Heading3"/>
        <w:tabs>
          <w:tab w:val="clear" w:pos="720"/>
        </w:tabs>
        <w:spacing w:after="240"/>
        <w:ind w:left="993" w:hanging="993"/>
      </w:pPr>
      <w:r w:rsidRPr="00C60AD1">
        <w:t xml:space="preserve">Although bound by the various provisions of the Electricity Act, 2003, various Regulations, and several directions given by the Commission, the Distribution Licensee has not been able to improve the metering status in its distribution area. The Commission opines that part of the problem has arisen because of lack of strong will power and determination of the Distribution Licensee to tackle the above issue and part of the problem has been due to the resistance that the Distribution Licensee faces in this regard.  The Commission is of the view that a solution to the above problem can only be evolved if both the consumers and the Distribution Licensee work together under the supervision of the Commission to achieve the goal of 100% metering. </w:t>
      </w:r>
    </w:p>
    <w:p w:rsidR="00023318" w:rsidRDefault="00C34658" w:rsidP="00023318">
      <w:pPr>
        <w:pStyle w:val="Heading3"/>
        <w:tabs>
          <w:tab w:val="clear" w:pos="720"/>
        </w:tabs>
        <w:spacing w:after="240"/>
        <w:ind w:left="993" w:hanging="993"/>
      </w:pPr>
      <w:r w:rsidRPr="008B0C65">
        <w:t xml:space="preserve">In view of the above, to encourage the unmetered consumers to shift to metered connections the Commission in its Tariff Order for FY 2014-15 dated October 1, 2014, reduced the energy charge for such consumers who shift from unmetered to metered category to some extent. Further to discourage the unmetered connections, the Commission has also increased the Tariff for unmetered category of consumers, for instance the tariff for rural domestic consumers was specified based on per kW / month from the existing per / connection / month. </w:t>
      </w:r>
    </w:p>
    <w:p w:rsidR="00023318" w:rsidRDefault="00C34658" w:rsidP="00023318">
      <w:pPr>
        <w:pStyle w:val="Heading3"/>
        <w:tabs>
          <w:tab w:val="clear" w:pos="720"/>
        </w:tabs>
        <w:spacing w:after="240"/>
        <w:ind w:left="993" w:hanging="993"/>
      </w:pPr>
      <w:r w:rsidRPr="008B0C65">
        <w:t>However, considering the general grievance of many consumers under LMV-1 (a) and LMV-2 (a) categories having load up</w:t>
      </w:r>
      <w:r w:rsidR="00AB309A">
        <w:t xml:space="preserve"> </w:t>
      </w:r>
      <w:r w:rsidRPr="008B0C65">
        <w:t xml:space="preserve">to 2 kW that their contracted load is higher than their actual load, the Commission vide letter no. UPERC / Secy / D(Tariff) / 14-1153 dated October 14, 2014 directed the Licensees to ascertain the actual load of consumer and accorded a time period of 3 months to complete such exercise and till such time for such sub-categories the tariff rate as per Tariff Order for FY 2013-14 was made applicable by the Commission. Further, vide letter no. UPERC / Secy / D(Tariff) / 15-1839 dated January 28, 2015, the Commission has extended the relief to the above categories of consumers till March 31, 2015 and directed the Licensees to prioritize the exercise and get it completed by March 31, 2015. </w:t>
      </w:r>
    </w:p>
    <w:p w:rsidR="00023318" w:rsidRDefault="00C34658" w:rsidP="00023318">
      <w:pPr>
        <w:pStyle w:val="Heading3"/>
        <w:tabs>
          <w:tab w:val="clear" w:pos="720"/>
        </w:tabs>
        <w:spacing w:after="240"/>
        <w:ind w:left="993" w:hanging="993"/>
      </w:pPr>
      <w:r w:rsidRPr="008B0C65">
        <w:t xml:space="preserve">Further, the Commission vide letter no. UPERC / D(T) 2015-475 dated June 03, 2015 in the matter of Load ascertainment for Rural Consumers &amp; Metering has directed the Distribution Licensees to confirm the status of the compliance to </w:t>
      </w:r>
      <w:r w:rsidRPr="008B0C65">
        <w:lastRenderedPageBreak/>
        <w:t xml:space="preserve">the above directive presuming that appropriate action have already been taken by the Licensees. </w:t>
      </w:r>
    </w:p>
    <w:p w:rsidR="00023318" w:rsidRDefault="00C34658" w:rsidP="00023318">
      <w:pPr>
        <w:pStyle w:val="Heading3"/>
        <w:tabs>
          <w:tab w:val="clear" w:pos="720"/>
        </w:tabs>
        <w:spacing w:after="240"/>
        <w:ind w:left="993" w:hanging="993"/>
      </w:pPr>
      <w:r w:rsidRPr="008B0C65">
        <w:t>To encourage the consumers to get metered connection, the Commission in its Order</w:t>
      </w:r>
      <w:r>
        <w:t>s</w:t>
      </w:r>
      <w:r w:rsidRPr="008B0C65">
        <w:t xml:space="preserve"> for FY 2014-15 </w:t>
      </w:r>
      <w:r>
        <w:t>and FY 2015-16</w:t>
      </w:r>
      <w:r w:rsidR="00620172">
        <w:t xml:space="preserve"> </w:t>
      </w:r>
      <w:r w:rsidRPr="008B0C65">
        <w:t xml:space="preserve">has also specified that the Cost of meter may be borne initially by the Licensee which shall be adjusted in the consumers’ bill within 6 months of time and the above scheme was made applicable only for the consumers who install the meters by March 31, 2015. </w:t>
      </w:r>
    </w:p>
    <w:p w:rsidR="00023318" w:rsidRDefault="00C34658" w:rsidP="00023318">
      <w:pPr>
        <w:pStyle w:val="Heading3"/>
        <w:tabs>
          <w:tab w:val="clear" w:pos="720"/>
        </w:tabs>
        <w:spacing w:after="240"/>
        <w:ind w:left="993" w:hanging="993"/>
        <w:rPr>
          <w:b/>
        </w:rPr>
      </w:pPr>
      <w:r w:rsidRPr="008B0C65">
        <w:rPr>
          <w:b/>
        </w:rPr>
        <w:t xml:space="preserve">Thus, in line with the direction provided by the Commission in earlier Orders, the Commission has decided to retain the provisions and directs the Licensee that that the Cost of meter may be borne initially by the Licensee which shall be adjusted in the consumers’ bill within 6 months of time and this scheme would be applicable only for the unmetered consumers who install the meters by March 31, 2017. </w:t>
      </w:r>
    </w:p>
    <w:p w:rsidR="00023318" w:rsidRDefault="00C34658" w:rsidP="00023318">
      <w:pPr>
        <w:pStyle w:val="Heading3"/>
        <w:tabs>
          <w:tab w:val="clear" w:pos="720"/>
        </w:tabs>
        <w:spacing w:after="240"/>
        <w:ind w:left="993" w:hanging="993"/>
      </w:pPr>
      <w:r w:rsidRPr="008B0C65">
        <w:t xml:space="preserve">The Commission vide its Order dated May 29, 2015, </w:t>
      </w:r>
      <w:r w:rsidR="00415910">
        <w:t>i</w:t>
      </w:r>
      <w:r w:rsidRPr="008B0C65">
        <w:t>n Suo-Mot</w:t>
      </w:r>
      <w:r w:rsidR="00757B08">
        <w:t>o</w:t>
      </w:r>
      <w:r w:rsidRPr="008B0C65">
        <w:t xml:space="preserve"> proceedings on provisional billing in case of defective meters/normative consumption for unmetered consumers &amp; facilitation charges done through internet, directed that in case of defective meters, the Licensees have to use the normative consumption billing method as per the provisions specified in the Electricity Supply Code, 2005 and for the consumers with no meters (i.e. in the case where the consumers were given metered connection but meters are not yet installed) the provisional billing shall continue only for a maximum period of two billing cycles, during which the Licensees should ensure the meters get installed. Thereafter, the Licensees shall not be entitled to raise any bill from the consumers without installation of meters and the revenue loss on this account will be borne by the Licensees which will also be considered as deemed revenue.</w:t>
      </w:r>
    </w:p>
    <w:p w:rsidR="00023318" w:rsidRDefault="00C34658" w:rsidP="00023318">
      <w:pPr>
        <w:pStyle w:val="Heading3"/>
        <w:tabs>
          <w:tab w:val="clear" w:pos="720"/>
        </w:tabs>
        <w:spacing w:after="240"/>
        <w:ind w:left="993" w:hanging="993"/>
      </w:pPr>
      <w:r>
        <w:t>The D</w:t>
      </w:r>
      <w:r w:rsidRPr="00A61268">
        <w:t xml:space="preserve">istribution </w:t>
      </w:r>
      <w:r>
        <w:t>L</w:t>
      </w:r>
      <w:r w:rsidRPr="00A61268">
        <w:t>icensees</w:t>
      </w:r>
      <w:r w:rsidRPr="008B0C65">
        <w:t xml:space="preserve"> aggrieved by the above Order of the Commission filed an affidavit on June 04, 2015 in which it informed the Commission about the practical difficulties being faced on installation of meters and thus requested the Commission to extend the period of</w:t>
      </w:r>
      <w:r w:rsidR="00757B08">
        <w:t xml:space="preserve"> </w:t>
      </w:r>
      <w:r w:rsidRPr="008B0C65">
        <w:t>provisional billing from two months to six months by which time licensees were hopeful of arranging the meters and installing them.</w:t>
      </w:r>
    </w:p>
    <w:p w:rsidR="00023318" w:rsidRDefault="00C34658" w:rsidP="00023318">
      <w:pPr>
        <w:pStyle w:val="Heading3"/>
        <w:tabs>
          <w:tab w:val="clear" w:pos="720"/>
        </w:tabs>
        <w:spacing w:after="240"/>
        <w:ind w:left="993" w:hanging="993"/>
      </w:pPr>
      <w:r w:rsidRPr="008B0C65">
        <w:t xml:space="preserve">The Commission vide its Order dated August 21, 2015 allowed the </w:t>
      </w:r>
      <w:r>
        <w:t>D</w:t>
      </w:r>
      <w:r w:rsidRPr="008B0C65">
        <w:t xml:space="preserve">istribution </w:t>
      </w:r>
      <w:r>
        <w:t>L</w:t>
      </w:r>
      <w:r w:rsidRPr="008B0C65">
        <w:t>icensees to</w:t>
      </w:r>
      <w:r w:rsidR="00757B08">
        <w:t xml:space="preserve"> </w:t>
      </w:r>
      <w:r w:rsidRPr="008B0C65">
        <w:t>install meters at all the un-metered urban consumers up</w:t>
      </w:r>
      <w:r w:rsidR="00415910">
        <w:t xml:space="preserve"> </w:t>
      </w:r>
      <w:r w:rsidRPr="008B0C65">
        <w:t xml:space="preserve">to </w:t>
      </w:r>
      <w:r w:rsidRPr="008B0C65">
        <w:lastRenderedPageBreak/>
        <w:t>October 31, 2015 beyond which</w:t>
      </w:r>
      <w:r w:rsidR="00757B08">
        <w:t xml:space="preserve"> </w:t>
      </w:r>
      <w:r w:rsidRPr="008B0C65">
        <w:t>the licensees will not be entitled to raise any bill from the consumers, and reiterated that</w:t>
      </w:r>
      <w:r w:rsidR="00757B08">
        <w:t xml:space="preserve"> </w:t>
      </w:r>
      <w:r w:rsidRPr="008B0C65">
        <w:t>the loss of revenue on this account shall be borne by the licenses, and the same will be</w:t>
      </w:r>
      <w:r w:rsidR="00757B08">
        <w:t xml:space="preserve"> </w:t>
      </w:r>
      <w:r w:rsidRPr="008B0C65">
        <w:t>considered as deemed revenue.</w:t>
      </w:r>
    </w:p>
    <w:p w:rsidR="00023318" w:rsidRDefault="00C34658" w:rsidP="00023318">
      <w:pPr>
        <w:pStyle w:val="Heading3"/>
        <w:tabs>
          <w:tab w:val="clear" w:pos="720"/>
        </w:tabs>
        <w:spacing w:after="240"/>
        <w:ind w:left="993" w:hanging="993"/>
      </w:pPr>
      <w:r>
        <w:t xml:space="preserve">The Distribution Licensees filed a Petition on October 6, 2015 before the Commission in which it was submitted that </w:t>
      </w:r>
      <w:r w:rsidRPr="004E7C5D">
        <w:t xml:space="preserve">the </w:t>
      </w:r>
      <w:r>
        <w:t>L</w:t>
      </w:r>
      <w:r w:rsidRPr="004E7C5D">
        <w:t>icensees have started the installation of meters on war footing</w:t>
      </w:r>
      <w:r>
        <w:t xml:space="preserve"> </w:t>
      </w:r>
      <w:r w:rsidR="00415910">
        <w:t xml:space="preserve">and </w:t>
      </w:r>
      <w:r>
        <w:t xml:space="preserve">about </w:t>
      </w:r>
      <w:r w:rsidRPr="004E7C5D">
        <w:t>the problems faced by them in respect of some defiant consumers.</w:t>
      </w:r>
    </w:p>
    <w:p w:rsidR="00023318" w:rsidRDefault="00C34658" w:rsidP="00023318">
      <w:pPr>
        <w:pStyle w:val="Heading3"/>
        <w:tabs>
          <w:tab w:val="clear" w:pos="720"/>
        </w:tabs>
        <w:spacing w:after="240"/>
        <w:ind w:left="993" w:hanging="993"/>
      </w:pPr>
      <w:r>
        <w:t>During the hearing dated December 9, 2015 in the matter of “</w:t>
      </w:r>
      <w:r w:rsidRPr="008B0C65">
        <w:rPr>
          <w:i/>
        </w:rPr>
        <w:t>Installation of meters</w:t>
      </w:r>
      <w:r>
        <w:t>”</w:t>
      </w:r>
      <w:r w:rsidR="00757B08">
        <w:t xml:space="preserve"> </w:t>
      </w:r>
      <w:r w:rsidRPr="00AC6347">
        <w:rPr>
          <w:rFonts w:cs="TTE23FEB88t00"/>
          <w:szCs w:val="23"/>
        </w:rPr>
        <w:t>the representatives of the respective Licensees submitted the information about</w:t>
      </w:r>
      <w:r w:rsidR="00757B08">
        <w:rPr>
          <w:rFonts w:cs="TTE23FEB88t00"/>
          <w:szCs w:val="23"/>
        </w:rPr>
        <w:t xml:space="preserve"> </w:t>
      </w:r>
      <w:r>
        <w:rPr>
          <w:rFonts w:cs="TTE23FEB88t00"/>
          <w:szCs w:val="23"/>
        </w:rPr>
        <w:t>the st</w:t>
      </w:r>
      <w:r w:rsidRPr="00AC6347">
        <w:rPr>
          <w:rFonts w:cs="TTE23FEB88t00"/>
          <w:szCs w:val="23"/>
        </w:rPr>
        <w:t>atus of metering in urban areas as provided below</w:t>
      </w:r>
      <w:r>
        <w:rPr>
          <w:rFonts w:cs="TTE23FEB88t00"/>
          <w:szCs w:val="23"/>
        </w:rPr>
        <w:t>:</w:t>
      </w:r>
    </w:p>
    <w:p w:rsidR="00C34658" w:rsidRDefault="00C34658" w:rsidP="00C34658">
      <w:pPr>
        <w:pStyle w:val="Heading3"/>
        <w:numPr>
          <w:ilvl w:val="0"/>
          <w:numId w:val="0"/>
        </w:numPr>
        <w:tabs>
          <w:tab w:val="clear" w:pos="720"/>
        </w:tabs>
        <w:ind w:left="993"/>
      </w:pPr>
      <w:bookmarkStart w:id="717" w:name="_Toc453367658"/>
      <w:bookmarkStart w:id="718" w:name="_Toc457355633"/>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9</w:t>
      </w:r>
      <w:r w:rsidR="004A2D9E" w:rsidRPr="00C60AD1">
        <w:rPr>
          <w:rFonts w:cs="Calibri"/>
          <w:b/>
          <w:sz w:val="22"/>
          <w:szCs w:val="22"/>
          <w:lang w:val="en-US"/>
        </w:rPr>
        <w:fldChar w:fldCharType="end"/>
      </w:r>
      <w:r w:rsidRPr="00C60AD1">
        <w:rPr>
          <w:rFonts w:cs="Calibri"/>
          <w:b/>
          <w:sz w:val="22"/>
          <w:szCs w:val="22"/>
          <w:lang w:val="en-US"/>
        </w:rPr>
        <w:t xml:space="preserve">: </w:t>
      </w:r>
      <w:r w:rsidRPr="008B0C65">
        <w:rPr>
          <w:rFonts w:cs="Calibri"/>
          <w:b/>
          <w:bCs w:val="0"/>
          <w:sz w:val="22"/>
          <w:szCs w:val="22"/>
          <w:lang w:val="en-US"/>
        </w:rPr>
        <w:t xml:space="preserve">NUMBER OF UN-METERED CONSUMERS AS SUBMITTED BY </w:t>
      </w:r>
      <w:r>
        <w:rPr>
          <w:rFonts w:cs="Calibri"/>
          <w:b/>
          <w:bCs w:val="0"/>
          <w:sz w:val="22"/>
          <w:szCs w:val="22"/>
          <w:lang w:val="en-US"/>
        </w:rPr>
        <w:t>PETITIONER</w:t>
      </w:r>
      <w:bookmarkEnd w:id="717"/>
      <w:bookmarkEnd w:id="718"/>
    </w:p>
    <w:tbl>
      <w:tblPr>
        <w:tblStyle w:val="TableGrid"/>
        <w:tblW w:w="4609" w:type="pct"/>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439"/>
        <w:gridCol w:w="1083"/>
        <w:gridCol w:w="988"/>
        <w:gridCol w:w="1170"/>
        <w:gridCol w:w="991"/>
        <w:gridCol w:w="989"/>
        <w:gridCol w:w="1530"/>
      </w:tblGrid>
      <w:tr w:rsidR="00F11916" w:rsidRPr="006466D3" w:rsidTr="00F11916">
        <w:trPr>
          <w:tblHeader/>
        </w:trPr>
        <w:tc>
          <w:tcPr>
            <w:tcW w:w="879"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cstheme="minorBidi"/>
                <w:b/>
                <w:sz w:val="22"/>
                <w:szCs w:val="22"/>
              </w:rPr>
              <w:t>Particulars</w:t>
            </w:r>
          </w:p>
        </w:tc>
        <w:tc>
          <w:tcPr>
            <w:tcW w:w="661" w:type="pct"/>
            <w:shd w:val="clear" w:color="auto" w:fill="DBE5F1" w:themeFill="accent1" w:themeFillTint="33"/>
            <w:vAlign w:val="center"/>
          </w:tcPr>
          <w:p w:rsidR="00C34658" w:rsidRPr="006466D3" w:rsidRDefault="006069BE" w:rsidP="00D55642">
            <w:pPr>
              <w:spacing w:before="0"/>
              <w:jc w:val="center"/>
              <w:rPr>
                <w:rFonts w:asciiTheme="minorHAnsi" w:hAnsiTheme="minorHAnsi"/>
                <w:b/>
                <w:color w:val="000000"/>
                <w:sz w:val="22"/>
                <w:szCs w:val="22"/>
              </w:rPr>
            </w:pPr>
            <w:r w:rsidRPr="006069BE">
              <w:rPr>
                <w:rFonts w:asciiTheme="minorHAnsi" w:hAnsiTheme="minorHAnsi"/>
                <w:b/>
                <w:color w:val="000000"/>
                <w:sz w:val="22"/>
                <w:szCs w:val="22"/>
              </w:rPr>
              <w:t>DVVNL</w:t>
            </w:r>
          </w:p>
        </w:tc>
        <w:tc>
          <w:tcPr>
            <w:tcW w:w="603"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MVVNL</w:t>
            </w:r>
          </w:p>
        </w:tc>
        <w:tc>
          <w:tcPr>
            <w:tcW w:w="71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PuVVNL</w:t>
            </w:r>
          </w:p>
        </w:tc>
        <w:tc>
          <w:tcPr>
            <w:tcW w:w="605"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PVVNL</w:t>
            </w:r>
          </w:p>
        </w:tc>
        <w:tc>
          <w:tcPr>
            <w:tcW w:w="60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KESCO</w:t>
            </w:r>
          </w:p>
        </w:tc>
        <w:tc>
          <w:tcPr>
            <w:tcW w:w="934" w:type="pct"/>
            <w:shd w:val="clear" w:color="auto" w:fill="DBE5F1" w:themeFill="accent1" w:themeFillTint="33"/>
            <w:vAlign w:val="center"/>
          </w:tcPr>
          <w:p w:rsidR="00C34658" w:rsidRPr="006466D3"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Consolidated</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 -1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714</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1724</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519</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2957</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 -2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160</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108</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268</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LMV-3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146</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98</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18</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262</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LMV-5</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2100</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51</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2151</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sz w:val="22"/>
                <w:szCs w:val="22"/>
              </w:rPr>
            </w:pPr>
            <w:r w:rsidRPr="007132A6">
              <w:rPr>
                <w:rFonts w:asciiTheme="minorHAnsi" w:hAnsiTheme="minorHAnsi"/>
                <w:sz w:val="22"/>
                <w:szCs w:val="22"/>
              </w:rPr>
              <w:t xml:space="preserve">LMV-8 </w:t>
            </w:r>
          </w:p>
        </w:tc>
        <w:tc>
          <w:tcPr>
            <w:tcW w:w="661"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262</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0</w:t>
            </w:r>
          </w:p>
        </w:tc>
        <w:tc>
          <w:tcPr>
            <w:tcW w:w="93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s="Arial"/>
                <w:sz w:val="22"/>
                <w:szCs w:val="22"/>
              </w:rPr>
              <w:t>262</w:t>
            </w:r>
          </w:p>
        </w:tc>
      </w:tr>
      <w:tr w:rsidR="00F11916" w:rsidRPr="006466D3" w:rsidTr="006466D3">
        <w:tc>
          <w:tcPr>
            <w:tcW w:w="879" w:type="pct"/>
            <w:vAlign w:val="center"/>
          </w:tcPr>
          <w:p w:rsidR="007132A6" w:rsidRPr="007132A6" w:rsidRDefault="007132A6" w:rsidP="007132A6">
            <w:pPr>
              <w:spacing w:before="0" w:line="240" w:lineRule="auto"/>
              <w:rPr>
                <w:rFonts w:asciiTheme="minorHAnsi" w:hAnsiTheme="minorHAnsi"/>
                <w:b/>
                <w:sz w:val="22"/>
                <w:szCs w:val="22"/>
              </w:rPr>
            </w:pPr>
            <w:r w:rsidRPr="007132A6">
              <w:rPr>
                <w:rFonts w:asciiTheme="minorHAnsi" w:hAnsiTheme="minorHAnsi"/>
                <w:b/>
                <w:sz w:val="22"/>
                <w:szCs w:val="22"/>
              </w:rPr>
              <w:t>Total</w:t>
            </w:r>
          </w:p>
        </w:tc>
        <w:tc>
          <w:tcPr>
            <w:tcW w:w="661" w:type="pct"/>
            <w:vAlign w:val="center"/>
          </w:tcPr>
          <w:p w:rsidR="007132A6" w:rsidRPr="007132A6" w:rsidRDefault="007132A6" w:rsidP="007132A6">
            <w:pPr>
              <w:spacing w:before="0" w:line="240" w:lineRule="auto"/>
              <w:jc w:val="right"/>
              <w:rPr>
                <w:rFonts w:asciiTheme="minorHAnsi" w:hAnsiTheme="minorHAnsi"/>
                <w:b/>
                <w:color w:val="000000"/>
                <w:sz w:val="22"/>
                <w:szCs w:val="22"/>
              </w:rPr>
            </w:pPr>
            <w:r w:rsidRPr="007132A6">
              <w:rPr>
                <w:rFonts w:asciiTheme="minorHAnsi" w:hAnsiTheme="minorHAnsi"/>
                <w:b/>
                <w:color w:val="000000"/>
                <w:sz w:val="22"/>
                <w:szCs w:val="22"/>
              </w:rPr>
              <w:t>0</w:t>
            </w:r>
          </w:p>
        </w:tc>
        <w:tc>
          <w:tcPr>
            <w:tcW w:w="603"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2508</w:t>
            </w:r>
          </w:p>
        </w:tc>
        <w:tc>
          <w:tcPr>
            <w:tcW w:w="71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714</w:t>
            </w:r>
          </w:p>
        </w:tc>
        <w:tc>
          <w:tcPr>
            <w:tcW w:w="605"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2033</w:t>
            </w:r>
          </w:p>
        </w:tc>
        <w:tc>
          <w:tcPr>
            <w:tcW w:w="604" w:type="pct"/>
            <w:vAlign w:val="center"/>
          </w:tcPr>
          <w:p w:rsidR="007132A6" w:rsidRPr="007132A6" w:rsidRDefault="007132A6" w:rsidP="007132A6">
            <w:pPr>
              <w:spacing w:before="0" w:line="240" w:lineRule="auto"/>
              <w:jc w:val="right"/>
              <w:rPr>
                <w:rFonts w:asciiTheme="minorHAnsi" w:hAnsiTheme="minorHAnsi"/>
                <w:color w:val="000000"/>
                <w:sz w:val="22"/>
                <w:szCs w:val="22"/>
              </w:rPr>
            </w:pPr>
            <w:r w:rsidRPr="007132A6">
              <w:rPr>
                <w:rFonts w:asciiTheme="minorHAnsi" w:hAnsiTheme="minorHAnsi"/>
                <w:color w:val="000000"/>
                <w:sz w:val="22"/>
                <w:szCs w:val="22"/>
              </w:rPr>
              <w:t>645</w:t>
            </w:r>
          </w:p>
        </w:tc>
        <w:tc>
          <w:tcPr>
            <w:tcW w:w="934" w:type="pct"/>
            <w:vAlign w:val="center"/>
          </w:tcPr>
          <w:p w:rsidR="007132A6" w:rsidRPr="007132A6" w:rsidRDefault="007132A6" w:rsidP="007132A6">
            <w:pPr>
              <w:spacing w:before="0" w:line="240" w:lineRule="auto"/>
              <w:jc w:val="right"/>
              <w:rPr>
                <w:rFonts w:asciiTheme="minorHAnsi" w:hAnsiTheme="minorHAnsi"/>
                <w:b/>
                <w:color w:val="000000"/>
                <w:sz w:val="22"/>
                <w:szCs w:val="22"/>
              </w:rPr>
            </w:pPr>
            <w:r w:rsidRPr="007132A6">
              <w:rPr>
                <w:rFonts w:asciiTheme="minorHAnsi" w:hAnsiTheme="minorHAnsi" w:cs="Arial"/>
                <w:sz w:val="22"/>
                <w:szCs w:val="22"/>
              </w:rPr>
              <w:t>5900</w:t>
            </w:r>
          </w:p>
        </w:tc>
      </w:tr>
    </w:tbl>
    <w:p w:rsidR="007132A6" w:rsidRDefault="00C34658" w:rsidP="007132A6">
      <w:pPr>
        <w:pStyle w:val="Heading3"/>
        <w:numPr>
          <w:ilvl w:val="0"/>
          <w:numId w:val="0"/>
        </w:numPr>
        <w:tabs>
          <w:tab w:val="clear" w:pos="720"/>
        </w:tabs>
        <w:spacing w:before="0" w:after="240"/>
        <w:ind w:firstLine="720"/>
        <w:rPr>
          <w:rFonts w:cs="TTE23FEB88t00"/>
          <w:i/>
          <w:sz w:val="22"/>
          <w:szCs w:val="23"/>
        </w:rPr>
      </w:pPr>
      <w:r w:rsidRPr="008B0C65">
        <w:rPr>
          <w:rFonts w:cs="TTE23FEB88t00"/>
          <w:i/>
          <w:sz w:val="22"/>
          <w:szCs w:val="23"/>
        </w:rPr>
        <w:t>#All the above figures are updated till November, 2015</w:t>
      </w:r>
    </w:p>
    <w:p w:rsidR="00023318" w:rsidRDefault="00C34658" w:rsidP="00023318">
      <w:pPr>
        <w:pStyle w:val="Heading3"/>
        <w:tabs>
          <w:tab w:val="clear" w:pos="720"/>
        </w:tabs>
        <w:spacing w:after="240"/>
        <w:ind w:left="993" w:hanging="993"/>
      </w:pPr>
      <w:r w:rsidRPr="008B0C65">
        <w:t>The Commission also observed some</w:t>
      </w:r>
      <w:r w:rsidR="00695E10">
        <w:t xml:space="preserve"> </w:t>
      </w:r>
      <w:r w:rsidRPr="008B0C65">
        <w:t>data discrepancies in the information submitted by the Licensees.</w:t>
      </w:r>
      <w:r w:rsidR="00695E10">
        <w:t xml:space="preserve"> </w:t>
      </w:r>
      <w:r w:rsidRPr="008B0C65">
        <w:t>However the Commission</w:t>
      </w:r>
      <w:r w:rsidR="00695E10">
        <w:t xml:space="preserve"> </w:t>
      </w:r>
      <w:r w:rsidRPr="008B0C65">
        <w:t>appreciate</w:t>
      </w:r>
      <w:r>
        <w:t>d</w:t>
      </w:r>
      <w:r w:rsidRPr="008B0C65">
        <w:t xml:space="preserve"> the efforts put in by the concerned officers of DVVNL, PuVVNL</w:t>
      </w:r>
      <w:r w:rsidR="00695E10">
        <w:t xml:space="preserve"> </w:t>
      </w:r>
      <w:r w:rsidRPr="008B0C65">
        <w:t>&amp;</w:t>
      </w:r>
      <w:r w:rsidR="00695E10">
        <w:t xml:space="preserve"> </w:t>
      </w:r>
      <w:r w:rsidRPr="008B0C65">
        <w:t>KESCo and</w:t>
      </w:r>
      <w:r w:rsidR="00695E10">
        <w:t xml:space="preserve"> </w:t>
      </w:r>
      <w:r w:rsidRPr="008B0C65">
        <w:t>further directs the MDs of MVVNL &amp; PVVNL to take strict action against the officers who</w:t>
      </w:r>
      <w:r w:rsidR="00695E10">
        <w:t xml:space="preserve"> </w:t>
      </w:r>
      <w:r w:rsidRPr="008B0C65">
        <w:t>have been responsible for not achieving the targets and intimate the Commission of the</w:t>
      </w:r>
      <w:r w:rsidR="00695E10">
        <w:t xml:space="preserve"> </w:t>
      </w:r>
      <w:r w:rsidRPr="008B0C65">
        <w:t>same.</w:t>
      </w:r>
    </w:p>
    <w:p w:rsidR="00023318" w:rsidRDefault="00C34658" w:rsidP="00023318">
      <w:pPr>
        <w:pStyle w:val="Heading3"/>
        <w:tabs>
          <w:tab w:val="clear" w:pos="720"/>
        </w:tabs>
        <w:spacing w:after="240"/>
        <w:ind w:left="993" w:hanging="993"/>
      </w:pPr>
      <w:r w:rsidRPr="0022269A">
        <w:rPr>
          <w:rFonts w:asciiTheme="minorHAnsi" w:hAnsiTheme="minorHAnsi" w:cs="TTE23FEB88t00"/>
          <w:szCs w:val="23"/>
        </w:rPr>
        <w:t>Further,</w:t>
      </w:r>
      <w:r w:rsidR="00B30CFE">
        <w:rPr>
          <w:rFonts w:asciiTheme="minorHAnsi" w:hAnsiTheme="minorHAnsi" w:cs="TTE23FEB88t00"/>
          <w:szCs w:val="23"/>
        </w:rPr>
        <w:t xml:space="preserve"> </w:t>
      </w:r>
      <w:r w:rsidRPr="0022269A">
        <w:rPr>
          <w:rFonts w:asciiTheme="minorHAnsi" w:hAnsiTheme="minorHAnsi" w:cs="TTE23FEB88t00"/>
          <w:szCs w:val="23"/>
        </w:rPr>
        <w:t xml:space="preserve">the Commission </w:t>
      </w:r>
      <w:r>
        <w:rPr>
          <w:rFonts w:asciiTheme="minorHAnsi" w:hAnsiTheme="minorHAnsi" w:cs="TTE23FEB88t00"/>
          <w:szCs w:val="23"/>
        </w:rPr>
        <w:t xml:space="preserve">in its Order dated December 21, 2015 </w:t>
      </w:r>
      <w:r w:rsidRPr="0022269A">
        <w:rPr>
          <w:rFonts w:asciiTheme="minorHAnsi" w:hAnsiTheme="minorHAnsi" w:cs="TTE23FEB88t00"/>
          <w:szCs w:val="23"/>
        </w:rPr>
        <w:t>direct</w:t>
      </w:r>
      <w:r>
        <w:rPr>
          <w:rFonts w:asciiTheme="minorHAnsi" w:hAnsiTheme="minorHAnsi" w:cs="TTE23FEB88t00"/>
          <w:szCs w:val="23"/>
        </w:rPr>
        <w:t>ed</w:t>
      </w:r>
      <w:r w:rsidRPr="0022269A">
        <w:rPr>
          <w:rFonts w:asciiTheme="minorHAnsi" w:hAnsiTheme="minorHAnsi" w:cs="TTE23FEB88t00"/>
          <w:szCs w:val="23"/>
        </w:rPr>
        <w:t xml:space="preserve"> the Licensees</w:t>
      </w:r>
      <w:r w:rsidR="00B30CFE">
        <w:rPr>
          <w:rFonts w:asciiTheme="minorHAnsi" w:hAnsiTheme="minorHAnsi" w:cs="TTE23FEB88t00"/>
          <w:szCs w:val="23"/>
        </w:rPr>
        <w:t xml:space="preserve"> </w:t>
      </w:r>
      <w:r w:rsidRPr="0022269A">
        <w:rPr>
          <w:rFonts w:asciiTheme="minorHAnsi" w:hAnsiTheme="minorHAnsi" w:cs="TTE23FEB88t00"/>
          <w:szCs w:val="23"/>
        </w:rPr>
        <w:t>to provisionally bill all such consumers who do not get the meters installed at their</w:t>
      </w:r>
      <w:r w:rsidR="00B30CFE">
        <w:rPr>
          <w:rFonts w:asciiTheme="minorHAnsi" w:hAnsiTheme="minorHAnsi" w:cs="TTE23FEB88t00"/>
          <w:szCs w:val="23"/>
        </w:rPr>
        <w:t xml:space="preserve"> </w:t>
      </w:r>
      <w:r w:rsidRPr="0022269A">
        <w:rPr>
          <w:rFonts w:asciiTheme="minorHAnsi" w:hAnsiTheme="minorHAnsi" w:cs="TTE23FEB88t00"/>
          <w:szCs w:val="23"/>
        </w:rPr>
        <w:t>premises, despite issuance of public as well as individual notices at the rate of 2 (Two) times</w:t>
      </w:r>
      <w:r w:rsidR="00B30CFE">
        <w:rPr>
          <w:rFonts w:asciiTheme="minorHAnsi" w:hAnsiTheme="minorHAnsi" w:cs="TTE23FEB88t00"/>
          <w:szCs w:val="23"/>
        </w:rPr>
        <w:t xml:space="preserve"> </w:t>
      </w:r>
      <w:r w:rsidRPr="0022269A">
        <w:rPr>
          <w:rFonts w:asciiTheme="minorHAnsi" w:hAnsiTheme="minorHAnsi" w:cs="TTE23FEB88t00"/>
          <w:szCs w:val="23"/>
        </w:rPr>
        <w:t>of the 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applicable at that time. For this purpose, a public notice</w:t>
      </w:r>
      <w:r w:rsidR="00B30CFE">
        <w:rPr>
          <w:rFonts w:asciiTheme="minorHAnsi" w:hAnsiTheme="minorHAnsi" w:cs="TTE23FEB88t00"/>
          <w:szCs w:val="23"/>
        </w:rPr>
        <w:t xml:space="preserve"> </w:t>
      </w:r>
      <w:r w:rsidRPr="0022269A">
        <w:rPr>
          <w:rFonts w:asciiTheme="minorHAnsi" w:hAnsiTheme="minorHAnsi" w:cs="TTE23FEB88t00"/>
          <w:szCs w:val="23"/>
        </w:rPr>
        <w:t>be published, requesting the remaining consumers to get the meters installed within a</w:t>
      </w:r>
      <w:r w:rsidR="00B30CFE">
        <w:rPr>
          <w:rFonts w:asciiTheme="minorHAnsi" w:hAnsiTheme="minorHAnsi" w:cs="TTE23FEB88t00"/>
          <w:szCs w:val="23"/>
        </w:rPr>
        <w:t xml:space="preserve"> </w:t>
      </w:r>
      <w:r w:rsidRPr="0022269A">
        <w:rPr>
          <w:rFonts w:asciiTheme="minorHAnsi" w:hAnsiTheme="minorHAnsi" w:cs="TTE23FEB88t00"/>
          <w:szCs w:val="23"/>
        </w:rPr>
        <w:t>maximum period of 7 (seven) days and simultaneously the licensees must serve individual</w:t>
      </w:r>
      <w:r w:rsidR="00B30CFE">
        <w:rPr>
          <w:rFonts w:asciiTheme="minorHAnsi" w:hAnsiTheme="minorHAnsi" w:cs="TTE23FEB88t00"/>
          <w:szCs w:val="23"/>
        </w:rPr>
        <w:t xml:space="preserve"> </w:t>
      </w:r>
      <w:r w:rsidRPr="0022269A">
        <w:rPr>
          <w:rFonts w:asciiTheme="minorHAnsi" w:hAnsiTheme="minorHAnsi" w:cs="TTE23FEB88t00"/>
          <w:szCs w:val="23"/>
        </w:rPr>
        <w:t>notices to all such consumers giving them15days’ time to get the meter installed, failing</w:t>
      </w:r>
      <w:r w:rsidR="00B30CFE">
        <w:rPr>
          <w:rFonts w:asciiTheme="minorHAnsi" w:hAnsiTheme="minorHAnsi" w:cs="TTE23FEB88t00"/>
          <w:szCs w:val="23"/>
        </w:rPr>
        <w:t xml:space="preserve"> </w:t>
      </w:r>
      <w:r w:rsidRPr="0022269A">
        <w:rPr>
          <w:rFonts w:asciiTheme="minorHAnsi" w:hAnsiTheme="minorHAnsi" w:cs="TTE23FEB88t00"/>
          <w:szCs w:val="23"/>
        </w:rPr>
        <w:t xml:space="preserve">which, the licensee will charge enhanced </w:t>
      </w:r>
      <w:r w:rsidRPr="0022269A">
        <w:rPr>
          <w:rFonts w:asciiTheme="minorHAnsi" w:hAnsiTheme="minorHAnsi" w:cs="TTE23FEB88t00"/>
          <w:szCs w:val="23"/>
        </w:rPr>
        <w:lastRenderedPageBreak/>
        <w:t>provisional billing @2 (Two) times of the</w:t>
      </w:r>
      <w:r w:rsidR="00B30CFE">
        <w:rPr>
          <w:rFonts w:asciiTheme="minorHAnsi" w:hAnsiTheme="minorHAnsi" w:cs="TTE23FEB88t00"/>
          <w:szCs w:val="23"/>
        </w:rPr>
        <w:t xml:space="preserve"> </w:t>
      </w:r>
      <w:r w:rsidRPr="0022269A">
        <w:rPr>
          <w:rFonts w:asciiTheme="minorHAnsi" w:hAnsiTheme="minorHAnsi" w:cs="TTE23FEB88t00"/>
          <w:szCs w:val="23"/>
        </w:rPr>
        <w:t>normative consumption rates</w:t>
      </w:r>
      <w:r w:rsidR="00B30CFE">
        <w:rPr>
          <w:rFonts w:asciiTheme="minorHAnsi" w:hAnsiTheme="minorHAnsi" w:cs="TTE23FEB88t00"/>
          <w:szCs w:val="23"/>
        </w:rPr>
        <w:t xml:space="preserve"> </w:t>
      </w:r>
      <w:r w:rsidRPr="0022269A">
        <w:rPr>
          <w:rFonts w:asciiTheme="minorHAnsi" w:hAnsiTheme="minorHAnsi" w:cs="TTE23FEB88t00"/>
          <w:szCs w:val="23"/>
        </w:rPr>
        <w:t>as applicable at that time. Consumers who have been served</w:t>
      </w:r>
      <w:r w:rsidR="00B30CFE">
        <w:rPr>
          <w:rFonts w:asciiTheme="minorHAnsi" w:hAnsiTheme="minorHAnsi" w:cs="TTE23FEB88t00"/>
          <w:szCs w:val="23"/>
        </w:rPr>
        <w:t xml:space="preserve"> </w:t>
      </w:r>
      <w:r w:rsidRPr="0022269A">
        <w:rPr>
          <w:rFonts w:asciiTheme="minorHAnsi" w:hAnsiTheme="minorHAnsi" w:cs="TTE23FEB88t00"/>
          <w:szCs w:val="23"/>
        </w:rPr>
        <w:t>such notices will not be under the ambit of the provision of the ‘Licensees not to be entitled</w:t>
      </w:r>
      <w:r w:rsidR="00B30CFE">
        <w:rPr>
          <w:rFonts w:asciiTheme="minorHAnsi" w:hAnsiTheme="minorHAnsi" w:cs="TTE23FEB88t00"/>
          <w:szCs w:val="23"/>
        </w:rPr>
        <w:t xml:space="preserve"> </w:t>
      </w:r>
      <w:r w:rsidRPr="0022269A">
        <w:rPr>
          <w:rFonts w:asciiTheme="minorHAnsi" w:hAnsiTheme="minorHAnsi" w:cs="TTE23FEB88t00"/>
          <w:szCs w:val="23"/>
        </w:rPr>
        <w:t>to raise any bill in case of unmetered consumers’ till a decision on their reply to the notice is</w:t>
      </w:r>
      <w:r w:rsidR="00B30CFE">
        <w:rPr>
          <w:rFonts w:asciiTheme="minorHAnsi" w:hAnsiTheme="minorHAnsi" w:cs="TTE23FEB88t00"/>
          <w:szCs w:val="23"/>
        </w:rPr>
        <w:t xml:space="preserve"> </w:t>
      </w:r>
      <w:r w:rsidRPr="0022269A">
        <w:rPr>
          <w:rFonts w:asciiTheme="minorHAnsi" w:hAnsiTheme="minorHAnsi" w:cs="TTE23FEB88t00"/>
          <w:szCs w:val="23"/>
        </w:rPr>
        <w:t>taken.</w:t>
      </w:r>
    </w:p>
    <w:p w:rsidR="00023318" w:rsidRDefault="00C34658" w:rsidP="00023318">
      <w:pPr>
        <w:pStyle w:val="Heading3"/>
        <w:tabs>
          <w:tab w:val="clear" w:pos="720"/>
        </w:tabs>
        <w:spacing w:after="240"/>
        <w:ind w:left="993" w:hanging="993"/>
        <w:rPr>
          <w:rFonts w:asciiTheme="minorHAnsi" w:hAnsiTheme="minorHAnsi" w:cs="TTE23FEB88t00"/>
          <w:szCs w:val="23"/>
        </w:rPr>
      </w:pPr>
      <w:r>
        <w:rPr>
          <w:rFonts w:asciiTheme="minorHAnsi" w:hAnsiTheme="minorHAnsi" w:cs="TTE23FEB88t00"/>
          <w:szCs w:val="23"/>
        </w:rPr>
        <w:t>In the said Order dated December 21, 2015 t</w:t>
      </w:r>
      <w:r w:rsidRPr="000518ED">
        <w:rPr>
          <w:rFonts w:asciiTheme="minorHAnsi" w:hAnsiTheme="minorHAnsi" w:cs="TTE23FEB88t00"/>
          <w:szCs w:val="23"/>
        </w:rPr>
        <w:t>he Commission direct</w:t>
      </w:r>
      <w:r>
        <w:rPr>
          <w:rFonts w:asciiTheme="minorHAnsi" w:hAnsiTheme="minorHAnsi" w:cs="TTE23FEB88t00"/>
          <w:szCs w:val="23"/>
        </w:rPr>
        <w:t>ed</w:t>
      </w:r>
      <w:r w:rsidRPr="000518ED">
        <w:rPr>
          <w:rFonts w:asciiTheme="minorHAnsi" w:hAnsiTheme="minorHAnsi" w:cs="TTE23FEB88t00"/>
          <w:szCs w:val="23"/>
        </w:rPr>
        <w:t xml:space="preserve"> that no Licensee will be entitled to raise any bill to the</w:t>
      </w:r>
      <w:r w:rsidRPr="008B0C65">
        <w:rPr>
          <w:rFonts w:asciiTheme="minorHAnsi" w:hAnsiTheme="minorHAnsi" w:cs="TTE23FEB88t00"/>
          <w:szCs w:val="23"/>
        </w:rPr>
        <w:t xml:space="preserve"> unmetered urban consumers from January</w:t>
      </w:r>
      <w:r>
        <w:rPr>
          <w:rFonts w:asciiTheme="minorHAnsi" w:hAnsiTheme="minorHAnsi" w:cs="TTE23FEB88t00"/>
          <w:szCs w:val="23"/>
        </w:rPr>
        <w:t xml:space="preserve"> 1</w:t>
      </w:r>
      <w:r w:rsidRPr="000518ED">
        <w:rPr>
          <w:rFonts w:asciiTheme="minorHAnsi" w:hAnsiTheme="minorHAnsi" w:cs="TTE23FEB88t00"/>
          <w:szCs w:val="23"/>
        </w:rPr>
        <w:t>, 2016,</w:t>
      </w:r>
      <w:r w:rsidR="00B30CFE">
        <w:rPr>
          <w:rFonts w:asciiTheme="minorHAnsi" w:hAnsiTheme="minorHAnsi" w:cs="TTE23FEB88t00"/>
          <w:szCs w:val="23"/>
        </w:rPr>
        <w:t xml:space="preserve"> </w:t>
      </w:r>
      <w:r w:rsidRPr="000518ED">
        <w:rPr>
          <w:rFonts w:asciiTheme="minorHAnsi" w:hAnsiTheme="minorHAnsi" w:cs="TTE23FEB88t00"/>
          <w:szCs w:val="23"/>
        </w:rPr>
        <w:t>provided such consumers have not</w:t>
      </w:r>
      <w:r w:rsidR="00B30CFE">
        <w:rPr>
          <w:rFonts w:asciiTheme="minorHAnsi" w:hAnsiTheme="minorHAnsi" w:cs="TTE23FEB88t00"/>
          <w:szCs w:val="23"/>
        </w:rPr>
        <w:t xml:space="preserve"> </w:t>
      </w:r>
      <w:r w:rsidRPr="000518ED">
        <w:rPr>
          <w:rFonts w:asciiTheme="minorHAnsi" w:hAnsiTheme="minorHAnsi" w:cs="TTE23FEB88t00"/>
          <w:szCs w:val="23"/>
        </w:rPr>
        <w:t>been issued notices to get the meters installed and till a decision on their reply to the notice</w:t>
      </w:r>
      <w:r w:rsidRPr="008B0C65">
        <w:rPr>
          <w:rFonts w:asciiTheme="minorHAnsi" w:hAnsiTheme="minorHAnsi" w:cs="TTE23FEB88t00"/>
          <w:szCs w:val="23"/>
        </w:rPr>
        <w:t xml:space="preserve"> is taken and the loss of revenue on this account shall be borne by the </w:t>
      </w:r>
      <w:r>
        <w:rPr>
          <w:rFonts w:asciiTheme="minorHAnsi" w:hAnsiTheme="minorHAnsi" w:cs="TTE23FEB88t00"/>
          <w:szCs w:val="23"/>
        </w:rPr>
        <w:t>L</w:t>
      </w:r>
      <w:r w:rsidRPr="000518ED">
        <w:rPr>
          <w:rFonts w:asciiTheme="minorHAnsi" w:hAnsiTheme="minorHAnsi" w:cs="TTE23FEB88t00"/>
          <w:szCs w:val="23"/>
        </w:rPr>
        <w:t>icense</w:t>
      </w:r>
      <w:r>
        <w:rPr>
          <w:rFonts w:asciiTheme="minorHAnsi" w:hAnsiTheme="minorHAnsi" w:cs="TTE23FEB88t00"/>
          <w:szCs w:val="23"/>
        </w:rPr>
        <w:t>e</w:t>
      </w:r>
      <w:r w:rsidRPr="000518ED">
        <w:rPr>
          <w:rFonts w:asciiTheme="minorHAnsi" w:hAnsiTheme="minorHAnsi" w:cs="TTE23FEB88t00"/>
          <w:szCs w:val="23"/>
        </w:rPr>
        <w:t>s, and the same</w:t>
      </w:r>
      <w:r w:rsidRPr="008B0C65">
        <w:rPr>
          <w:rFonts w:asciiTheme="minorHAnsi" w:hAnsiTheme="minorHAnsi" w:cs="TTE23FEB88t00"/>
          <w:szCs w:val="23"/>
        </w:rPr>
        <w:t xml:space="preserve"> will be considered as deemed revenue.</w:t>
      </w:r>
    </w:p>
    <w:p w:rsidR="00023318" w:rsidRDefault="00C34658" w:rsidP="00023318">
      <w:pPr>
        <w:pStyle w:val="Heading3"/>
        <w:tabs>
          <w:tab w:val="clear" w:pos="720"/>
        </w:tabs>
        <w:spacing w:after="240"/>
        <w:ind w:left="993" w:hanging="993"/>
        <w:rPr>
          <w:rFonts w:asciiTheme="minorHAnsi" w:hAnsiTheme="minorHAnsi" w:cs="TTE23FEB88t00"/>
          <w:szCs w:val="23"/>
        </w:rPr>
      </w:pPr>
      <w:r w:rsidRPr="00DC3649">
        <w:rPr>
          <w:rFonts w:asciiTheme="minorHAnsi" w:hAnsiTheme="minorHAnsi" w:cs="TTE23FEB88t00"/>
          <w:szCs w:val="23"/>
        </w:rPr>
        <w:t>In reply to the Commission’s deficiency note regarding number of unmetered connections up to FY 2014-15, the Petitioner has submitted the details as follows:</w:t>
      </w:r>
    </w:p>
    <w:p w:rsidR="00023318" w:rsidRPr="00023318" w:rsidRDefault="00023318" w:rsidP="006C08CE">
      <w:pPr>
        <w:spacing w:before="0"/>
        <w:jc w:val="center"/>
        <w:rPr>
          <w:rFonts w:asciiTheme="minorHAnsi" w:hAnsiTheme="minorHAnsi" w:cs="TTE23FEB88t00"/>
          <w:b/>
          <w:sz w:val="22"/>
          <w:szCs w:val="23"/>
          <w:lang w:val="en-US"/>
        </w:rPr>
      </w:pPr>
      <w:bookmarkStart w:id="719" w:name="_Toc457355634"/>
      <w:bookmarkStart w:id="720" w:name="_Toc396573974"/>
      <w:bookmarkStart w:id="721" w:name="_Toc399624075"/>
      <w:bookmarkStart w:id="722" w:name="_Toc453367659"/>
      <w:r w:rsidRPr="00023318">
        <w:rPr>
          <w:rFonts w:asciiTheme="minorHAnsi" w:hAnsiTheme="minorHAnsi" w:cs="TTE23FEB88t00"/>
          <w:b/>
          <w:sz w:val="22"/>
          <w:szCs w:val="23"/>
          <w:lang w:val="en-US"/>
        </w:rPr>
        <w:t xml:space="preserve">TABLE </w:t>
      </w:r>
      <w:r w:rsidR="004A2D9E" w:rsidRPr="00023318">
        <w:rPr>
          <w:rFonts w:asciiTheme="minorHAnsi" w:hAnsiTheme="minorHAnsi" w:cs="TTE23FEB88t00"/>
          <w:b/>
          <w:sz w:val="22"/>
          <w:szCs w:val="23"/>
          <w:lang w:val="en-US"/>
        </w:rPr>
        <w:fldChar w:fldCharType="begin"/>
      </w:r>
      <w:r w:rsidRPr="00023318">
        <w:rPr>
          <w:rFonts w:asciiTheme="minorHAnsi" w:hAnsiTheme="minorHAnsi" w:cs="TTE23FEB88t00"/>
          <w:b/>
          <w:sz w:val="22"/>
          <w:szCs w:val="23"/>
          <w:lang w:val="en-US"/>
        </w:rPr>
        <w:instrText xml:space="preserve"> STYLEREF 1 \s </w:instrText>
      </w:r>
      <w:r w:rsidR="004A2D9E" w:rsidRPr="00023318">
        <w:rPr>
          <w:rFonts w:asciiTheme="minorHAnsi" w:hAnsiTheme="minorHAnsi" w:cs="TTE23FEB88t00"/>
          <w:b/>
          <w:sz w:val="22"/>
          <w:szCs w:val="23"/>
          <w:lang w:val="en-US"/>
        </w:rPr>
        <w:fldChar w:fldCharType="separate"/>
      </w:r>
      <w:r w:rsidR="0011185B">
        <w:rPr>
          <w:rFonts w:asciiTheme="minorHAnsi" w:hAnsiTheme="minorHAnsi" w:cs="TTE23FEB88t00"/>
          <w:b/>
          <w:noProof/>
          <w:sz w:val="22"/>
          <w:szCs w:val="23"/>
          <w:lang w:val="en-US"/>
        </w:rPr>
        <w:t>5</w:t>
      </w:r>
      <w:r w:rsidR="004A2D9E" w:rsidRPr="00023318">
        <w:rPr>
          <w:rFonts w:asciiTheme="minorHAnsi" w:hAnsiTheme="minorHAnsi" w:cs="TTE23FEB88t00"/>
          <w:b/>
          <w:sz w:val="22"/>
          <w:szCs w:val="23"/>
          <w:lang w:val="en-US"/>
        </w:rPr>
        <w:fldChar w:fldCharType="end"/>
      </w:r>
      <w:r w:rsidRPr="00023318">
        <w:rPr>
          <w:rFonts w:asciiTheme="minorHAnsi" w:hAnsiTheme="minorHAnsi" w:cs="TTE23FEB88t00"/>
          <w:b/>
          <w:sz w:val="22"/>
          <w:szCs w:val="23"/>
          <w:lang w:val="en-US"/>
        </w:rPr>
        <w:noBreakHyphen/>
      </w:r>
      <w:r w:rsidR="004A2D9E" w:rsidRPr="00023318">
        <w:rPr>
          <w:rFonts w:asciiTheme="minorHAnsi" w:hAnsiTheme="minorHAnsi" w:cs="TTE23FEB88t00"/>
          <w:b/>
          <w:sz w:val="22"/>
          <w:szCs w:val="23"/>
          <w:lang w:val="en-US"/>
        </w:rPr>
        <w:fldChar w:fldCharType="begin"/>
      </w:r>
      <w:r w:rsidRPr="00023318">
        <w:rPr>
          <w:rFonts w:asciiTheme="minorHAnsi" w:hAnsiTheme="minorHAnsi" w:cs="TTE23FEB88t00"/>
          <w:b/>
          <w:sz w:val="22"/>
          <w:szCs w:val="23"/>
          <w:lang w:val="en-US"/>
        </w:rPr>
        <w:instrText xml:space="preserve"> SEQ Table \* ARABIC \s 1 </w:instrText>
      </w:r>
      <w:r w:rsidR="004A2D9E" w:rsidRPr="00023318">
        <w:rPr>
          <w:rFonts w:asciiTheme="minorHAnsi" w:hAnsiTheme="minorHAnsi" w:cs="TTE23FEB88t00"/>
          <w:b/>
          <w:sz w:val="22"/>
          <w:szCs w:val="23"/>
          <w:lang w:val="en-US"/>
        </w:rPr>
        <w:fldChar w:fldCharType="separate"/>
      </w:r>
      <w:r w:rsidR="0011185B">
        <w:rPr>
          <w:rFonts w:asciiTheme="minorHAnsi" w:hAnsiTheme="minorHAnsi" w:cs="TTE23FEB88t00"/>
          <w:b/>
          <w:noProof/>
          <w:sz w:val="22"/>
          <w:szCs w:val="23"/>
          <w:lang w:val="en-US"/>
        </w:rPr>
        <w:t>10</w:t>
      </w:r>
      <w:r w:rsidR="004A2D9E" w:rsidRPr="00023318">
        <w:rPr>
          <w:rFonts w:asciiTheme="minorHAnsi" w:hAnsiTheme="minorHAnsi" w:cs="TTE23FEB88t00"/>
          <w:b/>
          <w:sz w:val="22"/>
          <w:szCs w:val="23"/>
          <w:lang w:val="en-US"/>
        </w:rPr>
        <w:fldChar w:fldCharType="end"/>
      </w:r>
      <w:r w:rsidRPr="00023318">
        <w:rPr>
          <w:rFonts w:asciiTheme="minorHAnsi" w:hAnsiTheme="minorHAnsi" w:cs="TTE23FEB88t00"/>
          <w:b/>
          <w:sz w:val="22"/>
          <w:szCs w:val="23"/>
          <w:lang w:val="en-US"/>
        </w:rPr>
        <w:t>: NUMBER OF UN-METERED CONSUMERS AS SUBMITTED BY KESCO</w:t>
      </w:r>
      <w:bookmarkEnd w:id="719"/>
    </w:p>
    <w:tbl>
      <w:tblPr>
        <w:tblStyle w:val="TableGrid"/>
        <w:tblW w:w="4250" w:type="pct"/>
        <w:jc w:val="center"/>
        <w:tblInd w:w="-4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638"/>
        <w:gridCol w:w="1696"/>
        <w:gridCol w:w="1415"/>
        <w:gridCol w:w="1803"/>
      </w:tblGrid>
      <w:tr w:rsidR="003141A8" w:rsidRPr="00DC3649" w:rsidTr="003141A8">
        <w:trPr>
          <w:tblHeader/>
          <w:jc w:val="center"/>
        </w:trPr>
        <w:tc>
          <w:tcPr>
            <w:tcW w:w="1746" w:type="pct"/>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rsidR="003141A8" w:rsidRPr="00DC3649" w:rsidRDefault="00023318">
            <w:pPr>
              <w:spacing w:before="0"/>
              <w:jc w:val="center"/>
              <w:rPr>
                <w:rFonts w:asciiTheme="minorHAnsi" w:hAnsiTheme="minorHAnsi" w:cs="TTE23FEB88t00"/>
                <w:b/>
                <w:sz w:val="20"/>
                <w:szCs w:val="23"/>
              </w:rPr>
            </w:pPr>
            <w:r w:rsidRPr="00023318">
              <w:rPr>
                <w:rFonts w:asciiTheme="minorHAnsi" w:hAnsiTheme="minorHAnsi" w:cs="TTE23FEB88t00"/>
                <w:b/>
                <w:sz w:val="20"/>
                <w:szCs w:val="23"/>
              </w:rPr>
              <w:t>Particulars</w:t>
            </w:r>
          </w:p>
        </w:tc>
        <w:tc>
          <w:tcPr>
            <w:tcW w:w="1123" w:type="pct"/>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rsidR="003141A8" w:rsidRPr="00DC3649" w:rsidRDefault="00023318">
            <w:pPr>
              <w:spacing w:before="0"/>
              <w:jc w:val="center"/>
              <w:rPr>
                <w:rFonts w:asciiTheme="minorHAnsi" w:hAnsiTheme="minorHAnsi" w:cs="TTE23FEB88t00"/>
                <w:b/>
                <w:sz w:val="20"/>
                <w:szCs w:val="23"/>
              </w:rPr>
            </w:pPr>
            <w:r w:rsidRPr="00023318">
              <w:rPr>
                <w:rFonts w:asciiTheme="minorHAnsi" w:hAnsiTheme="minorHAnsi" w:cs="TTE23FEB88t00"/>
                <w:b/>
                <w:sz w:val="20"/>
                <w:szCs w:val="23"/>
              </w:rPr>
              <w:t>FY 2012-13</w:t>
            </w:r>
          </w:p>
        </w:tc>
        <w:tc>
          <w:tcPr>
            <w:tcW w:w="937" w:type="pct"/>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rsidR="003141A8" w:rsidRPr="00DC3649" w:rsidRDefault="00023318">
            <w:pPr>
              <w:spacing w:before="0"/>
              <w:jc w:val="center"/>
              <w:rPr>
                <w:rFonts w:asciiTheme="minorHAnsi" w:hAnsiTheme="minorHAnsi" w:cs="TTE23FEB88t00"/>
                <w:b/>
                <w:sz w:val="20"/>
                <w:szCs w:val="23"/>
              </w:rPr>
            </w:pPr>
            <w:r w:rsidRPr="00023318">
              <w:rPr>
                <w:rFonts w:asciiTheme="minorHAnsi" w:hAnsiTheme="minorHAnsi" w:cs="TTE23FEB88t00"/>
                <w:b/>
                <w:sz w:val="20"/>
                <w:szCs w:val="23"/>
              </w:rPr>
              <w:t>FY 2013-14</w:t>
            </w:r>
          </w:p>
        </w:tc>
        <w:tc>
          <w:tcPr>
            <w:tcW w:w="1194" w:type="pct"/>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rsidR="003141A8" w:rsidRPr="00DC3649" w:rsidRDefault="00023318" w:rsidP="00CB2269">
            <w:pPr>
              <w:spacing w:before="0"/>
              <w:jc w:val="center"/>
              <w:rPr>
                <w:rFonts w:asciiTheme="minorHAnsi" w:hAnsiTheme="minorHAnsi" w:cs="TTE23FEB88t00"/>
                <w:b/>
                <w:sz w:val="20"/>
                <w:szCs w:val="23"/>
              </w:rPr>
            </w:pPr>
            <w:r w:rsidRPr="00023318">
              <w:rPr>
                <w:rFonts w:asciiTheme="minorHAnsi" w:hAnsiTheme="minorHAnsi" w:cs="TTE23FEB88t00"/>
                <w:b/>
                <w:sz w:val="20"/>
                <w:szCs w:val="23"/>
              </w:rPr>
              <w:t>FY 2014-15</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sz w:val="22"/>
                <w:szCs w:val="23"/>
              </w:rPr>
            </w:pPr>
            <w:r w:rsidRPr="00023318">
              <w:rPr>
                <w:rFonts w:asciiTheme="minorHAnsi" w:hAnsiTheme="minorHAnsi" w:cs="TTE23FEB88t00"/>
                <w:sz w:val="22"/>
                <w:szCs w:val="23"/>
              </w:rPr>
              <w:t>LMV – 1 Rural Domestic</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sz w:val="22"/>
                <w:szCs w:val="23"/>
              </w:rPr>
            </w:pPr>
            <w:r w:rsidRPr="00023318">
              <w:rPr>
                <w:rFonts w:asciiTheme="minorHAnsi" w:hAnsiTheme="minorHAnsi" w:cs="TTE23FEB88t00"/>
                <w:sz w:val="22"/>
                <w:szCs w:val="23"/>
              </w:rPr>
              <w:t>LMV – 2 Rural Commercial</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sz w:val="22"/>
                <w:szCs w:val="23"/>
              </w:rPr>
            </w:pPr>
            <w:r w:rsidRPr="00023318">
              <w:rPr>
                <w:rFonts w:asciiTheme="minorHAnsi" w:hAnsiTheme="minorHAnsi" w:cs="TTE23FEB88t00"/>
                <w:sz w:val="22"/>
                <w:szCs w:val="23"/>
              </w:rPr>
              <w:t>LMV-3 Public Lamps</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18</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18</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18</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sz w:val="22"/>
                <w:szCs w:val="23"/>
              </w:rPr>
            </w:pPr>
            <w:r w:rsidRPr="00023318">
              <w:rPr>
                <w:rFonts w:asciiTheme="minorHAnsi" w:hAnsiTheme="minorHAnsi" w:cs="TTE23FEB88t00"/>
                <w:sz w:val="22"/>
                <w:szCs w:val="23"/>
              </w:rPr>
              <w:t>LMV-5 PTW</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color w:val="000000"/>
                <w:sz w:val="22"/>
                <w:szCs w:val="23"/>
              </w:rPr>
            </w:pPr>
            <w:r w:rsidRPr="00023318">
              <w:rPr>
                <w:rFonts w:asciiTheme="minorHAnsi" w:hAnsiTheme="minorHAnsi" w:cs="TTE23FEB88t00"/>
                <w:color w:val="000000"/>
                <w:sz w:val="22"/>
                <w:szCs w:val="23"/>
              </w:rPr>
              <w:t>0</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b/>
                <w:sz w:val="22"/>
                <w:szCs w:val="23"/>
              </w:rPr>
            </w:pPr>
            <w:r w:rsidRPr="00023318">
              <w:rPr>
                <w:rFonts w:asciiTheme="minorHAnsi" w:hAnsiTheme="minorHAnsi" w:cs="TTE23FEB88t00"/>
                <w:sz w:val="22"/>
                <w:szCs w:val="23"/>
              </w:rPr>
              <w:t>LMV-8 State</w:t>
            </w:r>
            <w:r w:rsidRPr="00023318">
              <w:rPr>
                <w:rFonts w:asciiTheme="minorHAnsi" w:hAnsiTheme="minorHAnsi" w:cs="TTE23FEB88t00"/>
                <w:b/>
                <w:sz w:val="22"/>
                <w:szCs w:val="23"/>
              </w:rPr>
              <w:t xml:space="preserve"> Tube Wells</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b/>
                <w:sz w:val="22"/>
                <w:szCs w:val="23"/>
              </w:rPr>
            </w:pPr>
            <w:r w:rsidRPr="00023318">
              <w:rPr>
                <w:rFonts w:asciiTheme="minorHAnsi" w:hAnsiTheme="minorHAnsi" w:cs="TTE23FEB88t00"/>
                <w:b/>
                <w:sz w:val="22"/>
                <w:szCs w:val="23"/>
              </w:rPr>
              <w:t>LMV-9 Temporary Supply</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left"/>
              <w:rPr>
                <w:rFonts w:asciiTheme="minorHAnsi" w:hAnsiTheme="minorHAnsi" w:cs="TTE23FEB88t00"/>
                <w:b/>
                <w:sz w:val="22"/>
                <w:szCs w:val="23"/>
              </w:rPr>
            </w:pPr>
            <w:r w:rsidRPr="00023318">
              <w:rPr>
                <w:rFonts w:asciiTheme="minorHAnsi" w:hAnsiTheme="minorHAnsi" w:cs="TTE23FEB88t00"/>
                <w:b/>
                <w:sz w:val="22"/>
                <w:szCs w:val="23"/>
              </w:rPr>
              <w:t>LMV-10 Employees</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0</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4844</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3346</w:t>
            </w:r>
          </w:p>
        </w:tc>
      </w:tr>
      <w:tr w:rsidR="003141A8" w:rsidRPr="00DC3649" w:rsidTr="003141A8">
        <w:trPr>
          <w:jc w:val="center"/>
        </w:trPr>
        <w:tc>
          <w:tcPr>
            <w:tcW w:w="1746"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center"/>
              <w:rPr>
                <w:rFonts w:asciiTheme="minorHAnsi" w:hAnsiTheme="minorHAnsi" w:cs="TTE23FEB88t00"/>
                <w:b/>
                <w:color w:val="000000"/>
                <w:sz w:val="22"/>
                <w:szCs w:val="23"/>
              </w:rPr>
            </w:pPr>
            <w:r w:rsidRPr="00023318">
              <w:rPr>
                <w:rFonts w:asciiTheme="minorHAnsi" w:hAnsiTheme="minorHAnsi" w:cs="TTE23FEB88t00"/>
                <w:b/>
                <w:color w:val="000000"/>
                <w:sz w:val="22"/>
                <w:szCs w:val="23"/>
              </w:rPr>
              <w:t>Total</w:t>
            </w:r>
          </w:p>
        </w:tc>
        <w:tc>
          <w:tcPr>
            <w:tcW w:w="1123"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18</w:t>
            </w:r>
          </w:p>
        </w:tc>
        <w:tc>
          <w:tcPr>
            <w:tcW w:w="937"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4862</w:t>
            </w:r>
          </w:p>
        </w:tc>
        <w:tc>
          <w:tcPr>
            <w:tcW w:w="1194" w:type="pct"/>
            <w:tcBorders>
              <w:top w:val="dotted" w:sz="4" w:space="0" w:color="auto"/>
              <w:left w:val="dotted" w:sz="4" w:space="0" w:color="auto"/>
              <w:bottom w:val="dotted" w:sz="4" w:space="0" w:color="auto"/>
              <w:right w:val="dotted" w:sz="4" w:space="0" w:color="auto"/>
            </w:tcBorders>
            <w:vAlign w:val="center"/>
            <w:hideMark/>
          </w:tcPr>
          <w:p w:rsidR="003141A8" w:rsidRPr="00DC3649" w:rsidRDefault="00023318">
            <w:pPr>
              <w:spacing w:before="0"/>
              <w:jc w:val="right"/>
              <w:rPr>
                <w:rFonts w:asciiTheme="minorHAnsi" w:hAnsiTheme="minorHAnsi" w:cs="TTE23FEB88t00"/>
                <w:b/>
                <w:color w:val="000000"/>
                <w:sz w:val="22"/>
                <w:szCs w:val="23"/>
              </w:rPr>
            </w:pPr>
            <w:r w:rsidRPr="00023318">
              <w:rPr>
                <w:rFonts w:asciiTheme="minorHAnsi" w:hAnsiTheme="minorHAnsi" w:cs="TTE23FEB88t00"/>
                <w:b/>
                <w:color w:val="000000"/>
                <w:sz w:val="22"/>
                <w:szCs w:val="23"/>
              </w:rPr>
              <w:t>3364</w:t>
            </w:r>
          </w:p>
        </w:tc>
      </w:tr>
      <w:bookmarkEnd w:id="720"/>
      <w:bookmarkEnd w:id="721"/>
      <w:bookmarkEnd w:id="722"/>
    </w:tbl>
    <w:p w:rsidR="00023318" w:rsidRPr="00023318" w:rsidRDefault="00023318" w:rsidP="00023318">
      <w:pPr>
        <w:spacing w:before="0"/>
        <w:rPr>
          <w:rFonts w:asciiTheme="minorHAnsi" w:hAnsiTheme="minorHAnsi" w:cs="TTE23FEB88t00"/>
          <w:b/>
          <w:sz w:val="22"/>
          <w:szCs w:val="23"/>
          <w:highlight w:val="yellow"/>
          <w:lang w:val="en-US"/>
        </w:rPr>
      </w:pPr>
    </w:p>
    <w:p w:rsidR="00023318" w:rsidRDefault="00C34658" w:rsidP="00023318">
      <w:pPr>
        <w:pStyle w:val="Heading3"/>
        <w:tabs>
          <w:tab w:val="clear" w:pos="720"/>
        </w:tabs>
        <w:spacing w:after="240"/>
        <w:ind w:left="993" w:hanging="993"/>
      </w:pPr>
      <w:r w:rsidRPr="008B0C65">
        <w:t>It is observed that the Licensee has not been able to convert its consumers into metered connections since a very long time. It may be noted that the Commission in its Tariff Order dated May</w:t>
      </w:r>
      <w:r>
        <w:t xml:space="preserve"> 31</w:t>
      </w:r>
      <w:r w:rsidRPr="008B0C65">
        <w:t>, 2013 had directed the Petitioner as follows:</w:t>
      </w:r>
    </w:p>
    <w:p w:rsidR="00C34658" w:rsidRPr="00A25236" w:rsidRDefault="00C34658" w:rsidP="00C34658">
      <w:pPr>
        <w:pStyle w:val="Heading3"/>
        <w:numPr>
          <w:ilvl w:val="0"/>
          <w:numId w:val="0"/>
        </w:numPr>
        <w:ind w:left="1440"/>
        <w:rPr>
          <w:i/>
        </w:rPr>
      </w:pPr>
      <w:r w:rsidRPr="008B0C65">
        <w:rPr>
          <w:i/>
        </w:rPr>
        <w:t xml:space="preserve">“Commission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such </w:t>
      </w:r>
      <w:r w:rsidRPr="008B0C65">
        <w:rPr>
          <w:i/>
        </w:rPr>
        <w:lastRenderedPageBreak/>
        <w:t>un-metered categories shall be validated with norms approved by the Commission on the basis of above study carried out by the Licensee.”</w:t>
      </w:r>
    </w:p>
    <w:p w:rsidR="00023318" w:rsidRDefault="00C34658" w:rsidP="00023318">
      <w:pPr>
        <w:pStyle w:val="Heading3"/>
        <w:tabs>
          <w:tab w:val="clear" w:pos="720"/>
        </w:tabs>
        <w:spacing w:after="240"/>
        <w:ind w:left="993" w:hanging="993"/>
      </w:pPr>
      <w:r w:rsidRPr="008B0C65">
        <w:t xml:space="preserve">However, the Licensee has not submitted any explanation as to why it has not been able to convert the unmetered connections to metered connections since FY 2008-09. This clearly implies that the Petitioner has not been making its full efforts to convert the unmetered connections. </w:t>
      </w:r>
      <w:r w:rsidRPr="008B0C65">
        <w:rPr>
          <w:b/>
        </w:rPr>
        <w:t xml:space="preserve">Therefore, the Commission once again directs the Licensee to comply with the direction given by the Commission in this Order and accordingly put it sincere efforts </w:t>
      </w:r>
      <w:r>
        <w:rPr>
          <w:b/>
        </w:rPr>
        <w:t>for converting the unmetered consumers to metered consumers</w:t>
      </w:r>
      <w:r w:rsidRPr="008B0C65">
        <w:rPr>
          <w:b/>
        </w:rPr>
        <w:t>.</w:t>
      </w:r>
    </w:p>
    <w:p w:rsidR="00023318" w:rsidRDefault="00CB2269" w:rsidP="00023318">
      <w:pPr>
        <w:pStyle w:val="Heading3"/>
        <w:tabs>
          <w:tab w:val="clear" w:pos="720"/>
        </w:tabs>
        <w:spacing w:after="240"/>
        <w:ind w:left="993" w:hanging="993"/>
      </w:pPr>
      <w:r>
        <w:t>It may be noted that the Petitioner has not yet been able to convert the 18 consumers under LMV-3 category into metered connections as well as not yet submitted detailed explanation regarding the uncertainty observed for LMV-10 category as per the direction given in the Tariff Order for FY 2014-15 which is reproduced below:</w:t>
      </w:r>
    </w:p>
    <w:p w:rsidR="00CB2269" w:rsidRDefault="00CB2269" w:rsidP="00CB2269">
      <w:pPr>
        <w:pStyle w:val="Heading3"/>
        <w:numPr>
          <w:ilvl w:val="0"/>
          <w:numId w:val="0"/>
        </w:numPr>
        <w:spacing w:after="240"/>
        <w:ind w:left="1929"/>
        <w:rPr>
          <w:i/>
        </w:rPr>
      </w:pPr>
      <w:r>
        <w:rPr>
          <w:i/>
        </w:rPr>
        <w:t>“The Commission directs the Petitioner to ensure to convert all the 18 consumers under LMV-3 category into metered connections within one month of the issue of this Order failing which the Commission will resort to take stringent action against the Petitioner.”</w:t>
      </w:r>
    </w:p>
    <w:p w:rsidR="00CB2269" w:rsidRDefault="00CB2269" w:rsidP="00CB2269">
      <w:pPr>
        <w:pStyle w:val="Heading3"/>
        <w:numPr>
          <w:ilvl w:val="0"/>
          <w:numId w:val="0"/>
        </w:numPr>
        <w:spacing w:after="240"/>
        <w:ind w:left="1929"/>
        <w:rPr>
          <w:rFonts w:cs="Calibri"/>
          <w:i/>
          <w:color w:val="000000"/>
        </w:rPr>
      </w:pPr>
      <w:r>
        <w:rPr>
          <w:i/>
        </w:rPr>
        <w:t>“.....</w:t>
      </w:r>
      <w:r>
        <w:rPr>
          <w:rFonts w:cs="Calibri"/>
          <w:i/>
          <w:color w:val="000000"/>
        </w:rPr>
        <w:t>As regards the observed uncertainty in the billing determinants for LMV-10 category, the Commission directs the Petitioner to provide detailed explanation in this regards alongwith all the necessary supporting documents for verification of such data while filing for Truing-up of FY 2012-13.”</w:t>
      </w:r>
    </w:p>
    <w:p w:rsidR="00023318" w:rsidRDefault="00CB2269" w:rsidP="00023318">
      <w:pPr>
        <w:pStyle w:val="Heading3"/>
        <w:spacing w:after="240"/>
        <w:ind w:left="993" w:hanging="993"/>
      </w:pPr>
      <w:r>
        <w:t xml:space="preserve">     Therefore, the Commission once again directs the Licensee to comply with the direction given by the Commission in this Order. </w:t>
      </w:r>
    </w:p>
    <w:p w:rsidR="00023318" w:rsidRDefault="00023318" w:rsidP="00023318">
      <w:pPr>
        <w:pStyle w:val="Heading3"/>
        <w:numPr>
          <w:ilvl w:val="0"/>
          <w:numId w:val="0"/>
        </w:numPr>
        <w:spacing w:after="240"/>
        <w:ind w:left="993"/>
      </w:pPr>
    </w:p>
    <w:p w:rsidR="00C34658" w:rsidRPr="00C60AD1" w:rsidRDefault="00C34658" w:rsidP="00BA3941">
      <w:pPr>
        <w:pStyle w:val="Heading2"/>
        <w:numPr>
          <w:ilvl w:val="1"/>
          <w:numId w:val="14"/>
        </w:numPr>
      </w:pPr>
      <w:bookmarkStart w:id="723" w:name="_Toc455417341"/>
      <w:bookmarkStart w:id="724" w:name="_Toc455486859"/>
      <w:bookmarkStart w:id="725" w:name="_Toc455487158"/>
      <w:bookmarkStart w:id="726" w:name="_Toc455487525"/>
      <w:bookmarkStart w:id="727" w:name="_Toc455493952"/>
      <w:bookmarkStart w:id="728" w:name="_Toc455494252"/>
      <w:bookmarkStart w:id="729" w:name="_Toc455494549"/>
      <w:bookmarkStart w:id="730" w:name="_Toc455496277"/>
      <w:bookmarkStart w:id="731" w:name="_Toc455506996"/>
      <w:bookmarkStart w:id="732" w:name="_Toc455507293"/>
      <w:bookmarkStart w:id="733" w:name="_Toc455574938"/>
      <w:bookmarkStart w:id="734" w:name="_Toc455673549"/>
      <w:bookmarkStart w:id="735" w:name="_Toc455417342"/>
      <w:bookmarkStart w:id="736" w:name="_Toc455486860"/>
      <w:bookmarkStart w:id="737" w:name="_Toc455487159"/>
      <w:bookmarkStart w:id="738" w:name="_Toc455487526"/>
      <w:bookmarkStart w:id="739" w:name="_Toc455493953"/>
      <w:bookmarkStart w:id="740" w:name="_Toc455494253"/>
      <w:bookmarkStart w:id="741" w:name="_Toc455494550"/>
      <w:bookmarkStart w:id="742" w:name="_Toc455496278"/>
      <w:bookmarkStart w:id="743" w:name="_Toc455506997"/>
      <w:bookmarkStart w:id="744" w:name="_Toc455507294"/>
      <w:bookmarkStart w:id="745" w:name="_Toc455574939"/>
      <w:bookmarkStart w:id="746" w:name="_Toc455673550"/>
      <w:bookmarkStart w:id="747" w:name="_Toc455417343"/>
      <w:bookmarkStart w:id="748" w:name="_Toc455486861"/>
      <w:bookmarkStart w:id="749" w:name="_Toc455487160"/>
      <w:bookmarkStart w:id="750" w:name="_Toc455487352"/>
      <w:bookmarkStart w:id="751" w:name="_Toc455487527"/>
      <w:bookmarkStart w:id="752" w:name="_Toc455487719"/>
      <w:bookmarkStart w:id="753" w:name="_Toc455487786"/>
      <w:bookmarkStart w:id="754" w:name="_Toc455487854"/>
      <w:bookmarkStart w:id="755" w:name="_Toc455487922"/>
      <w:bookmarkStart w:id="756" w:name="_Toc455493578"/>
      <w:bookmarkStart w:id="757" w:name="_Toc455493647"/>
      <w:bookmarkStart w:id="758" w:name="_Toc455493779"/>
      <w:bookmarkStart w:id="759" w:name="_Toc455493954"/>
      <w:bookmarkStart w:id="760" w:name="_Toc455494254"/>
      <w:bookmarkStart w:id="761" w:name="_Toc455494551"/>
      <w:bookmarkStart w:id="762" w:name="_Toc455496279"/>
      <w:bookmarkStart w:id="763" w:name="_Toc455496471"/>
      <w:bookmarkStart w:id="764" w:name="_Toc455496541"/>
      <w:bookmarkStart w:id="765" w:name="_Toc455496612"/>
      <w:bookmarkStart w:id="766" w:name="_Toc455502181"/>
      <w:bookmarkStart w:id="767" w:name="_Toc455502311"/>
      <w:bookmarkStart w:id="768" w:name="_Toc455502417"/>
      <w:bookmarkStart w:id="769" w:name="_Toc455502690"/>
      <w:bookmarkStart w:id="770" w:name="_Toc455503225"/>
      <w:bookmarkStart w:id="771" w:name="_Toc455503483"/>
      <w:bookmarkStart w:id="772" w:name="_Toc455506750"/>
      <w:bookmarkStart w:id="773" w:name="_Toc455506823"/>
      <w:bookmarkStart w:id="774" w:name="_Toc455506998"/>
      <w:bookmarkStart w:id="775" w:name="_Toc455507295"/>
      <w:bookmarkStart w:id="776" w:name="_Toc455574940"/>
      <w:bookmarkStart w:id="777" w:name="_Toc455575141"/>
      <w:bookmarkStart w:id="778" w:name="_Toc455673551"/>
      <w:bookmarkStart w:id="779" w:name="_Toc455673757"/>
      <w:bookmarkStart w:id="780" w:name="_Toc455698151"/>
      <w:bookmarkStart w:id="781" w:name="_Toc455417432"/>
      <w:bookmarkStart w:id="782" w:name="_Toc455486950"/>
      <w:bookmarkStart w:id="783" w:name="_Toc455487249"/>
      <w:bookmarkStart w:id="784" w:name="_Toc455487616"/>
      <w:bookmarkStart w:id="785" w:name="_Toc455494043"/>
      <w:bookmarkStart w:id="786" w:name="_Toc455494343"/>
      <w:bookmarkStart w:id="787" w:name="_Toc455494640"/>
      <w:bookmarkStart w:id="788" w:name="_Toc455496368"/>
      <w:bookmarkStart w:id="789" w:name="_Toc455507087"/>
      <w:bookmarkStart w:id="790" w:name="_Toc455507384"/>
      <w:bookmarkStart w:id="791" w:name="_Toc455575029"/>
      <w:bookmarkStart w:id="792" w:name="_Toc455673640"/>
      <w:bookmarkStart w:id="793" w:name="_Toc455417433"/>
      <w:bookmarkStart w:id="794" w:name="_Toc455486951"/>
      <w:bookmarkStart w:id="795" w:name="_Toc455487250"/>
      <w:bookmarkStart w:id="796" w:name="_Toc455487617"/>
      <w:bookmarkStart w:id="797" w:name="_Toc455494044"/>
      <w:bookmarkStart w:id="798" w:name="_Toc455494344"/>
      <w:bookmarkStart w:id="799" w:name="_Toc455494641"/>
      <w:bookmarkStart w:id="800" w:name="_Toc455496369"/>
      <w:bookmarkStart w:id="801" w:name="_Toc455507088"/>
      <w:bookmarkStart w:id="802" w:name="_Toc455507385"/>
      <w:bookmarkStart w:id="803" w:name="_Toc455575030"/>
      <w:bookmarkStart w:id="804" w:name="_Toc455673641"/>
      <w:bookmarkStart w:id="805" w:name="_Toc455417434"/>
      <w:bookmarkStart w:id="806" w:name="_Toc455486952"/>
      <w:bookmarkStart w:id="807" w:name="_Toc455487251"/>
      <w:bookmarkStart w:id="808" w:name="_Toc455487618"/>
      <w:bookmarkStart w:id="809" w:name="_Toc455494045"/>
      <w:bookmarkStart w:id="810" w:name="_Toc455494345"/>
      <w:bookmarkStart w:id="811" w:name="_Toc455494642"/>
      <w:bookmarkStart w:id="812" w:name="_Toc455496370"/>
      <w:bookmarkStart w:id="813" w:name="_Toc455507089"/>
      <w:bookmarkStart w:id="814" w:name="_Toc455507386"/>
      <w:bookmarkStart w:id="815" w:name="_Toc455575031"/>
      <w:bookmarkStart w:id="816" w:name="_Toc455673642"/>
      <w:bookmarkStart w:id="817" w:name="_Toc455417435"/>
      <w:bookmarkStart w:id="818" w:name="_Toc455486953"/>
      <w:bookmarkStart w:id="819" w:name="_Toc455487252"/>
      <w:bookmarkStart w:id="820" w:name="_Toc455487619"/>
      <w:bookmarkStart w:id="821" w:name="_Toc455494046"/>
      <w:bookmarkStart w:id="822" w:name="_Toc455494346"/>
      <w:bookmarkStart w:id="823" w:name="_Toc455494643"/>
      <w:bookmarkStart w:id="824" w:name="_Toc455496371"/>
      <w:bookmarkStart w:id="825" w:name="_Toc455507090"/>
      <w:bookmarkStart w:id="826" w:name="_Toc455507387"/>
      <w:bookmarkStart w:id="827" w:name="_Toc455575032"/>
      <w:bookmarkStart w:id="828" w:name="_Toc455673643"/>
      <w:bookmarkStart w:id="829" w:name="_Toc455417436"/>
      <w:bookmarkStart w:id="830" w:name="_Toc455486954"/>
      <w:bookmarkStart w:id="831" w:name="_Toc455487253"/>
      <w:bookmarkStart w:id="832" w:name="_Toc455487620"/>
      <w:bookmarkStart w:id="833" w:name="_Toc455494047"/>
      <w:bookmarkStart w:id="834" w:name="_Toc455494347"/>
      <w:bookmarkStart w:id="835" w:name="_Toc455494644"/>
      <w:bookmarkStart w:id="836" w:name="_Toc455496372"/>
      <w:bookmarkStart w:id="837" w:name="_Toc455507091"/>
      <w:bookmarkStart w:id="838" w:name="_Toc455507388"/>
      <w:bookmarkStart w:id="839" w:name="_Toc455575033"/>
      <w:bookmarkStart w:id="840" w:name="_Toc455673644"/>
      <w:bookmarkStart w:id="841" w:name="_Toc455417437"/>
      <w:bookmarkStart w:id="842" w:name="_Toc455486955"/>
      <w:bookmarkStart w:id="843" w:name="_Toc455487254"/>
      <w:bookmarkStart w:id="844" w:name="_Toc455487621"/>
      <w:bookmarkStart w:id="845" w:name="_Toc455494048"/>
      <w:bookmarkStart w:id="846" w:name="_Toc455494348"/>
      <w:bookmarkStart w:id="847" w:name="_Toc455494645"/>
      <w:bookmarkStart w:id="848" w:name="_Toc455496373"/>
      <w:bookmarkStart w:id="849" w:name="_Toc455507092"/>
      <w:bookmarkStart w:id="850" w:name="_Toc455507389"/>
      <w:bookmarkStart w:id="851" w:name="_Toc455575034"/>
      <w:bookmarkStart w:id="852" w:name="_Toc455673645"/>
      <w:bookmarkStart w:id="853" w:name="_Toc455417438"/>
      <w:bookmarkStart w:id="854" w:name="_Toc455486956"/>
      <w:bookmarkStart w:id="855" w:name="_Toc455487255"/>
      <w:bookmarkStart w:id="856" w:name="_Toc455487622"/>
      <w:bookmarkStart w:id="857" w:name="_Toc455494049"/>
      <w:bookmarkStart w:id="858" w:name="_Toc455494349"/>
      <w:bookmarkStart w:id="859" w:name="_Toc455494646"/>
      <w:bookmarkStart w:id="860" w:name="_Toc455496374"/>
      <w:bookmarkStart w:id="861" w:name="_Toc455507093"/>
      <w:bookmarkStart w:id="862" w:name="_Toc455507390"/>
      <w:bookmarkStart w:id="863" w:name="_Toc455575035"/>
      <w:bookmarkStart w:id="864" w:name="_Toc455673646"/>
      <w:bookmarkStart w:id="865" w:name="_Toc455417439"/>
      <w:bookmarkStart w:id="866" w:name="_Toc455486957"/>
      <w:bookmarkStart w:id="867" w:name="_Toc455487256"/>
      <w:bookmarkStart w:id="868" w:name="_Toc455487623"/>
      <w:bookmarkStart w:id="869" w:name="_Toc455494050"/>
      <w:bookmarkStart w:id="870" w:name="_Toc455494350"/>
      <w:bookmarkStart w:id="871" w:name="_Toc455494647"/>
      <w:bookmarkStart w:id="872" w:name="_Toc455496375"/>
      <w:bookmarkStart w:id="873" w:name="_Toc455507094"/>
      <w:bookmarkStart w:id="874" w:name="_Toc455507391"/>
      <w:bookmarkStart w:id="875" w:name="_Toc455575036"/>
      <w:bookmarkStart w:id="876" w:name="_Toc455673647"/>
      <w:bookmarkStart w:id="877" w:name="_Toc419992314"/>
      <w:bookmarkStart w:id="878" w:name="_Toc420016250"/>
      <w:bookmarkStart w:id="879" w:name="_Toc420016294"/>
      <w:bookmarkStart w:id="880" w:name="_Toc420196328"/>
      <w:bookmarkStart w:id="881" w:name="_Toc420196410"/>
      <w:bookmarkStart w:id="882" w:name="_Toc420197579"/>
      <w:bookmarkStart w:id="883" w:name="_Toc453367478"/>
      <w:bookmarkStart w:id="884" w:name="_Toc453367601"/>
      <w:bookmarkStart w:id="885" w:name="_Toc396573825"/>
      <w:bookmarkStart w:id="886" w:name="_Toc399623723"/>
      <w:bookmarkStart w:id="887" w:name="_Toc453367602"/>
      <w:bookmarkStart w:id="888" w:name="_Toc457355488"/>
      <w:bookmarkStart w:id="889" w:name="_Toc419992293"/>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C60AD1">
        <w:t>DISTRIBUTION LOSSES AND ENERGY BALANCE</w:t>
      </w:r>
      <w:bookmarkEnd w:id="885"/>
      <w:bookmarkEnd w:id="886"/>
      <w:bookmarkEnd w:id="887"/>
      <w:bookmarkEnd w:id="888"/>
    </w:p>
    <w:p w:rsidR="00023318" w:rsidRDefault="00C34658" w:rsidP="00023318">
      <w:pPr>
        <w:pStyle w:val="Heading3"/>
        <w:tabs>
          <w:tab w:val="clear" w:pos="720"/>
        </w:tabs>
        <w:spacing w:after="240"/>
        <w:ind w:left="993" w:hanging="993"/>
      </w:pPr>
      <w:bookmarkStart w:id="890" w:name="_Toc357349053"/>
      <w:bookmarkStart w:id="891" w:name="_Toc357356106"/>
      <w:r w:rsidRPr="00C60AD1">
        <w:t>Based on review of actual performance of the Licensees, the Commission is of the view that there is ample room for reduction in distribution losses; however, the Licensee has failed to act upon the same. There is an urgent need to have an appreciable loss reduction trajectory and aggressive follow-up efforts to achieve it.</w:t>
      </w:r>
      <w:bookmarkEnd w:id="890"/>
      <w:bookmarkEnd w:id="891"/>
    </w:p>
    <w:p w:rsidR="00023318" w:rsidRDefault="00C34658" w:rsidP="00023318">
      <w:pPr>
        <w:pStyle w:val="Heading3"/>
        <w:tabs>
          <w:tab w:val="clear" w:pos="720"/>
        </w:tabs>
        <w:spacing w:after="240"/>
        <w:ind w:left="993" w:hanging="993"/>
      </w:pPr>
      <w:r w:rsidRPr="008B0C65">
        <w:lastRenderedPageBreak/>
        <w:t>In this regard, the Commission in its previous Tariff Orders, had directed the Distribution Licensees to conduct proper loss estimate studies for assessment of technical and commercial losses under its supervision and submit the report to the Commission so that the Commission may set the base line losses in accordance with Clause 3.2.3 and Clause 3.2.4 of the Distribution Tariff Regulations, 2006. The study shall segregate voltage-wise distribution losses into technical loss (i.e., Ohmic / Core loss in the lines, substations and equipment) and commercial loss (i.e., unaccounted energy due to metering inaccuracies / inadequacies, pilferage of energy, improper billing, no billing, bad debts, etc.). The Commission also directed the Licensee to complete the study and submit the report within 3 months of the Order, i.e., by August</w:t>
      </w:r>
      <w:r>
        <w:t xml:space="preserve"> 31</w:t>
      </w:r>
      <w:r w:rsidRPr="008B0C65">
        <w:t>, 2013.</w:t>
      </w:r>
    </w:p>
    <w:p w:rsidR="00023318" w:rsidRDefault="00C34658" w:rsidP="00023318">
      <w:pPr>
        <w:pStyle w:val="Heading3"/>
        <w:tabs>
          <w:tab w:val="clear" w:pos="720"/>
        </w:tabs>
        <w:spacing w:after="240"/>
        <w:ind w:left="993" w:hanging="993"/>
      </w:pPr>
      <w:r w:rsidRPr="008B0C65">
        <w:t>In this regard, the Distribution Licensees submitted that M/s PFC Consulting Ltd. has been appointed to draft a strategy paper for the turnaround of the Distribution Licensees, which covers the voltage wise loss studies.</w:t>
      </w:r>
    </w:p>
    <w:p w:rsidR="00023318" w:rsidRDefault="00C34658" w:rsidP="00023318">
      <w:pPr>
        <w:pStyle w:val="Heading3"/>
        <w:tabs>
          <w:tab w:val="clear" w:pos="720"/>
        </w:tabs>
        <w:spacing w:after="240"/>
        <w:ind w:left="993" w:hanging="993"/>
      </w:pPr>
      <w:bookmarkStart w:id="892" w:name="_Toc357349055"/>
      <w:bookmarkStart w:id="893" w:name="_Toc357356108"/>
      <w:r w:rsidRPr="008B0C65">
        <w:t xml:space="preserve">As per the current status of compliance of the Commission’s Directive, the petitioner has submitted that the PFC Consulting Ltd. has </w:t>
      </w:r>
      <w:r>
        <w:t>prepared</w:t>
      </w:r>
      <w:r w:rsidR="00B30CFE">
        <w:t xml:space="preserve"> </w:t>
      </w:r>
      <w:r w:rsidRPr="008B0C65">
        <w:t>a draft approach paper which is in discussion stage. Once the approach paper is finalized, the Petitioner would submit the same to the Commission. The Commission is of the view that the Petitioner should expedite the process as the time period allowed for conducting the study was 3 months. The Commission would like to reiterate that the distribution loss proposal of the Licensee should be based on correct energy audit data and supported by a report on the study carried out on such data. The Commission has been continuously stressing upon such study so that the appropriate target of distribution losses could be given to the Distribution Licensee.</w:t>
      </w:r>
      <w:bookmarkEnd w:id="892"/>
      <w:bookmarkEnd w:id="893"/>
    </w:p>
    <w:p w:rsidR="00023318" w:rsidRDefault="00C34658" w:rsidP="00023318">
      <w:pPr>
        <w:pStyle w:val="Heading3"/>
        <w:tabs>
          <w:tab w:val="clear" w:pos="720"/>
        </w:tabs>
        <w:spacing w:after="240"/>
        <w:ind w:left="993" w:hanging="993"/>
      </w:pPr>
      <w:bookmarkStart w:id="894" w:name="_Toc357349056"/>
      <w:bookmarkStart w:id="895" w:name="_Toc357356109"/>
      <w:r w:rsidRPr="00C60AD1">
        <w:t>The State owned Distribution Licensee</w:t>
      </w:r>
      <w:r>
        <w:t>s</w:t>
      </w:r>
      <w:r w:rsidRPr="00C60AD1">
        <w:t xml:space="preserve"> namely, MVVNL, PVVNL, DVVNL, PuVVNL and KESCO in their ARR Petition for FY </w:t>
      </w:r>
      <w:r>
        <w:t>2016-17</w:t>
      </w:r>
      <w:r w:rsidRPr="00C60AD1">
        <w:t xml:space="preserve"> have projected the following Distribution Losses for FY </w:t>
      </w:r>
      <w:r>
        <w:t>2016-17</w:t>
      </w:r>
      <w:r w:rsidRPr="00C60AD1">
        <w:t>:</w:t>
      </w:r>
    </w:p>
    <w:p w:rsidR="00C34658" w:rsidRPr="00C60AD1" w:rsidRDefault="00C34658" w:rsidP="00C34658">
      <w:pPr>
        <w:spacing w:before="0"/>
        <w:jc w:val="center"/>
        <w:rPr>
          <w:rFonts w:cs="Calibri"/>
          <w:b/>
          <w:sz w:val="22"/>
          <w:szCs w:val="22"/>
          <w:lang w:val="en-US"/>
        </w:rPr>
      </w:pPr>
      <w:bookmarkStart w:id="896" w:name="_Toc395657928"/>
      <w:bookmarkStart w:id="897" w:name="_Toc396573979"/>
      <w:bookmarkStart w:id="898" w:name="_Toc399624080"/>
      <w:bookmarkStart w:id="899" w:name="_Toc453367661"/>
      <w:bookmarkStart w:id="900" w:name="_Toc457355635"/>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11</w:t>
      </w:r>
      <w:r w:rsidR="004A2D9E" w:rsidRPr="00C60AD1">
        <w:rPr>
          <w:rFonts w:cs="Calibri"/>
          <w:b/>
          <w:sz w:val="22"/>
          <w:szCs w:val="22"/>
          <w:lang w:val="en-US"/>
        </w:rPr>
        <w:fldChar w:fldCharType="end"/>
      </w:r>
      <w:r w:rsidRPr="00C60AD1">
        <w:rPr>
          <w:rFonts w:cs="Calibri"/>
          <w:b/>
          <w:sz w:val="22"/>
          <w:szCs w:val="22"/>
          <w:lang w:val="en-US"/>
        </w:rPr>
        <w:t xml:space="preserve">: DISTRIBUTION LOSS PROJECTED BY THE DISTRIBUTION LICENSEES FOR FY </w:t>
      </w:r>
      <w:bookmarkEnd w:id="896"/>
      <w:bookmarkEnd w:id="897"/>
      <w:bookmarkEnd w:id="898"/>
      <w:r>
        <w:rPr>
          <w:rFonts w:cs="Calibri"/>
          <w:b/>
          <w:sz w:val="22"/>
          <w:szCs w:val="22"/>
          <w:lang w:val="en-US"/>
        </w:rPr>
        <w:t>2016-17</w:t>
      </w:r>
      <w:bookmarkEnd w:id="899"/>
      <w:bookmarkEnd w:id="900"/>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905"/>
        <w:gridCol w:w="2095"/>
      </w:tblGrid>
      <w:tr w:rsidR="00C34658" w:rsidRPr="002B628F" w:rsidTr="002B628F">
        <w:trPr>
          <w:trHeight w:val="83"/>
          <w:tblHeader/>
          <w:jc w:val="center"/>
        </w:trPr>
        <w:tc>
          <w:tcPr>
            <w:tcW w:w="1905" w:type="dxa"/>
            <w:shd w:val="clear" w:color="000000" w:fill="DBE5F1"/>
            <w:noWrap/>
            <w:hideMark/>
          </w:tcPr>
          <w:p w:rsidR="003267CD" w:rsidRDefault="00027D0D">
            <w:pPr>
              <w:spacing w:before="0"/>
              <w:jc w:val="center"/>
              <w:rPr>
                <w:rFonts w:asciiTheme="minorHAnsi" w:hAnsiTheme="minorHAnsi"/>
                <w:b/>
                <w:sz w:val="22"/>
              </w:rPr>
            </w:pPr>
            <w:r w:rsidRPr="00027D0D">
              <w:rPr>
                <w:rFonts w:asciiTheme="minorHAnsi" w:hAnsiTheme="minorHAnsi"/>
                <w:b/>
                <w:sz w:val="22"/>
              </w:rPr>
              <w:t>Discom</w:t>
            </w:r>
          </w:p>
        </w:tc>
        <w:tc>
          <w:tcPr>
            <w:tcW w:w="2095" w:type="dxa"/>
            <w:shd w:val="clear" w:color="000000" w:fill="DBE5F1"/>
            <w:hideMark/>
          </w:tcPr>
          <w:p w:rsidR="003267CD" w:rsidRDefault="00027D0D">
            <w:pPr>
              <w:spacing w:before="0"/>
              <w:jc w:val="center"/>
              <w:rPr>
                <w:rFonts w:asciiTheme="minorHAnsi" w:hAnsiTheme="minorHAnsi"/>
                <w:b/>
                <w:sz w:val="22"/>
              </w:rPr>
            </w:pPr>
            <w:r w:rsidRPr="00027D0D">
              <w:rPr>
                <w:rFonts w:asciiTheme="minorHAnsi" w:hAnsiTheme="minorHAnsi"/>
                <w:b/>
                <w:sz w:val="22"/>
              </w:rPr>
              <w:t>FY 2016-17</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PVVNL (Retail)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18.00%</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PuVVNL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19.25%</w:t>
            </w:r>
          </w:p>
        </w:tc>
      </w:tr>
      <w:tr w:rsidR="00C34658" w:rsidRPr="002B628F" w:rsidTr="00CA1B3D">
        <w:trPr>
          <w:trHeight w:val="77"/>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MVVNL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19.00%</w:t>
            </w:r>
          </w:p>
        </w:tc>
      </w:tr>
      <w:tr w:rsidR="00C34658" w:rsidRPr="002B628F" w:rsidTr="00CA1B3D">
        <w:trPr>
          <w:trHeight w:val="152"/>
          <w:jc w:val="center"/>
        </w:trPr>
        <w:tc>
          <w:tcPr>
            <w:tcW w:w="1905" w:type="dxa"/>
            <w:shd w:val="clear" w:color="auto" w:fill="auto"/>
            <w:noWrap/>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t>DVVNL (Retail)</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26.00%</w:t>
            </w:r>
          </w:p>
        </w:tc>
      </w:tr>
      <w:tr w:rsidR="00C34658" w:rsidRPr="002B628F" w:rsidTr="00CA1B3D">
        <w:trPr>
          <w:trHeight w:val="77"/>
          <w:jc w:val="center"/>
        </w:trPr>
        <w:tc>
          <w:tcPr>
            <w:tcW w:w="1905" w:type="dxa"/>
            <w:shd w:val="clear" w:color="auto" w:fill="auto"/>
            <w:vAlign w:val="center"/>
            <w:hideMark/>
          </w:tcPr>
          <w:p w:rsidR="007132A6" w:rsidRDefault="006069BE" w:rsidP="007132A6">
            <w:pPr>
              <w:spacing w:before="0" w:line="240" w:lineRule="auto"/>
              <w:jc w:val="left"/>
              <w:rPr>
                <w:rFonts w:asciiTheme="minorHAnsi" w:hAnsiTheme="minorHAnsi"/>
                <w:sz w:val="22"/>
                <w:szCs w:val="22"/>
              </w:rPr>
            </w:pPr>
            <w:r w:rsidRPr="006069BE">
              <w:rPr>
                <w:rFonts w:asciiTheme="minorHAnsi" w:hAnsiTheme="minorHAnsi"/>
                <w:sz w:val="22"/>
                <w:szCs w:val="22"/>
              </w:rPr>
              <w:lastRenderedPageBreak/>
              <w:t>KESCO</w:t>
            </w:r>
          </w:p>
        </w:tc>
        <w:tc>
          <w:tcPr>
            <w:tcW w:w="2095" w:type="dxa"/>
            <w:shd w:val="clear" w:color="auto" w:fill="auto"/>
            <w:noWrap/>
            <w:vAlign w:val="center"/>
            <w:hideMark/>
          </w:tcPr>
          <w:p w:rsidR="007132A6" w:rsidRPr="007132A6" w:rsidRDefault="007132A6" w:rsidP="007132A6">
            <w:pPr>
              <w:spacing w:before="0" w:line="240" w:lineRule="auto"/>
              <w:jc w:val="right"/>
              <w:rPr>
                <w:rFonts w:cs="Arial"/>
                <w:sz w:val="22"/>
                <w:szCs w:val="22"/>
              </w:rPr>
            </w:pPr>
            <w:r w:rsidRPr="007132A6">
              <w:rPr>
                <w:sz w:val="22"/>
                <w:szCs w:val="22"/>
              </w:rPr>
              <w:t>22.00%</w:t>
            </w:r>
          </w:p>
        </w:tc>
      </w:tr>
    </w:tbl>
    <w:p w:rsidR="007132A6" w:rsidRDefault="007132A6" w:rsidP="007132A6">
      <w:pPr>
        <w:pStyle w:val="Heading3"/>
        <w:numPr>
          <w:ilvl w:val="0"/>
          <w:numId w:val="0"/>
        </w:numPr>
        <w:tabs>
          <w:tab w:val="clear" w:pos="720"/>
        </w:tabs>
        <w:spacing w:before="0"/>
        <w:ind w:left="993"/>
      </w:pPr>
    </w:p>
    <w:p w:rsidR="00023318" w:rsidRDefault="00C34658" w:rsidP="00023318">
      <w:pPr>
        <w:pStyle w:val="Heading3"/>
        <w:tabs>
          <w:tab w:val="clear" w:pos="720"/>
        </w:tabs>
        <w:spacing w:before="0"/>
        <w:ind w:left="993" w:hanging="993"/>
      </w:pPr>
      <w:r w:rsidRPr="008B0C65">
        <w:t>The Commission, in its deficiency note, asked the Distribution Licensees to submit the actual Distribution losses for FY 2015-16 (till December, 2015) and the reason for variation in the projected losses as per the ARR / Tariff Petition and as approved in the FRP.</w:t>
      </w:r>
    </w:p>
    <w:p w:rsidR="00023318" w:rsidRDefault="00C34658" w:rsidP="00023318">
      <w:pPr>
        <w:pStyle w:val="Heading3"/>
        <w:tabs>
          <w:tab w:val="clear" w:pos="720"/>
        </w:tabs>
        <w:spacing w:after="240"/>
        <w:ind w:left="993" w:hanging="993"/>
        <w:rPr>
          <w:rFonts w:cs="Calibri"/>
        </w:rPr>
      </w:pPr>
      <w:r w:rsidRPr="008B0C65">
        <w:rPr>
          <w:rFonts w:cs="Calibri"/>
        </w:rPr>
        <w:t>In response to the query of the Commission, Petitioner submitted that data in respect of actual distribution losses for FY 2015-16 (till December) has yet not been prepared and the same can be made available only on the annual basis when the provisional accounts of the licensee are in shape. The Licensees further submitted that the major reason for variation in the Distribution losses projected for FY 2016-17 and the Distribution Loss considered in FRP is due to the gap in the funding of cash gap estimated by the petitioner in the FRP and the actual funding made by the participating banks. Due to the substantial gap in the availability of funds, the petitioner has not been able to make the envisaged capital investments for implementing loss reduction schemes and other performance improvement measures planned in the FRP. However the Petitioner is in the process of finding new sources of funding for implementation of aforementioned measures at the earliest possible to curb the distribution losses and bring down the same to the desired level as projected in the FRP.</w:t>
      </w:r>
      <w:r w:rsidR="00264EB5">
        <w:rPr>
          <w:rFonts w:cs="Calibri"/>
        </w:rPr>
        <w:t xml:space="preserve"> The</w:t>
      </w:r>
      <w:r w:rsidR="00264EB5" w:rsidRPr="00264EB5">
        <w:rPr>
          <w:rFonts w:cs="Calibri"/>
        </w:rPr>
        <w:t xml:space="preserve"> Petitioner </w:t>
      </w:r>
      <w:r w:rsidR="00264EB5">
        <w:rPr>
          <w:rFonts w:cs="Calibri"/>
        </w:rPr>
        <w:t>has requested</w:t>
      </w:r>
      <w:r w:rsidR="00264EB5" w:rsidRPr="00264EB5">
        <w:rPr>
          <w:rFonts w:cs="Calibri"/>
        </w:rPr>
        <w:t xml:space="preserve"> the Commission to approve the distribution losses for FY 2016-17 keeping the actual distribution loss for FY 2014-15 as the base year. </w:t>
      </w:r>
      <w:r w:rsidR="00264EB5">
        <w:rPr>
          <w:rFonts w:cs="Calibri"/>
        </w:rPr>
        <w:t>T</w:t>
      </w:r>
      <w:r w:rsidR="00264EB5" w:rsidRPr="00264EB5">
        <w:rPr>
          <w:rFonts w:cs="Calibri"/>
        </w:rPr>
        <w:t>he distribution losses in the FRP for Agra Discom were projected considering the sales made to torrent as Bulk Sales i.e the losses of Agra city have not been accounted for, in the projections.</w:t>
      </w:r>
    </w:p>
    <w:p w:rsidR="00023318" w:rsidRDefault="00C34658" w:rsidP="00023318">
      <w:pPr>
        <w:pStyle w:val="Heading3"/>
        <w:tabs>
          <w:tab w:val="clear" w:pos="720"/>
        </w:tabs>
        <w:spacing w:after="240"/>
        <w:ind w:left="993" w:hanging="993"/>
      </w:pPr>
      <w:r w:rsidRPr="00264EB5">
        <w:t>The Petitioner in its Petition has mentioned that</w:t>
      </w:r>
      <w:r w:rsidR="00264EB5" w:rsidRPr="00264EB5">
        <w:t xml:space="preserve"> the actual Distribution Losses in FY 2014-15 were 26.04%. The Petitioner </w:t>
      </w:r>
      <w:r w:rsidR="00264EB5">
        <w:t xml:space="preserve">has </w:t>
      </w:r>
      <w:r w:rsidR="00264EB5" w:rsidRPr="00264EB5">
        <w:t>estimate</w:t>
      </w:r>
      <w:r w:rsidR="00264EB5">
        <w:t>d</w:t>
      </w:r>
      <w:r w:rsidR="00264EB5" w:rsidRPr="00264EB5">
        <w:t xml:space="preserve"> its Distribution losses at 23.50% for FY 2015-16. In the ensuing year FY 2016-17, the Petitioner has projected a Distribution loss of 22.00%.</w:t>
      </w:r>
    </w:p>
    <w:p w:rsidR="00023318" w:rsidRDefault="00C34658" w:rsidP="00023318">
      <w:pPr>
        <w:pStyle w:val="Heading3"/>
        <w:tabs>
          <w:tab w:val="clear" w:pos="720"/>
        </w:tabs>
        <w:spacing w:after="240"/>
        <w:ind w:left="993" w:hanging="993"/>
      </w:pPr>
      <w:r w:rsidRPr="00C60AD1">
        <w:t xml:space="preserve">The summary of the actual distribution loss for the past years as submitted by the Distribution Licensees, distribution loss approved in the FRP for FY </w:t>
      </w:r>
      <w:r>
        <w:t>2016-17</w:t>
      </w:r>
      <w:r w:rsidRPr="00C60AD1">
        <w:t xml:space="preserve"> and the distribution loss as projected by the Licensees for FY </w:t>
      </w:r>
      <w:r>
        <w:t>2016-17</w:t>
      </w:r>
      <w:r w:rsidRPr="00C60AD1">
        <w:t xml:space="preserve"> in their Petitions is shown in the Table below:</w:t>
      </w:r>
    </w:p>
    <w:p w:rsidR="00C34658" w:rsidRPr="00C60AD1" w:rsidRDefault="00C34658" w:rsidP="00C34658">
      <w:pPr>
        <w:spacing w:before="0"/>
        <w:jc w:val="center"/>
        <w:rPr>
          <w:rFonts w:cs="Calibri"/>
          <w:b/>
          <w:sz w:val="22"/>
          <w:szCs w:val="22"/>
          <w:lang w:val="en-US"/>
        </w:rPr>
      </w:pPr>
      <w:bookmarkStart w:id="901" w:name="_Ref395085986"/>
      <w:bookmarkStart w:id="902" w:name="_Toc395657929"/>
      <w:bookmarkStart w:id="903" w:name="_Toc396573980"/>
      <w:bookmarkStart w:id="904" w:name="_Toc399624081"/>
      <w:bookmarkStart w:id="905" w:name="_Toc453367662"/>
      <w:bookmarkStart w:id="906" w:name="_Toc457355636"/>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12</w:t>
      </w:r>
      <w:r w:rsidR="004A2D9E" w:rsidRPr="00C60AD1">
        <w:rPr>
          <w:rFonts w:cs="Calibri"/>
          <w:b/>
          <w:sz w:val="22"/>
          <w:szCs w:val="22"/>
          <w:lang w:val="en-US"/>
        </w:rPr>
        <w:fldChar w:fldCharType="end"/>
      </w:r>
      <w:r w:rsidRPr="00C60AD1">
        <w:rPr>
          <w:rFonts w:cs="Calibri"/>
          <w:b/>
          <w:sz w:val="22"/>
          <w:szCs w:val="22"/>
          <w:lang w:val="en-US"/>
        </w:rPr>
        <w:t>:</w:t>
      </w:r>
      <w:bookmarkEnd w:id="901"/>
      <w:r w:rsidRPr="00C60AD1">
        <w:rPr>
          <w:rFonts w:cs="Calibri"/>
          <w:b/>
          <w:sz w:val="22"/>
          <w:szCs w:val="22"/>
          <w:lang w:val="en-US"/>
        </w:rPr>
        <w:t xml:space="preserve"> SUMMARY OF DISTRIBUTION LOSSES</w:t>
      </w:r>
      <w:bookmarkEnd w:id="902"/>
      <w:bookmarkEnd w:id="903"/>
      <w:bookmarkEnd w:id="904"/>
      <w:bookmarkEnd w:id="905"/>
      <w:bookmarkEnd w:id="906"/>
    </w:p>
    <w:tbl>
      <w:tblPr>
        <w:tblW w:w="8233" w:type="dxa"/>
        <w:jc w:val="center"/>
        <w:tblInd w:w="-60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1312"/>
        <w:gridCol w:w="1301"/>
        <w:gridCol w:w="1280"/>
        <w:gridCol w:w="1649"/>
        <w:gridCol w:w="1286"/>
        <w:gridCol w:w="1405"/>
      </w:tblGrid>
      <w:tr w:rsidR="00C34658" w:rsidRPr="00CA1B3D" w:rsidTr="002B628F">
        <w:trPr>
          <w:trHeight w:val="395"/>
          <w:tblHeader/>
          <w:jc w:val="center"/>
        </w:trPr>
        <w:tc>
          <w:tcPr>
            <w:tcW w:w="1312"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lastRenderedPageBreak/>
              <w:t>Distribution Licensee</w:t>
            </w:r>
          </w:p>
        </w:tc>
        <w:tc>
          <w:tcPr>
            <w:tcW w:w="1301"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Actual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2013-14</w:t>
            </w:r>
          </w:p>
        </w:tc>
        <w:tc>
          <w:tcPr>
            <w:tcW w:w="1280"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Provisional</w:t>
            </w:r>
          </w:p>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FY 2014-15</w:t>
            </w:r>
          </w:p>
        </w:tc>
        <w:tc>
          <w:tcPr>
            <w:tcW w:w="1649" w:type="dxa"/>
            <w:shd w:val="clear" w:color="000000" w:fill="DBE5F1"/>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by the Commission for FY 2015-16</w:t>
            </w:r>
          </w:p>
        </w:tc>
        <w:tc>
          <w:tcPr>
            <w:tcW w:w="1286"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Approved in FRP for FY 2016-17</w:t>
            </w:r>
          </w:p>
        </w:tc>
        <w:tc>
          <w:tcPr>
            <w:tcW w:w="1405" w:type="dxa"/>
            <w:shd w:val="clear" w:color="000000" w:fill="DBE5F1"/>
            <w:hideMark/>
          </w:tcPr>
          <w:p w:rsidR="00C34658" w:rsidRPr="00CA1B3D" w:rsidRDefault="006069BE" w:rsidP="00D55642">
            <w:pPr>
              <w:spacing w:before="0"/>
              <w:jc w:val="center"/>
              <w:rPr>
                <w:rFonts w:asciiTheme="minorHAnsi" w:hAnsiTheme="minorHAnsi"/>
                <w:b/>
                <w:sz w:val="22"/>
                <w:szCs w:val="22"/>
              </w:rPr>
            </w:pPr>
            <w:r w:rsidRPr="006069BE">
              <w:rPr>
                <w:rFonts w:asciiTheme="minorHAnsi" w:hAnsiTheme="minorHAnsi"/>
                <w:b/>
                <w:sz w:val="22"/>
                <w:szCs w:val="22"/>
              </w:rPr>
              <w:t>Projected by Licensees for FY 2016-17 in their Petitions</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DVVNL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28.69%</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29.49%</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29.00%</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18.55%</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26.00%</w:t>
            </w:r>
          </w:p>
        </w:tc>
      </w:tr>
      <w:tr w:rsidR="00C34658" w:rsidRPr="00CA1B3D" w:rsidTr="00CA1B3D">
        <w:trPr>
          <w:trHeight w:val="10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MVVNL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24.85%</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22.88%</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21.03%</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19.00%</w:t>
            </w:r>
          </w:p>
        </w:tc>
      </w:tr>
      <w:tr w:rsidR="00C34658" w:rsidRPr="00CA1B3D" w:rsidTr="00CA1B3D">
        <w:trPr>
          <w:trHeight w:val="10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PVVNL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23.08%</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19.66%</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19.52%</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18.00%</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PuVNNL</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24.73%</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23.88%</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20.93%</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16.00%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19.25%</w:t>
            </w:r>
          </w:p>
        </w:tc>
      </w:tr>
      <w:tr w:rsidR="00C34658" w:rsidRPr="00CA1B3D" w:rsidTr="00CA1B3D">
        <w:trPr>
          <w:trHeight w:val="77"/>
          <w:jc w:val="center"/>
        </w:trPr>
        <w:tc>
          <w:tcPr>
            <w:tcW w:w="1312" w:type="dxa"/>
            <w:shd w:val="clear" w:color="auto" w:fill="auto"/>
            <w:vAlign w:val="center"/>
            <w:hideMark/>
          </w:tcPr>
          <w:p w:rsidR="007132A6" w:rsidRPr="007132A6" w:rsidRDefault="007132A6" w:rsidP="007132A6">
            <w:pPr>
              <w:spacing w:before="0" w:line="240" w:lineRule="auto"/>
              <w:jc w:val="left"/>
              <w:rPr>
                <w:rFonts w:asciiTheme="minorHAnsi" w:hAnsiTheme="minorHAnsi"/>
                <w:sz w:val="22"/>
                <w:szCs w:val="22"/>
              </w:rPr>
            </w:pPr>
            <w:r w:rsidRPr="007132A6">
              <w:rPr>
                <w:rFonts w:asciiTheme="minorHAnsi" w:hAnsiTheme="minorHAnsi"/>
                <w:sz w:val="22"/>
                <w:szCs w:val="22"/>
              </w:rPr>
              <w:t>KESCO</w:t>
            </w:r>
          </w:p>
        </w:tc>
        <w:tc>
          <w:tcPr>
            <w:tcW w:w="1301"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30.84%</w:t>
            </w:r>
          </w:p>
        </w:tc>
        <w:tc>
          <w:tcPr>
            <w:tcW w:w="1280"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26.04%</w:t>
            </w:r>
          </w:p>
        </w:tc>
        <w:tc>
          <w:tcPr>
            <w:tcW w:w="1649" w:type="dxa"/>
            <w:vAlign w:val="center"/>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23.50%</w:t>
            </w:r>
          </w:p>
        </w:tc>
        <w:tc>
          <w:tcPr>
            <w:tcW w:w="1286" w:type="dxa"/>
            <w:shd w:val="clear" w:color="auto" w:fill="auto"/>
            <w:noWrap/>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17.00%</w:t>
            </w:r>
          </w:p>
        </w:tc>
        <w:tc>
          <w:tcPr>
            <w:tcW w:w="1405" w:type="dxa"/>
            <w:shd w:val="clear" w:color="auto" w:fill="auto"/>
            <w:vAlign w:val="center"/>
            <w:hideMark/>
          </w:tcPr>
          <w:p w:rsidR="007132A6" w:rsidRPr="007132A6" w:rsidRDefault="007132A6" w:rsidP="007132A6">
            <w:pPr>
              <w:spacing w:before="0" w:line="240" w:lineRule="auto"/>
              <w:jc w:val="right"/>
              <w:rPr>
                <w:rFonts w:asciiTheme="minorHAnsi" w:hAnsiTheme="minorHAnsi"/>
                <w:sz w:val="22"/>
                <w:szCs w:val="22"/>
              </w:rPr>
            </w:pPr>
            <w:r w:rsidRPr="007132A6">
              <w:rPr>
                <w:rFonts w:asciiTheme="minorHAnsi" w:hAnsiTheme="minorHAnsi"/>
                <w:sz w:val="22"/>
                <w:szCs w:val="22"/>
              </w:rPr>
              <w:t>22.00%</w:t>
            </w:r>
          </w:p>
        </w:tc>
      </w:tr>
    </w:tbl>
    <w:p w:rsidR="007132A6" w:rsidRDefault="007132A6" w:rsidP="007132A6">
      <w:pPr>
        <w:pStyle w:val="Heading3"/>
        <w:numPr>
          <w:ilvl w:val="0"/>
          <w:numId w:val="0"/>
        </w:numPr>
        <w:tabs>
          <w:tab w:val="clear" w:pos="720"/>
        </w:tabs>
        <w:spacing w:before="0"/>
        <w:ind w:left="993"/>
      </w:pPr>
    </w:p>
    <w:p w:rsidR="00023318" w:rsidRDefault="00C34658" w:rsidP="00023318">
      <w:pPr>
        <w:pStyle w:val="Heading3"/>
        <w:tabs>
          <w:tab w:val="clear" w:pos="720"/>
        </w:tabs>
        <w:spacing w:after="240"/>
        <w:ind w:left="993" w:hanging="993"/>
      </w:pPr>
      <w:r w:rsidRPr="008B0C65">
        <w:t xml:space="preserve">However, as may be observed from the </w:t>
      </w:r>
      <w:r w:rsidR="00264EB5">
        <w:t>above table that</w:t>
      </w:r>
      <w:r w:rsidR="00FF2CF2">
        <w:t xml:space="preserve"> </w:t>
      </w:r>
      <w:r w:rsidRPr="008B0C65">
        <w:t xml:space="preserve">the actual distribution losses of the Licensees are </w:t>
      </w:r>
      <w:r w:rsidR="00CA1B3D">
        <w:t xml:space="preserve">very </w:t>
      </w:r>
      <w:r w:rsidRPr="008B0C65">
        <w:t xml:space="preserve">high as compared to the loss target approved in the FRP for FY 2016-17. Therefore, approving the target losses at the levels approved in the FRP </w:t>
      </w:r>
      <w:r w:rsidR="00FF2CF2">
        <w:t>may</w:t>
      </w:r>
      <w:r w:rsidRPr="008B0C65">
        <w:t xml:space="preserve"> not be achievable by the Licensees. </w:t>
      </w:r>
    </w:p>
    <w:p w:rsidR="00023318" w:rsidRDefault="00C34658" w:rsidP="00023318">
      <w:pPr>
        <w:pStyle w:val="Heading3"/>
        <w:tabs>
          <w:tab w:val="clear" w:pos="720"/>
        </w:tabs>
        <w:spacing w:after="240"/>
        <w:ind w:left="993" w:hanging="993"/>
      </w:pPr>
      <w:r w:rsidRPr="008B0C65">
        <w:t xml:space="preserve">The Commission is of the view that the Distribution Losses reduction targets projected by some Distribution Licensees are very low. As the actual losses are very high, there is ample room to reduce the distribution losses with appropriate measures. </w:t>
      </w:r>
      <w:r w:rsidRPr="00C60AD1">
        <w:t>The Commission, while approving the distribution losses for FY 2016</w:t>
      </w:r>
      <w:r>
        <w:t>-17</w:t>
      </w:r>
      <w:r w:rsidRPr="00C60AD1">
        <w:t xml:space="preserve"> has considered the submission made by the Distribution Licensees and practicality of the Distribution Loss Reduction target.  The Commission has also considered the consumers mix, sales mix and geographical spread of the Distribution Licensees </w:t>
      </w:r>
      <w:r>
        <w:t xml:space="preserve">along with the recent MOU signed by the Distribution Licensees with Ministry of Power, Govt. of India </w:t>
      </w:r>
      <w:r w:rsidRPr="00C60AD1">
        <w:t>and all other relevant factor contributing to the Distribution Losses in the supply area of Distribution Licensees.</w:t>
      </w:r>
    </w:p>
    <w:p w:rsidR="00023318" w:rsidRDefault="00023318" w:rsidP="00023318">
      <w:pPr>
        <w:pStyle w:val="Heading3"/>
        <w:numPr>
          <w:ilvl w:val="0"/>
          <w:numId w:val="0"/>
        </w:numPr>
        <w:tabs>
          <w:tab w:val="clear" w:pos="720"/>
        </w:tabs>
        <w:spacing w:after="240"/>
        <w:ind w:left="993"/>
      </w:pPr>
    </w:p>
    <w:p w:rsidR="00C34658" w:rsidRPr="008B0C65" w:rsidRDefault="00C34658" w:rsidP="00C34658">
      <w:pPr>
        <w:pStyle w:val="Heading3"/>
        <w:numPr>
          <w:ilvl w:val="0"/>
          <w:numId w:val="0"/>
        </w:numPr>
        <w:tabs>
          <w:tab w:val="clear" w:pos="720"/>
        </w:tabs>
        <w:spacing w:after="240"/>
        <w:rPr>
          <w:b/>
        </w:rPr>
      </w:pPr>
      <w:r w:rsidRPr="008B0C65">
        <w:rPr>
          <w:b/>
        </w:rPr>
        <w:t>Ujwal DISCOM Assurance Yojna (UDAY)</w:t>
      </w:r>
    </w:p>
    <w:p w:rsidR="00023318" w:rsidRDefault="00C34658" w:rsidP="00023318">
      <w:pPr>
        <w:pStyle w:val="Heading3"/>
        <w:tabs>
          <w:tab w:val="clear" w:pos="720"/>
        </w:tabs>
        <w:spacing w:after="240"/>
        <w:ind w:left="993" w:hanging="993"/>
      </w:pPr>
      <w:r w:rsidRPr="008B0C65">
        <w:t>Electricity is a concurrent subject at Entry 38 in List III of the seventh Schedule of the Constitution of India. The Ministry of Power is primarily responsible for the development of electrical / power sector in the country</w:t>
      </w:r>
      <w:r>
        <w:t xml:space="preserve"> as well as</w:t>
      </w:r>
      <w:r w:rsidRPr="008B0C65">
        <w:t> for the administration of the Electricity Act, 2003, the Energy Conservation Act, 2001 and to undertake such amendments to these Acts, as may be necessary from time to time, in conformity with the Government's policy &amp; objectives.</w:t>
      </w:r>
    </w:p>
    <w:p w:rsidR="00023318" w:rsidRDefault="00C34658" w:rsidP="00023318">
      <w:pPr>
        <w:pStyle w:val="Heading3"/>
        <w:tabs>
          <w:tab w:val="clear" w:pos="720"/>
        </w:tabs>
        <w:spacing w:after="240"/>
        <w:ind w:left="993" w:hanging="993"/>
      </w:pPr>
      <w:r w:rsidRPr="008B0C65">
        <w:lastRenderedPageBreak/>
        <w:t>In an initiative to revive the financially distressed Distribution Companies the Union Cabinet chaired by the Hon’ble Prime Minister Shri</w:t>
      </w:r>
      <w:r w:rsidR="00B30CFE">
        <w:t xml:space="preserve"> </w:t>
      </w:r>
      <w:r w:rsidRPr="008B0C65">
        <w:t>Narendra</w:t>
      </w:r>
      <w:r w:rsidR="00B30CFE">
        <w:t xml:space="preserve"> </w:t>
      </w:r>
      <w:r w:rsidRPr="008B0C65">
        <w:t xml:space="preserve">Modi, approved a new scheme moved by the Ministry of Power - Ujwal DISCOM Assurance Yojna (UDAY). UDAY provides for the financial turnaround and revival of Power Distribution companies (DISCOMs), and </w:t>
      </w:r>
      <w:r>
        <w:t>thereby</w:t>
      </w:r>
      <w:r w:rsidRPr="008B0C65">
        <w:t xml:space="preserve"> ensur</w:t>
      </w:r>
      <w:r>
        <w:t>ing</w:t>
      </w:r>
      <w:r w:rsidRPr="008B0C65">
        <w:t xml:space="preserve"> a sustainable permanent solution to the problem.</w:t>
      </w:r>
    </w:p>
    <w:p w:rsidR="00023318" w:rsidRDefault="00C34658" w:rsidP="00023318">
      <w:pPr>
        <w:pStyle w:val="Heading3"/>
        <w:tabs>
          <w:tab w:val="clear" w:pos="720"/>
        </w:tabs>
        <w:spacing w:after="240"/>
        <w:ind w:left="993" w:hanging="993"/>
      </w:pPr>
      <w:r w:rsidRPr="00740555">
        <w:t>Salient Features of UDAY Scheme launched by Ministry of Power, Government of India (GoI)</w:t>
      </w:r>
    </w:p>
    <w:p w:rsidR="00C34658" w:rsidRPr="001571A2" w:rsidRDefault="00C34658" w:rsidP="00EC6AAC">
      <w:pPr>
        <w:pStyle w:val="ListParagraph"/>
        <w:numPr>
          <w:ilvl w:val="0"/>
          <w:numId w:val="61"/>
        </w:numPr>
        <w:spacing w:before="0" w:after="200"/>
        <w:contextualSpacing/>
      </w:pPr>
      <w:r w:rsidRPr="001571A2">
        <w:t>States shall take over 75% of DISCOM debt as on September 30, 2015 over two years - 50% of DISCOM debt shall be taken over in 2015-16 and 25% in 2016-17.</w:t>
      </w:r>
    </w:p>
    <w:p w:rsidR="00C34658" w:rsidRPr="001571A2" w:rsidRDefault="00C34658" w:rsidP="00EC6AAC">
      <w:pPr>
        <w:pStyle w:val="ListParagraph"/>
        <w:numPr>
          <w:ilvl w:val="0"/>
          <w:numId w:val="61"/>
        </w:numPr>
        <w:spacing w:before="0" w:after="200"/>
        <w:contextualSpacing/>
      </w:pPr>
      <w:r w:rsidRPr="001571A2">
        <w:t>Government of India will not include the debt taken over by the States as per the above scheme in the calculation of fiscal deficit of respective States in the financial years 2015-16 and 2016-17.</w:t>
      </w:r>
    </w:p>
    <w:p w:rsidR="00C34658" w:rsidRPr="001571A2" w:rsidRDefault="00C34658" w:rsidP="00EC6AAC">
      <w:pPr>
        <w:pStyle w:val="ListParagraph"/>
        <w:numPr>
          <w:ilvl w:val="0"/>
          <w:numId w:val="61"/>
        </w:numPr>
        <w:spacing w:before="0" w:after="200"/>
        <w:contextualSpacing/>
      </w:pPr>
      <w:r w:rsidRPr="001571A2">
        <w:t>States will issue non-SLR including SDL bonds in the market or directly to the respective banks / Financial Institutions (FIs) holding the DISCOM debt to the appropriate extent.</w:t>
      </w:r>
    </w:p>
    <w:p w:rsidR="00C34658" w:rsidRPr="001571A2" w:rsidRDefault="00C34658" w:rsidP="00EC6AAC">
      <w:pPr>
        <w:pStyle w:val="ListParagraph"/>
        <w:numPr>
          <w:ilvl w:val="0"/>
          <w:numId w:val="61"/>
        </w:numPr>
        <w:spacing w:before="0" w:after="200"/>
        <w:contextualSpacing/>
      </w:pPr>
      <w:r w:rsidRPr="001571A2">
        <w:t>DISCOM debt not taken over by the State shall be converted by the Banks / FIs into loans or bonds with interest rate not more than the bank’s base rate plus 0.1%. Alternately, this debt may be fully or partly issued by the DISCOM as State guaranteed DISCOM bonds at the prevailing market rates which shall be equal to or less than bank base rate plus 0.1%.</w:t>
      </w:r>
    </w:p>
    <w:p w:rsidR="00C34658" w:rsidRPr="001571A2" w:rsidRDefault="00C34658" w:rsidP="00EC6AAC">
      <w:pPr>
        <w:pStyle w:val="ListParagraph"/>
        <w:numPr>
          <w:ilvl w:val="0"/>
          <w:numId w:val="61"/>
        </w:numPr>
        <w:spacing w:before="0" w:after="200"/>
        <w:contextualSpacing/>
      </w:pPr>
      <w:r w:rsidRPr="001571A2">
        <w:t>States shall take over the future losses of DISCOM in a graded manner and shall fund them as follows:</w:t>
      </w:r>
    </w:p>
    <w:p w:rsidR="00C34658" w:rsidRPr="00EA1780" w:rsidRDefault="00C34658" w:rsidP="001571A2">
      <w:pPr>
        <w:rPr>
          <w:color w:val="333333"/>
        </w:rPr>
      </w:pPr>
    </w:p>
    <w:tbl>
      <w:tblPr>
        <w:tblW w:w="9346" w:type="dxa"/>
        <w:tblCellMar>
          <w:left w:w="0" w:type="dxa"/>
          <w:right w:w="0" w:type="dxa"/>
        </w:tblCellMar>
        <w:tblLook w:val="04A0"/>
      </w:tblPr>
      <w:tblGrid>
        <w:gridCol w:w="1486"/>
        <w:gridCol w:w="1310"/>
        <w:gridCol w:w="1310"/>
        <w:gridCol w:w="1310"/>
        <w:gridCol w:w="1310"/>
        <w:gridCol w:w="1310"/>
        <w:gridCol w:w="1310"/>
      </w:tblGrid>
      <w:tr w:rsidR="00C34658" w:rsidRPr="001571A2" w:rsidTr="00D55642">
        <w:trPr>
          <w:trHeight w:val="351"/>
        </w:trPr>
        <w:tc>
          <w:tcPr>
            <w:tcW w:w="148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Year</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2015-16</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2016-17</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2017-18</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2018-19</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2019-20</w:t>
            </w:r>
          </w:p>
        </w:tc>
        <w:tc>
          <w:tcPr>
            <w:tcW w:w="131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hideMark/>
          </w:tcPr>
          <w:p w:rsidR="00C34658" w:rsidRPr="001571A2" w:rsidRDefault="00027D0D" w:rsidP="00D55642">
            <w:pPr>
              <w:spacing w:before="0" w:line="240" w:lineRule="auto"/>
              <w:ind w:right="29"/>
              <w:jc w:val="center"/>
              <w:rPr>
                <w:rFonts w:asciiTheme="minorHAnsi" w:hAnsiTheme="minorHAnsi"/>
                <w:b/>
                <w:sz w:val="22"/>
              </w:rPr>
            </w:pPr>
            <w:r w:rsidRPr="001571A2">
              <w:rPr>
                <w:rFonts w:asciiTheme="minorHAnsi" w:hAnsiTheme="minorHAnsi"/>
                <w:b/>
                <w:sz w:val="22"/>
              </w:rPr>
              <w:t>2020-21</w:t>
            </w:r>
          </w:p>
        </w:tc>
      </w:tr>
      <w:tr w:rsidR="00C34658" w:rsidRPr="001571A2" w:rsidTr="00D55642">
        <w:trPr>
          <w:trHeight w:val="737"/>
        </w:trPr>
        <w:tc>
          <w:tcPr>
            <w:tcW w:w="1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b/>
                <w:sz w:val="22"/>
              </w:rPr>
            </w:pPr>
            <w:r w:rsidRPr="001571A2">
              <w:rPr>
                <w:rFonts w:asciiTheme="minorHAnsi" w:hAnsiTheme="minorHAnsi"/>
                <w:b/>
                <w:sz w:val="22"/>
              </w:rPr>
              <w:t>Previous Year’s DISCOM loss to be taken over by State</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0% of the loss of 2014-15</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0% of the loss of 2015-16</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5% of the loss of 2016-17</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10% of the loss of 2017-18</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25% of the loss of 2018-19</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rsidR="00C34658" w:rsidRPr="001571A2" w:rsidRDefault="00027D0D" w:rsidP="00D55642">
            <w:pPr>
              <w:spacing w:before="0" w:line="240" w:lineRule="auto"/>
              <w:ind w:right="29"/>
              <w:rPr>
                <w:rFonts w:asciiTheme="minorHAnsi" w:hAnsiTheme="minorHAnsi"/>
                <w:sz w:val="22"/>
              </w:rPr>
            </w:pPr>
            <w:r w:rsidRPr="001571A2">
              <w:rPr>
                <w:rFonts w:asciiTheme="minorHAnsi" w:hAnsiTheme="minorHAnsi"/>
                <w:sz w:val="22"/>
              </w:rPr>
              <w:t>50% of the previous year loss</w:t>
            </w:r>
          </w:p>
        </w:tc>
      </w:tr>
    </w:tbl>
    <w:p w:rsidR="003F2D07" w:rsidRDefault="003F2D07">
      <w:pPr>
        <w:pStyle w:val="ListParagraph"/>
        <w:spacing w:before="0"/>
        <w:ind w:left="1440"/>
        <w:rPr>
          <w:color w:val="333333"/>
        </w:rPr>
      </w:pPr>
    </w:p>
    <w:p w:rsidR="00C34658" w:rsidRPr="001571A2" w:rsidRDefault="00C34658" w:rsidP="00EC6AAC">
      <w:pPr>
        <w:pStyle w:val="ListParagraph"/>
        <w:numPr>
          <w:ilvl w:val="0"/>
          <w:numId w:val="62"/>
        </w:numPr>
        <w:spacing w:before="0"/>
      </w:pPr>
      <w:r w:rsidRPr="001571A2">
        <w:t>State DISCOMs will comply with the Renewable Purchase Obligation (RPO) outstanding since April 1, 2012, within a period to be decided in consultation with Ministry of Power.</w:t>
      </w:r>
    </w:p>
    <w:p w:rsidR="00C34658" w:rsidRPr="001571A2" w:rsidRDefault="00C34658" w:rsidP="00EC6AAC">
      <w:pPr>
        <w:pStyle w:val="ListParagraph"/>
        <w:numPr>
          <w:ilvl w:val="0"/>
          <w:numId w:val="62"/>
        </w:numPr>
        <w:spacing w:before="0" w:after="200"/>
        <w:contextualSpacing/>
      </w:pPr>
      <w:r w:rsidRPr="001571A2">
        <w:lastRenderedPageBreak/>
        <w:t>States accepting UDAY and performing as per operational milestones will be given additional / priority funding through Deendayal</w:t>
      </w:r>
      <w:r w:rsidR="00B30CFE" w:rsidRPr="001571A2">
        <w:t xml:space="preserve"> </w:t>
      </w:r>
      <w:r w:rsidRPr="001571A2">
        <w:t>Upadhyaya Gram Jyoti</w:t>
      </w:r>
      <w:r w:rsidR="00B30CFE" w:rsidRPr="001571A2">
        <w:t xml:space="preserve"> </w:t>
      </w:r>
      <w:r w:rsidRPr="001571A2">
        <w:t>Yojana (DDUGJY),Integrated Power Development Scheme (IPDS), Power Sector Development Fund (PSDF) or other such schemes of Ministry of Power and Ministry of New and Renewable Energy.</w:t>
      </w:r>
    </w:p>
    <w:p w:rsidR="00C34658" w:rsidRPr="001571A2" w:rsidRDefault="00C34658" w:rsidP="00EC6AAC">
      <w:pPr>
        <w:pStyle w:val="ListParagraph"/>
        <w:numPr>
          <w:ilvl w:val="0"/>
          <w:numId w:val="62"/>
        </w:numPr>
        <w:spacing w:before="0" w:after="200"/>
        <w:contextualSpacing/>
      </w:pPr>
      <w:r w:rsidRPr="001571A2">
        <w:t>Such States shall also be supported with additional coal at notified prices and, in case of availability through higher capacity utilization, low cost power from NTPC and other Central Public Sector Undertakings (CPSUs).</w:t>
      </w:r>
    </w:p>
    <w:p w:rsidR="00C34658" w:rsidRPr="001571A2" w:rsidRDefault="00C34658" w:rsidP="00EC6AAC">
      <w:pPr>
        <w:pStyle w:val="ListParagraph"/>
        <w:numPr>
          <w:ilvl w:val="0"/>
          <w:numId w:val="62"/>
        </w:numPr>
        <w:spacing w:before="0" w:after="200"/>
        <w:contextualSpacing/>
      </w:pPr>
      <w:r w:rsidRPr="001571A2">
        <w:t>States not meeting operational milestones will be liable to forfeit their claim on IPDS and DDUGJY grants.</w:t>
      </w:r>
    </w:p>
    <w:p w:rsidR="00C34658" w:rsidRDefault="00C34658" w:rsidP="00EC6AAC">
      <w:pPr>
        <w:pStyle w:val="ListParagraph"/>
        <w:numPr>
          <w:ilvl w:val="0"/>
          <w:numId w:val="62"/>
        </w:numPr>
        <w:spacing w:before="0" w:after="200"/>
        <w:contextualSpacing/>
        <w:rPr>
          <w:color w:val="333333"/>
        </w:rPr>
      </w:pPr>
      <w:r w:rsidRPr="001571A2">
        <w:t>UDAY is optional for all States. However, States are encouraged to take the benefit at the earliest as benefits are dependent on the performance.</w:t>
      </w:r>
    </w:p>
    <w:p w:rsidR="00023318" w:rsidRDefault="00C34658" w:rsidP="00023318">
      <w:pPr>
        <w:pStyle w:val="Heading3"/>
        <w:tabs>
          <w:tab w:val="clear" w:pos="720"/>
        </w:tabs>
        <w:spacing w:after="240"/>
        <w:ind w:left="993" w:hanging="993"/>
      </w:pPr>
      <w:r w:rsidRPr="0092556D">
        <w:rPr>
          <w:szCs w:val="24"/>
        </w:rPr>
        <w:t>The Government of India, Government of Uttar Pradesh and the U.P. D</w:t>
      </w:r>
      <w:r>
        <w:rPr>
          <w:szCs w:val="24"/>
        </w:rPr>
        <w:t>iscom</w:t>
      </w:r>
      <w:r w:rsidRPr="0092556D">
        <w:rPr>
          <w:szCs w:val="24"/>
        </w:rPr>
        <w:t>s have entered into a tripartite MOU in order to improve the operational and financial efficiency of the U.P. D</w:t>
      </w:r>
      <w:r>
        <w:rPr>
          <w:szCs w:val="24"/>
        </w:rPr>
        <w:t>iscom</w:t>
      </w:r>
      <w:r w:rsidRPr="0092556D">
        <w:rPr>
          <w:szCs w:val="24"/>
        </w:rPr>
        <w:t>s to enable financial turnaround of the D</w:t>
      </w:r>
      <w:r>
        <w:rPr>
          <w:szCs w:val="24"/>
        </w:rPr>
        <w:t>iscom</w:t>
      </w:r>
      <w:r w:rsidRPr="0092556D">
        <w:rPr>
          <w:szCs w:val="24"/>
        </w:rPr>
        <w:t>s</w:t>
      </w:r>
      <w:r>
        <w:rPr>
          <w:szCs w:val="24"/>
        </w:rPr>
        <w:t xml:space="preserve">. </w:t>
      </w:r>
      <w:r w:rsidRPr="0092556D">
        <w:rPr>
          <w:szCs w:val="24"/>
        </w:rPr>
        <w:t>Uttar Pradesh Power Corporation Limited (UPPCL) on behalf of its subsidiary Discoms namely Dakshinanchal Vidyut Vitran Nigam Limited (DVVNL), Kanpur Electricity Supply Company Limited (KESCO), Madhyanchal Vidyut Vitran Nigam Limited (MVVNL), Paschimanchal Vidyut Vitran Nigam Limited (PVVNL), Purvanchal Vidyut Vitran Nigam Limited (PuVVNL) has signed the “Tripartite M</w:t>
      </w:r>
      <w:r>
        <w:rPr>
          <w:szCs w:val="24"/>
        </w:rPr>
        <w:t>O</w:t>
      </w:r>
      <w:r w:rsidRPr="0092556D">
        <w:rPr>
          <w:szCs w:val="24"/>
        </w:rPr>
        <w:t>U” with Ministry of Power</w:t>
      </w:r>
      <w:r w:rsidR="00B30CFE">
        <w:rPr>
          <w:szCs w:val="24"/>
        </w:rPr>
        <w:t xml:space="preserve"> </w:t>
      </w:r>
      <w:r w:rsidRPr="0092556D">
        <w:rPr>
          <w:szCs w:val="24"/>
        </w:rPr>
        <w:t>(GoI) and Government of Uttar Pradesh (GoUP) on January 30, 2016.</w:t>
      </w:r>
    </w:p>
    <w:p w:rsidR="00023318" w:rsidRDefault="00C34658" w:rsidP="00023318">
      <w:pPr>
        <w:pStyle w:val="Heading3"/>
        <w:tabs>
          <w:tab w:val="clear" w:pos="720"/>
        </w:tabs>
        <w:spacing w:after="240"/>
        <w:ind w:left="993" w:hanging="993"/>
      </w:pPr>
      <w:r w:rsidRPr="0092556D">
        <w:rPr>
          <w:szCs w:val="24"/>
        </w:rPr>
        <w:t xml:space="preserve">The scheme comprises four initiatives - improving operational efficiencies of </w:t>
      </w:r>
      <w:r>
        <w:rPr>
          <w:szCs w:val="24"/>
        </w:rPr>
        <w:t>D</w:t>
      </w:r>
      <w:r w:rsidRPr="0092556D">
        <w:rPr>
          <w:szCs w:val="24"/>
        </w:rPr>
        <w:t xml:space="preserve">iscoms, reduction of cost of power, reduction in interest cost of </w:t>
      </w:r>
      <w:r>
        <w:rPr>
          <w:szCs w:val="24"/>
        </w:rPr>
        <w:t>D</w:t>
      </w:r>
      <w:r w:rsidRPr="0092556D">
        <w:rPr>
          <w:szCs w:val="24"/>
        </w:rPr>
        <w:t xml:space="preserve">iscoms and enforcing financial discipline on </w:t>
      </w:r>
      <w:r>
        <w:rPr>
          <w:szCs w:val="24"/>
        </w:rPr>
        <w:t>D</w:t>
      </w:r>
      <w:r w:rsidRPr="0092556D">
        <w:rPr>
          <w:szCs w:val="24"/>
        </w:rPr>
        <w:t>iscoms through alignment with s</w:t>
      </w:r>
      <w:r>
        <w:rPr>
          <w:szCs w:val="24"/>
        </w:rPr>
        <w:t>tate finances. It allows state G</w:t>
      </w:r>
      <w:r w:rsidRPr="0092556D">
        <w:rPr>
          <w:szCs w:val="24"/>
        </w:rPr>
        <w:t xml:space="preserve">overnment, which own the </w:t>
      </w:r>
      <w:r>
        <w:rPr>
          <w:szCs w:val="24"/>
        </w:rPr>
        <w:t>D</w:t>
      </w:r>
      <w:r w:rsidRPr="0092556D">
        <w:rPr>
          <w:szCs w:val="24"/>
        </w:rPr>
        <w:t>iscoms, to take over 75 percent of their debt as of September 30, 2015, and pay back lenders by selling bonds. Discoms are expected to issue bonds for the remaining 25 percent of their debt.</w:t>
      </w:r>
    </w:p>
    <w:p w:rsidR="00023318" w:rsidRDefault="00C34658" w:rsidP="00023318">
      <w:pPr>
        <w:pStyle w:val="Heading3"/>
        <w:tabs>
          <w:tab w:val="clear" w:pos="720"/>
        </w:tabs>
        <w:spacing w:after="240"/>
        <w:ind w:left="993" w:hanging="993"/>
      </w:pPr>
      <w:r w:rsidRPr="0092556D">
        <w:rPr>
          <w:szCs w:val="24"/>
        </w:rPr>
        <w:t>The U.P. D</w:t>
      </w:r>
      <w:r>
        <w:rPr>
          <w:szCs w:val="24"/>
        </w:rPr>
        <w:t>iscom</w:t>
      </w:r>
      <w:r w:rsidRPr="0092556D">
        <w:rPr>
          <w:szCs w:val="24"/>
        </w:rPr>
        <w:t>s ha</w:t>
      </w:r>
      <w:r>
        <w:rPr>
          <w:szCs w:val="24"/>
        </w:rPr>
        <w:t>ve</w:t>
      </w:r>
      <w:r w:rsidRPr="0092556D">
        <w:rPr>
          <w:szCs w:val="24"/>
        </w:rPr>
        <w:t xml:space="preserve"> been reeling under severe financial stress. </w:t>
      </w:r>
      <w:r>
        <w:rPr>
          <w:szCs w:val="24"/>
        </w:rPr>
        <w:t xml:space="preserve">As per the MOU signed by the Discoms, they </w:t>
      </w:r>
      <w:r w:rsidRPr="0092556D">
        <w:rPr>
          <w:szCs w:val="24"/>
        </w:rPr>
        <w:t>had</w:t>
      </w:r>
      <w:r w:rsidR="00B30CFE">
        <w:rPr>
          <w:szCs w:val="24"/>
        </w:rPr>
        <w:t xml:space="preserve"> </w:t>
      </w:r>
      <w:r w:rsidRPr="0092556D">
        <w:rPr>
          <w:szCs w:val="24"/>
        </w:rPr>
        <w:t>revenue deficit during FY 2013-14 (Rs</w:t>
      </w:r>
      <w:r>
        <w:rPr>
          <w:szCs w:val="24"/>
        </w:rPr>
        <w:t>. 13,802 C</w:t>
      </w:r>
      <w:r w:rsidRPr="0092556D">
        <w:rPr>
          <w:szCs w:val="24"/>
        </w:rPr>
        <w:t>rore)</w:t>
      </w:r>
      <w:r w:rsidR="00B30CFE">
        <w:rPr>
          <w:szCs w:val="24"/>
        </w:rPr>
        <w:t xml:space="preserve"> </w:t>
      </w:r>
      <w:r w:rsidRPr="0092556D">
        <w:rPr>
          <w:szCs w:val="24"/>
        </w:rPr>
        <w:t>with an expected revenue deficit of Rs</w:t>
      </w:r>
      <w:r>
        <w:rPr>
          <w:szCs w:val="24"/>
        </w:rPr>
        <w:t>. 10,636 C</w:t>
      </w:r>
      <w:r w:rsidRPr="0092556D">
        <w:rPr>
          <w:szCs w:val="24"/>
        </w:rPr>
        <w:t>rore in FY 2014-15. The accumulated losses have reached to the level of Rs.70</w:t>
      </w:r>
      <w:r>
        <w:rPr>
          <w:szCs w:val="24"/>
        </w:rPr>
        <w:t>,</w:t>
      </w:r>
      <w:r w:rsidRPr="0092556D">
        <w:rPr>
          <w:szCs w:val="24"/>
        </w:rPr>
        <w:t xml:space="preserve">738 </w:t>
      </w:r>
      <w:r>
        <w:rPr>
          <w:szCs w:val="24"/>
        </w:rPr>
        <w:t>C</w:t>
      </w:r>
      <w:r w:rsidRPr="0092556D">
        <w:rPr>
          <w:szCs w:val="24"/>
        </w:rPr>
        <w:t>rore</w:t>
      </w:r>
      <w:r>
        <w:rPr>
          <w:szCs w:val="24"/>
        </w:rPr>
        <w:t xml:space="preserve"> (approx.) up to March 31, 2015. </w:t>
      </w:r>
      <w:r w:rsidRPr="0092556D">
        <w:rPr>
          <w:szCs w:val="24"/>
        </w:rPr>
        <w:t>The outstanding debt level of the U.P. D</w:t>
      </w:r>
      <w:r>
        <w:rPr>
          <w:szCs w:val="24"/>
        </w:rPr>
        <w:t>iscom</w:t>
      </w:r>
      <w:r w:rsidRPr="0092556D">
        <w:rPr>
          <w:szCs w:val="24"/>
        </w:rPr>
        <w:t xml:space="preserve">s has </w:t>
      </w:r>
      <w:r>
        <w:rPr>
          <w:szCs w:val="24"/>
        </w:rPr>
        <w:t>reached Rs.53</w:t>
      </w:r>
      <w:r w:rsidR="00B30CFE">
        <w:rPr>
          <w:szCs w:val="24"/>
        </w:rPr>
        <w:t>,</w:t>
      </w:r>
      <w:r>
        <w:rPr>
          <w:szCs w:val="24"/>
        </w:rPr>
        <w:t>211</w:t>
      </w:r>
      <w:r w:rsidR="00B30CFE">
        <w:rPr>
          <w:szCs w:val="24"/>
        </w:rPr>
        <w:t xml:space="preserve"> </w:t>
      </w:r>
      <w:r w:rsidRPr="004C2479">
        <w:rPr>
          <w:szCs w:val="24"/>
        </w:rPr>
        <w:t>C</w:t>
      </w:r>
      <w:r>
        <w:rPr>
          <w:szCs w:val="24"/>
        </w:rPr>
        <w:t xml:space="preserve">rore </w:t>
      </w:r>
      <w:r w:rsidRPr="00F43A92">
        <w:rPr>
          <w:szCs w:val="24"/>
        </w:rPr>
        <w:t>(</w:t>
      </w:r>
      <w:r w:rsidRPr="00FA7B1E">
        <w:rPr>
          <w:szCs w:val="24"/>
        </w:rPr>
        <w:t xml:space="preserve">Figures of outstanding loan as on </w:t>
      </w:r>
      <w:r>
        <w:rPr>
          <w:szCs w:val="24"/>
        </w:rPr>
        <w:lastRenderedPageBreak/>
        <w:t>September 30, 2015</w:t>
      </w:r>
      <w:r w:rsidRPr="00FA7B1E">
        <w:rPr>
          <w:szCs w:val="24"/>
        </w:rPr>
        <w:t xml:space="preserve"> are provisional as all lenders are yet to confirm the outstanding loan data as such the amount of lo</w:t>
      </w:r>
      <w:r w:rsidRPr="00F43A92">
        <w:rPr>
          <w:szCs w:val="24"/>
        </w:rPr>
        <w:t>an may change upon confirmation)</w:t>
      </w:r>
      <w:r>
        <w:rPr>
          <w:szCs w:val="24"/>
        </w:rPr>
        <w:t>at</w:t>
      </w:r>
      <w:r w:rsidRPr="0092556D">
        <w:rPr>
          <w:szCs w:val="24"/>
        </w:rPr>
        <w:t xml:space="preserve"> the end of September 2015. Also, the interest cost burden of nearly Rs. 0.88per unit of sales during FY 15</w:t>
      </w:r>
      <w:r>
        <w:rPr>
          <w:szCs w:val="24"/>
        </w:rPr>
        <w:t>i</w:t>
      </w:r>
      <w:r w:rsidRPr="0092556D">
        <w:rPr>
          <w:szCs w:val="24"/>
        </w:rPr>
        <w:t xml:space="preserve">s significantly higher than the national average of Rs 0.44 per unit only. The </w:t>
      </w:r>
      <w:r>
        <w:rPr>
          <w:szCs w:val="24"/>
        </w:rPr>
        <w:t>Annual Revenue Requirement (</w:t>
      </w:r>
      <w:r w:rsidRPr="0092556D">
        <w:rPr>
          <w:szCs w:val="24"/>
        </w:rPr>
        <w:t>ARR</w:t>
      </w:r>
      <w:r>
        <w:rPr>
          <w:szCs w:val="24"/>
        </w:rPr>
        <w:t>)</w:t>
      </w:r>
      <w:r w:rsidRPr="0092556D">
        <w:rPr>
          <w:szCs w:val="24"/>
        </w:rPr>
        <w:t xml:space="preserve"> is insufficient to meet the </w:t>
      </w:r>
      <w:r>
        <w:rPr>
          <w:szCs w:val="24"/>
        </w:rPr>
        <w:t>Average Cost of Supply (</w:t>
      </w:r>
      <w:r w:rsidRPr="0092556D">
        <w:rPr>
          <w:szCs w:val="24"/>
        </w:rPr>
        <w:t>AC</w:t>
      </w:r>
      <w:r>
        <w:rPr>
          <w:szCs w:val="24"/>
        </w:rPr>
        <w:t>O</w:t>
      </w:r>
      <w:r w:rsidRPr="0092556D">
        <w:rPr>
          <w:szCs w:val="24"/>
        </w:rPr>
        <w:t>S</w:t>
      </w:r>
      <w:r>
        <w:rPr>
          <w:szCs w:val="24"/>
        </w:rPr>
        <w:t>)</w:t>
      </w:r>
      <w:r w:rsidRPr="0092556D">
        <w:rPr>
          <w:szCs w:val="24"/>
        </w:rPr>
        <w:t>, with a cost recovery of only 65.97 %.</w:t>
      </w:r>
    </w:p>
    <w:p w:rsidR="00023318" w:rsidRDefault="00C34658" w:rsidP="00023318">
      <w:pPr>
        <w:pStyle w:val="Heading3"/>
        <w:tabs>
          <w:tab w:val="clear" w:pos="720"/>
        </w:tabs>
        <w:spacing w:after="240"/>
        <w:ind w:left="993" w:hanging="993"/>
      </w:pPr>
      <w:r>
        <w:t>The Distribution Loss trajectory as agreed by the Discoms in the MoU signed under UDAY Scheme is provided below:</w:t>
      </w:r>
    </w:p>
    <w:p w:rsidR="00C34658" w:rsidRPr="00C60AD1" w:rsidRDefault="00C34658" w:rsidP="00C34658">
      <w:pPr>
        <w:spacing w:before="0"/>
        <w:jc w:val="center"/>
        <w:rPr>
          <w:rFonts w:cs="Calibri"/>
          <w:b/>
          <w:sz w:val="22"/>
          <w:szCs w:val="22"/>
          <w:lang w:val="en-US"/>
        </w:rPr>
      </w:pPr>
      <w:bookmarkStart w:id="907" w:name="_Toc453367663"/>
      <w:bookmarkStart w:id="908" w:name="_Toc457355637"/>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13</w:t>
      </w:r>
      <w:r w:rsidR="004A2D9E" w:rsidRPr="00C60AD1">
        <w:rPr>
          <w:rFonts w:cs="Calibri"/>
          <w:b/>
          <w:sz w:val="22"/>
          <w:szCs w:val="22"/>
          <w:lang w:val="en-US"/>
        </w:rPr>
        <w:fldChar w:fldCharType="end"/>
      </w:r>
      <w:r w:rsidRPr="00C60AD1">
        <w:rPr>
          <w:rFonts w:cs="Calibri"/>
          <w:b/>
          <w:sz w:val="22"/>
          <w:szCs w:val="22"/>
          <w:lang w:val="en-US"/>
        </w:rPr>
        <w:t>: SUMMARY OF DISTRIBUTION LOSSES</w:t>
      </w:r>
      <w:r>
        <w:rPr>
          <w:rFonts w:cs="Calibri"/>
          <w:b/>
          <w:sz w:val="22"/>
          <w:szCs w:val="22"/>
          <w:lang w:val="en-US"/>
        </w:rPr>
        <w:t xml:space="preserve"> AS PER MOU SIGNED BY PETITIONER UNDER “UDAY SCHEME”</w:t>
      </w:r>
      <w:bookmarkEnd w:id="907"/>
      <w:bookmarkEnd w:id="908"/>
    </w:p>
    <w:tbl>
      <w:tblPr>
        <w:tblW w:w="5820" w:type="dxa"/>
        <w:jc w:val="center"/>
        <w:tblInd w:w="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309"/>
        <w:gridCol w:w="903"/>
        <w:gridCol w:w="902"/>
        <w:gridCol w:w="902"/>
        <w:gridCol w:w="902"/>
        <w:gridCol w:w="902"/>
      </w:tblGrid>
      <w:tr w:rsidR="00C34658" w:rsidRPr="002B628F" w:rsidTr="00D55642">
        <w:trPr>
          <w:trHeight w:val="300"/>
          <w:jc w:val="center"/>
        </w:trPr>
        <w:tc>
          <w:tcPr>
            <w:tcW w:w="1210"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sidRPr="00027D0D">
              <w:rPr>
                <w:rFonts w:asciiTheme="minorHAnsi" w:hAnsiTheme="minorHAnsi"/>
                <w:b/>
                <w:sz w:val="22"/>
                <w:szCs w:val="22"/>
              </w:rPr>
              <w:t>Distribution Licensee</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2016</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 xml:space="preserve">FY </w:t>
            </w:r>
          </w:p>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2017</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2018</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2019</w:t>
            </w:r>
          </w:p>
        </w:tc>
        <w:tc>
          <w:tcPr>
            <w:tcW w:w="922" w:type="dxa"/>
            <w:shd w:val="clear" w:color="auto" w:fill="DBE5F1" w:themeFill="accent1" w:themeFillTint="33"/>
            <w:vAlign w:val="center"/>
            <w:hideMark/>
          </w:tcPr>
          <w:p w:rsidR="00C34658" w:rsidRPr="002B628F" w:rsidRDefault="00027D0D" w:rsidP="00D55642">
            <w:pPr>
              <w:spacing w:before="0" w:line="240" w:lineRule="auto"/>
              <w:jc w:val="center"/>
              <w:rPr>
                <w:rFonts w:asciiTheme="minorHAnsi" w:hAnsiTheme="minorHAnsi"/>
                <w:b/>
                <w:bCs/>
                <w:color w:val="000000"/>
                <w:sz w:val="22"/>
                <w:szCs w:val="22"/>
                <w:lang w:val="en-IN" w:eastAsia="en-IN"/>
              </w:rPr>
            </w:pPr>
            <w:r>
              <w:rPr>
                <w:rFonts w:asciiTheme="minorHAnsi" w:hAnsiTheme="minorHAnsi"/>
                <w:b/>
                <w:bCs/>
                <w:color w:val="000000"/>
                <w:sz w:val="22"/>
                <w:szCs w:val="22"/>
                <w:lang w:val="en-IN" w:eastAsia="en-IN"/>
              </w:rPr>
              <w:t>FY 2020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DVVNL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27.20%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23.82%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20.07%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16.25%</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12.10%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MVVNL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23.14%</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21.52%</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16.09%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21.49%</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20.20%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15.20%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PuVVNL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22.67%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21.57%</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19.73%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16.43%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12.20%</w:t>
            </w:r>
          </w:p>
        </w:tc>
      </w:tr>
      <w:tr w:rsidR="00C34658" w:rsidRPr="002B628F" w:rsidTr="00D55642">
        <w:trPr>
          <w:trHeight w:val="300"/>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KESCO</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25.58%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22.51%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18.91%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15.13%</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11.80%</w:t>
            </w:r>
          </w:p>
        </w:tc>
      </w:tr>
      <w:tr w:rsidR="00C34658" w:rsidRPr="002B628F" w:rsidTr="00D55642">
        <w:trPr>
          <w:trHeight w:val="315"/>
          <w:jc w:val="center"/>
        </w:trPr>
        <w:tc>
          <w:tcPr>
            <w:tcW w:w="1210" w:type="dxa"/>
            <w:shd w:val="clear" w:color="auto" w:fill="auto"/>
            <w:vAlign w:val="bottom"/>
            <w:hideMark/>
          </w:tcPr>
          <w:p w:rsidR="003267CD" w:rsidRDefault="00027D0D">
            <w:pPr>
              <w:spacing w:before="0" w:line="240" w:lineRule="auto"/>
              <w:rPr>
                <w:rFonts w:asciiTheme="minorHAnsi" w:hAnsiTheme="minorHAnsi"/>
                <w:bCs/>
                <w:color w:val="000000"/>
                <w:sz w:val="22"/>
                <w:szCs w:val="22"/>
                <w:lang w:val="en-IN" w:eastAsia="en-IN"/>
              </w:rPr>
            </w:pPr>
            <w:r>
              <w:rPr>
                <w:rFonts w:asciiTheme="minorHAnsi" w:hAnsiTheme="minorHAnsi"/>
                <w:bCs/>
                <w:color w:val="000000"/>
                <w:sz w:val="22"/>
                <w:szCs w:val="22"/>
                <w:lang w:val="en-IN" w:eastAsia="en-IN"/>
              </w:rPr>
              <w:t>Total</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23.56%</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21.71%</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19.18%</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15.90%</w:t>
            </w:r>
          </w:p>
        </w:tc>
        <w:tc>
          <w:tcPr>
            <w:tcW w:w="922" w:type="dxa"/>
            <w:shd w:val="clear" w:color="auto" w:fill="auto"/>
            <w:vAlign w:val="bottom"/>
            <w:hideMark/>
          </w:tcPr>
          <w:p w:rsidR="00C34658" w:rsidRPr="002B628F" w:rsidRDefault="00027D0D" w:rsidP="00D55642">
            <w:pPr>
              <w:spacing w:before="0" w:line="240" w:lineRule="auto"/>
              <w:jc w:val="center"/>
              <w:rPr>
                <w:rFonts w:asciiTheme="minorHAnsi" w:hAnsiTheme="minorHAnsi"/>
                <w:color w:val="000000"/>
                <w:sz w:val="22"/>
                <w:szCs w:val="22"/>
                <w:lang w:val="en-IN" w:eastAsia="en-IN"/>
              </w:rPr>
            </w:pPr>
            <w:r>
              <w:rPr>
                <w:rFonts w:asciiTheme="minorHAnsi" w:hAnsiTheme="minorHAnsi"/>
                <w:color w:val="000000"/>
                <w:sz w:val="22"/>
                <w:szCs w:val="22"/>
                <w:lang w:val="en-IN" w:eastAsia="en-IN"/>
              </w:rPr>
              <w:t>11.96%</w:t>
            </w:r>
          </w:p>
        </w:tc>
      </w:tr>
    </w:tbl>
    <w:p w:rsidR="003F2D07" w:rsidRDefault="003F2D07">
      <w:pPr>
        <w:pStyle w:val="Heading3"/>
        <w:numPr>
          <w:ilvl w:val="0"/>
          <w:numId w:val="0"/>
        </w:numPr>
        <w:tabs>
          <w:tab w:val="clear" w:pos="720"/>
        </w:tabs>
        <w:spacing w:before="0" w:after="240" w:line="240" w:lineRule="auto"/>
        <w:rPr>
          <w:highlight w:val="yellow"/>
        </w:rPr>
      </w:pPr>
    </w:p>
    <w:p w:rsidR="00023318" w:rsidRDefault="00C34658" w:rsidP="00023318">
      <w:pPr>
        <w:pStyle w:val="Heading3"/>
        <w:tabs>
          <w:tab w:val="clear" w:pos="720"/>
        </w:tabs>
        <w:spacing w:after="240"/>
        <w:ind w:left="993" w:hanging="993"/>
      </w:pPr>
      <w:r>
        <w:t>T</w:t>
      </w:r>
      <w:r w:rsidRPr="008B0C65">
        <w:t xml:space="preserve">he Commission has considered the practical difficulties being faced by the Distribution Licensees in reduction of Distribution Losses. It is well established that there are number of factors such as sales mix, consumer mix, geographical spread of consumers, condition of distribution infrastructure that contribute to the distribution losses. Distribution Licensees during the public hearing process and in various submissions to the Commission explained the steps undertaken by them to improve the supply hours and reduce the distribution losses. They also explained various contributing factors like increased supply hours, new connections addition drives etc. </w:t>
      </w:r>
      <w:r w:rsidRPr="00530A4C">
        <w:t>The Commission</w:t>
      </w:r>
      <w:r w:rsidRPr="008B0C65">
        <w:t xml:space="preserve">, while approving the distribution losses for FY 2016-17 has considered the submission made by the Distribution Licensees and practicality of the Distribution Loss Reduction target.  The Commission has also considered the consumers mix, sales mix and geographical spread of the Distribution Licensees and all other relevant factor contributing to the Distribution Losses in the supply area of Distribution Licensees. </w:t>
      </w:r>
    </w:p>
    <w:p w:rsidR="00023318" w:rsidRDefault="00C34658" w:rsidP="00023318">
      <w:pPr>
        <w:pStyle w:val="Heading3"/>
        <w:tabs>
          <w:tab w:val="clear" w:pos="720"/>
        </w:tabs>
        <w:spacing w:after="240"/>
        <w:ind w:left="993" w:hanging="993"/>
      </w:pPr>
      <w:r w:rsidRPr="008B0C65">
        <w:lastRenderedPageBreak/>
        <w:t>Further, the Commission has also observed that the actual Distribution Losses of Distribution Licensees namely DVVNL and KESCO are very high in last three years and it would be practically difficult for them to achieve even the Distribution loss reduction target set by the Commission for FY 2015</w:t>
      </w:r>
      <w:r>
        <w:t>-16</w:t>
      </w:r>
      <w:r w:rsidRPr="008B0C65">
        <w:t xml:space="preserve">. </w:t>
      </w:r>
      <w:r>
        <w:t>It should also be noted that the Distribution Licensees submitted their Petition for Truing Up for FY 2013-14 and ARR / Tariff determination for FY 2016-17 in early December, 2015 and signed MOU under the UDAY scheme in the month of January, 2016. The Commission believes that the Distribution Licensees must have performed prudence exercise before projecting the loss reduction trajectory to be achieved</w:t>
      </w:r>
      <w:r w:rsidR="00B30CFE">
        <w:t xml:space="preserve"> </w:t>
      </w:r>
      <w:r>
        <w:t xml:space="preserve">during FY 2015-16 to FY 2019-2020 in the MOU and considers the Distribution Loss targets as agreed to be more realistic. </w:t>
      </w:r>
      <w:r w:rsidRPr="008B0C65">
        <w:t>Thus, taking into consideration all the reasons as stated above</w:t>
      </w:r>
      <w:r>
        <w:t>,</w:t>
      </w:r>
      <w:r w:rsidRPr="008B0C65">
        <w:t xml:space="preserve"> actual distribution loss level of last three years</w:t>
      </w:r>
      <w:r>
        <w:t xml:space="preserve"> and the MoU signed by the Discoms under UDAY Scheme</w:t>
      </w:r>
      <w:r w:rsidRPr="008B0C65">
        <w:t xml:space="preserve"> the Commission </w:t>
      </w:r>
      <w:r>
        <w:t xml:space="preserve">directs the Discoms to strictly follow the Distribution Loss trajectory as well as AT&amp;C Loss trajectory as agreed in UDAY Scheme and </w:t>
      </w:r>
      <w:r w:rsidRPr="008B0C65">
        <w:t xml:space="preserve">approves the Distribution Loss targets of the Distribution Licensees </w:t>
      </w:r>
      <w:r>
        <w:t>same as specified under UDAY Scheme for FY 2016-17.</w:t>
      </w:r>
    </w:p>
    <w:p w:rsidR="00023318" w:rsidRDefault="00C34658" w:rsidP="00023318">
      <w:pPr>
        <w:pStyle w:val="Heading3"/>
        <w:tabs>
          <w:tab w:val="clear" w:pos="720"/>
        </w:tabs>
        <w:spacing w:after="240"/>
        <w:ind w:left="993" w:hanging="993"/>
      </w:pPr>
      <w:bookmarkStart w:id="909" w:name="_Toc357349057"/>
      <w:bookmarkStart w:id="910" w:name="_Toc357356110"/>
      <w:bookmarkEnd w:id="894"/>
      <w:bookmarkEnd w:id="895"/>
      <w:r w:rsidRPr="00C60AD1">
        <w:t xml:space="preserve">While projecting the Power Purchase requirement for FY </w:t>
      </w:r>
      <w:r>
        <w:t>2016-17</w:t>
      </w:r>
      <w:r w:rsidRPr="00C60AD1">
        <w:t xml:space="preserve">, the </w:t>
      </w:r>
      <w:r>
        <w:t>Intra State-T</w:t>
      </w:r>
      <w:r w:rsidRPr="00C60AD1">
        <w:t xml:space="preserve">ransmission Losses has been </w:t>
      </w:r>
      <w:r w:rsidRPr="008B0C65">
        <w:t>considered at 3.59%</w:t>
      </w:r>
      <w:r>
        <w:t xml:space="preserve"> same as that approved for FY 2015-16 against the </w:t>
      </w:r>
      <w:r w:rsidRPr="00C60AD1">
        <w:t xml:space="preserve">proposed </w:t>
      </w:r>
      <w:r>
        <w:t xml:space="preserve">3.67% </w:t>
      </w:r>
      <w:r w:rsidRPr="00C60AD1">
        <w:t>by</w:t>
      </w:r>
      <w:r>
        <w:t xml:space="preserve"> the </w:t>
      </w:r>
      <w:r w:rsidRPr="00C60AD1">
        <w:t>Distribution Licensees.</w:t>
      </w:r>
    </w:p>
    <w:p w:rsidR="00023318" w:rsidRDefault="00C34658" w:rsidP="001571A2">
      <w:pPr>
        <w:pStyle w:val="Heading3"/>
        <w:tabs>
          <w:tab w:val="clear" w:pos="720"/>
          <w:tab w:val="left" w:pos="90"/>
        </w:tabs>
        <w:spacing w:after="240"/>
        <w:ind w:left="993" w:hanging="993"/>
      </w:pPr>
      <w:r w:rsidRPr="00C60AD1">
        <w:t xml:space="preserve">Based on the above, the approved energy balance for FY </w:t>
      </w:r>
      <w:r>
        <w:t>2016-17</w:t>
      </w:r>
      <w:r w:rsidRPr="00C60AD1">
        <w:t xml:space="preserve"> for the State owned Distribution Licensees is shown in the Table below:</w:t>
      </w:r>
      <w:bookmarkEnd w:id="909"/>
      <w:bookmarkEnd w:id="910"/>
    </w:p>
    <w:p w:rsidR="00C34658" w:rsidRPr="00C60AD1" w:rsidRDefault="00C34658" w:rsidP="00C34658">
      <w:pPr>
        <w:spacing w:before="0"/>
        <w:jc w:val="center"/>
        <w:rPr>
          <w:i/>
          <w:szCs w:val="23"/>
        </w:rPr>
      </w:pPr>
      <w:bookmarkStart w:id="911" w:name="_Toc338310674"/>
      <w:bookmarkStart w:id="912" w:name="_Toc338419504"/>
      <w:bookmarkStart w:id="913" w:name="_Toc357721095"/>
      <w:bookmarkStart w:id="914" w:name="_Toc395657932"/>
      <w:bookmarkStart w:id="915" w:name="_Toc396573983"/>
      <w:bookmarkStart w:id="916" w:name="_Toc399624084"/>
      <w:bookmarkStart w:id="917" w:name="_Toc453367664"/>
      <w:bookmarkStart w:id="918" w:name="_Toc457355638"/>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14</w:t>
      </w:r>
      <w:r w:rsidR="004A2D9E" w:rsidRPr="00C60AD1">
        <w:rPr>
          <w:rFonts w:cs="Calibri"/>
          <w:b/>
          <w:sz w:val="22"/>
          <w:szCs w:val="22"/>
          <w:lang w:val="en-US"/>
        </w:rPr>
        <w:fldChar w:fldCharType="end"/>
      </w:r>
      <w:r w:rsidRPr="00C60AD1">
        <w:rPr>
          <w:rFonts w:cs="Calibri"/>
          <w:b/>
          <w:sz w:val="22"/>
          <w:szCs w:val="22"/>
          <w:lang w:val="en-US"/>
        </w:rPr>
        <w:t xml:space="preserve">: APPROVED ENERGY BALANCE FOR FY </w:t>
      </w:r>
      <w:bookmarkEnd w:id="911"/>
      <w:bookmarkEnd w:id="912"/>
      <w:bookmarkEnd w:id="913"/>
      <w:bookmarkEnd w:id="914"/>
      <w:bookmarkEnd w:id="915"/>
      <w:bookmarkEnd w:id="916"/>
      <w:r>
        <w:rPr>
          <w:rFonts w:cs="Calibri"/>
          <w:b/>
          <w:sz w:val="22"/>
          <w:szCs w:val="22"/>
          <w:lang w:val="en-US"/>
        </w:rPr>
        <w:t>2016-17</w:t>
      </w:r>
      <w:bookmarkEnd w:id="917"/>
      <w:bookmarkEnd w:id="918"/>
    </w:p>
    <w:tbl>
      <w:tblPr>
        <w:tblW w:w="0" w:type="auto"/>
        <w:jc w:val="center"/>
        <w:tblInd w:w="-1962" w:type="dxa"/>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Layout w:type="fixed"/>
        <w:tblLook w:val="04A0"/>
      </w:tblPr>
      <w:tblGrid>
        <w:gridCol w:w="4751"/>
        <w:gridCol w:w="1276"/>
        <w:gridCol w:w="1725"/>
      </w:tblGrid>
      <w:tr w:rsidR="002E2D2A" w:rsidRPr="007D0096" w:rsidTr="002E2D2A">
        <w:trPr>
          <w:trHeight w:val="300"/>
          <w:tblHeader/>
          <w:jc w:val="center"/>
        </w:trPr>
        <w:tc>
          <w:tcPr>
            <w:tcW w:w="4751" w:type="dxa"/>
            <w:shd w:val="clear" w:color="000000" w:fill="DBE5F1"/>
            <w:noWrap/>
            <w:hideMark/>
          </w:tcPr>
          <w:p w:rsidR="002E2D2A" w:rsidRPr="008B0C65" w:rsidRDefault="002E2D2A" w:rsidP="00D55642">
            <w:pPr>
              <w:spacing w:before="0" w:line="240" w:lineRule="auto"/>
              <w:jc w:val="left"/>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Particulars</w:t>
            </w:r>
          </w:p>
        </w:tc>
        <w:tc>
          <w:tcPr>
            <w:tcW w:w="1276" w:type="dxa"/>
            <w:shd w:val="clear" w:color="000000" w:fill="DBE5F1"/>
            <w:hideMark/>
          </w:tcPr>
          <w:p w:rsidR="002E2D2A" w:rsidRPr="007D0096" w:rsidRDefault="002E2D2A"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KESCO</w:t>
            </w:r>
          </w:p>
        </w:tc>
        <w:tc>
          <w:tcPr>
            <w:tcW w:w="1725" w:type="dxa"/>
            <w:shd w:val="clear" w:color="000000" w:fill="DBE5F1"/>
            <w:hideMark/>
          </w:tcPr>
          <w:p w:rsidR="002E2D2A" w:rsidRPr="007D0096" w:rsidRDefault="002E2D2A" w:rsidP="00D55642">
            <w:pPr>
              <w:spacing w:before="0" w:line="240" w:lineRule="auto"/>
              <w:jc w:val="center"/>
              <w:rPr>
                <w:rFonts w:asciiTheme="minorHAnsi" w:hAnsiTheme="minorHAnsi"/>
                <w:b/>
                <w:bCs/>
                <w:color w:val="000000"/>
                <w:sz w:val="22"/>
                <w:szCs w:val="22"/>
                <w:lang w:val="en-US"/>
              </w:rPr>
            </w:pPr>
            <w:r w:rsidRPr="008B0C65">
              <w:rPr>
                <w:rFonts w:asciiTheme="minorHAnsi" w:hAnsiTheme="minorHAnsi"/>
                <w:b/>
                <w:bCs/>
                <w:color w:val="000000"/>
                <w:sz w:val="22"/>
                <w:szCs w:val="22"/>
                <w:lang w:val="en-US"/>
              </w:rPr>
              <w:t>Consolidated</w:t>
            </w:r>
            <w:r>
              <w:rPr>
                <w:rFonts w:asciiTheme="minorHAnsi" w:hAnsiTheme="minorHAnsi"/>
                <w:b/>
                <w:bCs/>
                <w:color w:val="000000"/>
                <w:sz w:val="22"/>
                <w:szCs w:val="22"/>
                <w:lang w:val="en-US"/>
              </w:rPr>
              <w:t>*</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Retail Sales (MU)</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3,278.36 </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rPr>
            </w:pPr>
            <w:r w:rsidRPr="008B0C65">
              <w:rPr>
                <w:rFonts w:asciiTheme="minorHAnsi" w:hAnsiTheme="minorHAnsi"/>
                <w:color w:val="000000"/>
                <w:sz w:val="22"/>
                <w:szCs w:val="22"/>
              </w:rPr>
              <w:t xml:space="preserve">94,599.33 </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Distribution Losses (%)</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22.51%</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21.70%</w:t>
            </w:r>
          </w:p>
        </w:tc>
      </w:tr>
      <w:tr w:rsidR="002E2D2A" w:rsidRPr="007D0096" w:rsidTr="002E2D2A">
        <w:trPr>
          <w:trHeight w:val="379"/>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Energy at Discom Periphery for Retail Sales (MU)</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4,230.68 </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120,813.12 </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Inter-State Transmission Losses %</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3.59%</w:t>
            </w:r>
          </w:p>
        </w:tc>
      </w:tr>
      <w:tr w:rsidR="002E2D2A" w:rsidRPr="007D0096" w:rsidTr="002E2D2A">
        <w:trPr>
          <w:trHeight w:val="300"/>
          <w:jc w:val="center"/>
        </w:trPr>
        <w:tc>
          <w:tcPr>
            <w:tcW w:w="4751" w:type="dxa"/>
            <w:shd w:val="clear" w:color="auto" w:fill="auto"/>
            <w:vAlign w:val="center"/>
            <w:hideMark/>
          </w:tcPr>
          <w:p w:rsidR="002E2D2A" w:rsidRDefault="002E2D2A">
            <w:pPr>
              <w:spacing w:before="0" w:line="240" w:lineRule="auto"/>
              <w:rPr>
                <w:rFonts w:asciiTheme="minorHAnsi" w:hAnsiTheme="minorHAnsi"/>
                <w:sz w:val="22"/>
                <w:szCs w:val="22"/>
                <w:lang w:val="en-US"/>
              </w:rPr>
            </w:pPr>
            <w:r w:rsidRPr="008B0C65">
              <w:rPr>
                <w:rFonts w:asciiTheme="minorHAnsi" w:hAnsiTheme="minorHAnsi"/>
                <w:sz w:val="22"/>
                <w:szCs w:val="22"/>
              </w:rPr>
              <w:t>Energy Available at State periphery for Transmission(MU)</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4,388.22 </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125,311.82 </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sz w:val="22"/>
                <w:szCs w:val="22"/>
              </w:rPr>
              <w:t>Periphery Loss (Upto inter connection Point) (%)</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1.65%</w:t>
            </w:r>
          </w:p>
        </w:tc>
      </w:tr>
      <w:tr w:rsidR="002E2D2A" w:rsidRPr="007D0096" w:rsidTr="002E2D2A">
        <w:trPr>
          <w:trHeight w:val="300"/>
          <w:jc w:val="center"/>
        </w:trPr>
        <w:tc>
          <w:tcPr>
            <w:tcW w:w="4751" w:type="dxa"/>
            <w:shd w:val="clear" w:color="auto" w:fill="auto"/>
            <w:vAlign w:val="center"/>
            <w:hideMark/>
          </w:tcPr>
          <w:p w:rsidR="002E2D2A" w:rsidRDefault="002E2D2A">
            <w:pPr>
              <w:spacing w:before="0" w:line="240" w:lineRule="auto"/>
              <w:rPr>
                <w:rFonts w:asciiTheme="minorHAnsi" w:hAnsiTheme="minorHAnsi"/>
                <w:sz w:val="22"/>
                <w:szCs w:val="22"/>
                <w:lang w:val="en-US"/>
              </w:rPr>
            </w:pPr>
            <w:r w:rsidRPr="008B0C65">
              <w:rPr>
                <w:rFonts w:asciiTheme="minorHAnsi" w:hAnsiTheme="minorHAnsi"/>
                <w:sz w:val="22"/>
                <w:szCs w:val="22"/>
              </w:rPr>
              <w:t>Purchases Required &amp; Billed Energy (MU)</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4,461.84 </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127,414.15 </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color w:val="000000"/>
                <w:sz w:val="22"/>
                <w:szCs w:val="22"/>
                <w:lang w:val="en-US"/>
              </w:rPr>
            </w:pPr>
            <w:r w:rsidRPr="008B0C65">
              <w:rPr>
                <w:rFonts w:asciiTheme="minorHAnsi" w:hAnsiTheme="minorHAnsi"/>
                <w:color w:val="000000"/>
                <w:sz w:val="22"/>
                <w:szCs w:val="22"/>
              </w:rPr>
              <w:t>Total Inter &amp; Intra State Transmission Losses (%)</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5.18%</w:t>
            </w:r>
          </w:p>
        </w:tc>
      </w:tr>
      <w:tr w:rsidR="002E2D2A" w:rsidRPr="007D0096" w:rsidTr="002E2D2A">
        <w:trPr>
          <w:trHeight w:val="300"/>
          <w:jc w:val="center"/>
        </w:trPr>
        <w:tc>
          <w:tcPr>
            <w:tcW w:w="4751" w:type="dxa"/>
            <w:shd w:val="clear" w:color="auto" w:fill="auto"/>
            <w:noWrap/>
            <w:vAlign w:val="center"/>
            <w:hideMark/>
          </w:tcPr>
          <w:p w:rsidR="002E2D2A" w:rsidRDefault="002E2D2A">
            <w:pPr>
              <w:spacing w:before="0" w:line="240" w:lineRule="auto"/>
              <w:rPr>
                <w:rFonts w:asciiTheme="minorHAnsi" w:hAnsiTheme="minorHAnsi"/>
                <w:b/>
                <w:bCs/>
                <w:color w:val="000000"/>
                <w:sz w:val="22"/>
                <w:szCs w:val="22"/>
                <w:lang w:val="en-US"/>
              </w:rPr>
            </w:pPr>
            <w:r w:rsidRPr="008B0C65">
              <w:rPr>
                <w:rFonts w:asciiTheme="minorHAnsi" w:hAnsiTheme="minorHAnsi"/>
                <w:b/>
                <w:bCs/>
                <w:color w:val="000000"/>
                <w:sz w:val="22"/>
                <w:szCs w:val="22"/>
              </w:rPr>
              <w:t>Total T&amp;D Losses in Retail Sales (MU) / (%)</w:t>
            </w:r>
          </w:p>
        </w:tc>
        <w:tc>
          <w:tcPr>
            <w:tcW w:w="1276"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 xml:space="preserve">1,183.48 </w:t>
            </w:r>
          </w:p>
        </w:tc>
        <w:tc>
          <w:tcPr>
            <w:tcW w:w="1725" w:type="dxa"/>
            <w:shd w:val="clear" w:color="auto" w:fill="auto"/>
            <w:noWrap/>
            <w:vAlign w:val="center"/>
            <w:hideMark/>
          </w:tcPr>
          <w:p w:rsidR="002E2D2A" w:rsidRPr="007D0096" w:rsidRDefault="002E2D2A" w:rsidP="00D55642">
            <w:pPr>
              <w:spacing w:before="0" w:line="240" w:lineRule="auto"/>
              <w:jc w:val="right"/>
              <w:rPr>
                <w:rFonts w:asciiTheme="minorHAnsi" w:hAnsiTheme="minorHAnsi"/>
                <w:color w:val="000000"/>
                <w:sz w:val="22"/>
                <w:szCs w:val="22"/>
                <w:lang w:val="en-US"/>
              </w:rPr>
            </w:pPr>
            <w:r w:rsidRPr="008B0C65">
              <w:rPr>
                <w:rFonts w:asciiTheme="minorHAnsi" w:hAnsiTheme="minorHAnsi"/>
                <w:color w:val="000000"/>
                <w:sz w:val="22"/>
                <w:szCs w:val="22"/>
              </w:rPr>
              <w:t>25.75%</w:t>
            </w:r>
          </w:p>
        </w:tc>
      </w:tr>
    </w:tbl>
    <w:p w:rsidR="00C34658" w:rsidRPr="00C60AD1" w:rsidRDefault="002E2D2A" w:rsidP="00C34658">
      <w:pPr>
        <w:spacing w:before="0"/>
        <w:rPr>
          <w:i/>
          <w:szCs w:val="23"/>
        </w:rPr>
      </w:pPr>
      <w:r>
        <w:rPr>
          <w:i/>
          <w:szCs w:val="23"/>
        </w:rPr>
        <w:tab/>
        <w:t>*</w:t>
      </w:r>
      <w:r w:rsidRPr="002E2D2A">
        <w:rPr>
          <w:i/>
          <w:sz w:val="22"/>
        </w:rPr>
        <w:t xml:space="preserve"> </w:t>
      </w:r>
      <w:r w:rsidRPr="001C25B2">
        <w:rPr>
          <w:i/>
          <w:sz w:val="22"/>
        </w:rPr>
        <w:t>Consolidated State Sector includes DVVNL, MVVNL, PVVNL, PuVVNL and KESCO</w:t>
      </w:r>
    </w:p>
    <w:p w:rsidR="00023318" w:rsidRDefault="00C34658" w:rsidP="00023318">
      <w:pPr>
        <w:pStyle w:val="Heading3"/>
        <w:tabs>
          <w:tab w:val="clear" w:pos="720"/>
        </w:tabs>
        <w:spacing w:after="240"/>
        <w:ind w:left="993" w:hanging="993"/>
      </w:pPr>
      <w:r w:rsidRPr="00C60AD1">
        <w:lastRenderedPageBreak/>
        <w:t>The distribution losses and the collection efficiency are the two critical parameters to evaluate the performance of a Distribution Licensee and have to be brought to the desired levels, based on sound and authentic data and study analysis.</w:t>
      </w:r>
    </w:p>
    <w:p w:rsidR="00023318" w:rsidRDefault="00C34658" w:rsidP="00023318">
      <w:pPr>
        <w:pStyle w:val="Heading3"/>
        <w:tabs>
          <w:tab w:val="clear" w:pos="720"/>
        </w:tabs>
        <w:spacing w:after="240"/>
        <w:ind w:left="993" w:hanging="993"/>
      </w:pPr>
      <w:r w:rsidRPr="008B0C65">
        <w:t xml:space="preserve">Although the Commission while doing the True-up of previous years has disallowed the excess power purchase cost on account of higher losses, it is important to note that such disallowance of the cost is borne by the Distribution Licensees and the officials responsible for not achieving the targets have no direct accountability. The Commission opines that this methodology of reducing the power purchase cost on account of distribution losses neither directly affects the officials responsible for achieving the target loss levels nor does it encourage the employees to strive for achieving the loss targets for the benefit of the utility. </w:t>
      </w:r>
    </w:p>
    <w:p w:rsidR="00023318" w:rsidRDefault="00C34658" w:rsidP="00023318">
      <w:pPr>
        <w:pStyle w:val="Heading3"/>
        <w:tabs>
          <w:tab w:val="clear" w:pos="720"/>
        </w:tabs>
        <w:spacing w:after="240"/>
        <w:ind w:left="993" w:hanging="993"/>
      </w:pPr>
      <w:r w:rsidRPr="008B0C65">
        <w:t xml:space="preserve">Further, it is a common industry practice that the employees achieving or exceeding their targets are provided with bonus / incentives. Such practice may be introduced for the officials of the Distribution Licensees so as to encourage them to assist the utilities to achieve the targeted losses / collection efficiency. The accountability of achieving the targets should be assigned to the responsible officials. </w:t>
      </w:r>
    </w:p>
    <w:p w:rsidR="00023318" w:rsidRDefault="00C34658" w:rsidP="00023318">
      <w:pPr>
        <w:pStyle w:val="Heading3"/>
        <w:tabs>
          <w:tab w:val="clear" w:pos="720"/>
        </w:tabs>
        <w:spacing w:after="240"/>
        <w:ind w:left="993" w:hanging="993"/>
      </w:pPr>
      <w:bookmarkStart w:id="919" w:name="_Ref399524070"/>
      <w:r w:rsidRPr="008B0C65">
        <w:t>In view of the above, Commission in its Tariff Order for FY 2014-15 dated October 1,</w:t>
      </w:r>
      <w:r w:rsidR="002D54E4">
        <w:t xml:space="preserve"> </w:t>
      </w:r>
      <w:r w:rsidRPr="008B0C65">
        <w:t xml:space="preserve">2014 has directed the </w:t>
      </w:r>
      <w:r>
        <w:t>D</w:t>
      </w:r>
      <w:r w:rsidRPr="008B0C65">
        <w:t>istribution Licensee to formulate a mechanism so as to make their officials accountable by providing incentives or disincentives for achievement or non-achievement of the distribution loss and the collection efficiency targets. The relevant extract of the direction of Commission is given below:</w:t>
      </w:r>
    </w:p>
    <w:p w:rsidR="001F4A53" w:rsidRPr="001C25B2" w:rsidRDefault="00E527D4" w:rsidP="001F4A53">
      <w:pPr>
        <w:pStyle w:val="Heading3"/>
        <w:numPr>
          <w:ilvl w:val="0"/>
          <w:numId w:val="0"/>
        </w:numPr>
        <w:tabs>
          <w:tab w:val="clear" w:pos="720"/>
        </w:tabs>
        <w:spacing w:after="240"/>
        <w:ind w:left="1713"/>
        <w:rPr>
          <w:i/>
        </w:rPr>
      </w:pPr>
      <w:r>
        <w:rPr>
          <w:i/>
        </w:rPr>
        <w:t>“</w:t>
      </w:r>
      <w:r w:rsidR="001F4A53" w:rsidRPr="001C25B2">
        <w:rPr>
          <w:i/>
        </w:rPr>
        <w:t>9.3.24 In view of the above, the Commission directs the Distribution Licensees to formulate a mechanism so as to make their officials accountable by providing incentives or disincentives for achievement or non-achievement of distribution loss and the collection efficiency targets. Further, such policy should also cover the following aspects:</w:t>
      </w:r>
    </w:p>
    <w:p w:rsidR="001F4A53" w:rsidRPr="001C25B2" w:rsidRDefault="001F4A53" w:rsidP="00EC6AAC">
      <w:pPr>
        <w:pStyle w:val="Heading3"/>
        <w:numPr>
          <w:ilvl w:val="0"/>
          <w:numId w:val="65"/>
        </w:numPr>
        <w:tabs>
          <w:tab w:val="clear" w:pos="720"/>
        </w:tabs>
        <w:spacing w:before="0"/>
        <w:rPr>
          <w:i/>
        </w:rPr>
      </w:pPr>
      <w:r w:rsidRPr="001C25B2">
        <w:rPr>
          <w:i/>
        </w:rPr>
        <w:t>Allocation of such distribution loss and collection efficiency targets to various responsible officials based on current level of losses and efficiency levels in their area / zone / circle / division / sub-station, etc.</w:t>
      </w:r>
    </w:p>
    <w:p w:rsidR="001F4A53" w:rsidRPr="001C25B2" w:rsidRDefault="001F4A53" w:rsidP="00EC6AAC">
      <w:pPr>
        <w:pStyle w:val="Heading3"/>
        <w:numPr>
          <w:ilvl w:val="0"/>
          <w:numId w:val="65"/>
        </w:numPr>
        <w:tabs>
          <w:tab w:val="clear" w:pos="720"/>
        </w:tabs>
        <w:spacing w:before="0"/>
        <w:rPr>
          <w:i/>
        </w:rPr>
      </w:pPr>
      <w:r w:rsidRPr="001C25B2">
        <w:rPr>
          <w:i/>
        </w:rPr>
        <w:lastRenderedPageBreak/>
        <w:t xml:space="preserve">The system of MoU signed by concerned Officer(s) regarding distribution loss target, which can be based on input energy, billed energy / amount and collection efficiency, etc. - Fixing of accountability of the concerned personnel of the Utilities will help considerably in reduction of losses. This may include making the relevant field level personnel accountable and through monitoring of their performance, to achieve results in the form of reduction of losses. Similarly, holding officials responsible for various Zone / Circle / Division / sub-station wise revenue related performance parameters such as reduction in arrears, etc., will help the Distribution Licensees in improving the cash flows for day to day operations. </w:t>
      </w:r>
    </w:p>
    <w:p w:rsidR="001F4A53" w:rsidRPr="001C25B2" w:rsidRDefault="001F4A53" w:rsidP="00EC6AAC">
      <w:pPr>
        <w:pStyle w:val="Heading3"/>
        <w:numPr>
          <w:ilvl w:val="0"/>
          <w:numId w:val="65"/>
        </w:numPr>
        <w:tabs>
          <w:tab w:val="clear" w:pos="720"/>
        </w:tabs>
        <w:spacing w:before="0"/>
        <w:rPr>
          <w:i/>
        </w:rPr>
      </w:pPr>
      <w:r w:rsidRPr="001C25B2">
        <w:rPr>
          <w:i/>
        </w:rPr>
        <w:t>Senior officials including Chairman UPPCL, Managing Director, UPPCL, Managing Directors of all State owned Distribution Utilities and all other officials upto Junior Engineer level as per the hierarchy shall be part of the process of signing of the above MoU.</w:t>
      </w:r>
    </w:p>
    <w:p w:rsidR="001F4A53" w:rsidRPr="001C25B2" w:rsidRDefault="001F4A53" w:rsidP="00EC6AAC">
      <w:pPr>
        <w:pStyle w:val="Heading3"/>
        <w:numPr>
          <w:ilvl w:val="0"/>
          <w:numId w:val="65"/>
        </w:numPr>
        <w:tabs>
          <w:tab w:val="clear" w:pos="720"/>
        </w:tabs>
        <w:spacing w:before="0"/>
        <w:rPr>
          <w:i/>
        </w:rPr>
      </w:pPr>
      <w:r w:rsidRPr="001C25B2">
        <w:rPr>
          <w:i/>
        </w:rPr>
        <w:t>Formulation of clear mechanism of providing the incentives or disincentives to the concerned officials.</w:t>
      </w:r>
    </w:p>
    <w:p w:rsidR="001F4A53" w:rsidRPr="001C25B2" w:rsidRDefault="001F4A53" w:rsidP="00EC6AAC">
      <w:pPr>
        <w:pStyle w:val="Heading3"/>
        <w:numPr>
          <w:ilvl w:val="0"/>
          <w:numId w:val="65"/>
        </w:numPr>
        <w:tabs>
          <w:tab w:val="clear" w:pos="720"/>
        </w:tabs>
        <w:spacing w:before="0"/>
        <w:rPr>
          <w:i/>
        </w:rPr>
      </w:pPr>
      <w:r w:rsidRPr="001C25B2">
        <w:rPr>
          <w:i/>
        </w:rPr>
        <w:t>Regular monitoring of the entire mechanism along with submission of monthly reports to the Commission.</w:t>
      </w:r>
    </w:p>
    <w:p w:rsidR="001F4A53" w:rsidRPr="001C25B2" w:rsidRDefault="001F4A53" w:rsidP="00EC6AAC">
      <w:pPr>
        <w:pStyle w:val="Heading3"/>
        <w:numPr>
          <w:ilvl w:val="0"/>
          <w:numId w:val="65"/>
        </w:numPr>
        <w:tabs>
          <w:tab w:val="clear" w:pos="720"/>
        </w:tabs>
        <w:spacing w:before="0" w:after="240"/>
      </w:pPr>
      <w:r w:rsidRPr="001C25B2">
        <w:rPr>
          <w:bCs w:val="0"/>
          <w:i/>
        </w:rPr>
        <w:t>Further, the organisational structure and management system of the Distribution Licensees are best understood by the Distribution Licensees, hence, it would be more appropriate that any other important aspect as deemed necessary by the Licensees may also be included in addition to the above.</w:t>
      </w:r>
    </w:p>
    <w:p w:rsidR="00C34658" w:rsidRDefault="001F4A53" w:rsidP="001F4A53">
      <w:pPr>
        <w:pStyle w:val="Heading3"/>
        <w:numPr>
          <w:ilvl w:val="0"/>
          <w:numId w:val="0"/>
        </w:numPr>
        <w:tabs>
          <w:tab w:val="clear" w:pos="720"/>
        </w:tabs>
        <w:spacing w:after="240"/>
        <w:ind w:left="1713"/>
        <w:rPr>
          <w:i/>
        </w:rPr>
      </w:pPr>
      <w:r w:rsidRPr="001C25B2">
        <w:t xml:space="preserve">9.3.25 The </w:t>
      </w:r>
      <w:r w:rsidRPr="001C25B2">
        <w:rPr>
          <w:i/>
        </w:rPr>
        <w:t>Petitioner, in its submissions on the In-House paper prepared by the Commission in this regards have also agreed to the Commission’s approach to get the MoU signed by its officials. The Commission further directs the Petitioner to submit draft MoU to be implemented at all levels for the Commission’s consideration within one month of the issue of this Order.</w:t>
      </w:r>
      <w:bookmarkEnd w:id="919"/>
      <w:r w:rsidR="00C34658">
        <w:rPr>
          <w:i/>
        </w:rPr>
        <w:t>”</w:t>
      </w:r>
    </w:p>
    <w:p w:rsidR="00023318" w:rsidRDefault="00C34658" w:rsidP="00023318">
      <w:pPr>
        <w:pStyle w:val="Heading3"/>
        <w:tabs>
          <w:tab w:val="clear" w:pos="720"/>
        </w:tabs>
        <w:ind w:left="936"/>
      </w:pPr>
      <w:r w:rsidRPr="008B0C65">
        <w:t>In this regard, the Commission in its Tariff Order for F</w:t>
      </w:r>
      <w:r>
        <w:t>Y</w:t>
      </w:r>
      <w:r w:rsidRPr="008B0C65">
        <w:t xml:space="preserve"> 2015-16 had given the following direction.</w:t>
      </w:r>
    </w:p>
    <w:p w:rsidR="00C34658" w:rsidRDefault="00C34658" w:rsidP="00C34658">
      <w:pPr>
        <w:pStyle w:val="Heading3"/>
        <w:numPr>
          <w:ilvl w:val="0"/>
          <w:numId w:val="0"/>
        </w:numPr>
        <w:ind w:left="1440"/>
        <w:rPr>
          <w:b/>
          <w:i/>
        </w:rPr>
      </w:pPr>
      <w:r w:rsidRPr="008B0C65">
        <w:rPr>
          <w:b/>
          <w:i/>
        </w:rPr>
        <w:t xml:space="preserve">“5.3.22 The Commission reiterate&amp; directs the Petitioner to formulate such policy and to sign the MoUs to be implemented at all levels and </w:t>
      </w:r>
      <w:r w:rsidRPr="008B0C65">
        <w:rPr>
          <w:b/>
          <w:i/>
        </w:rPr>
        <w:lastRenderedPageBreak/>
        <w:t>submit the copy of the same to the Commission within three months from the date of this Order.”</w:t>
      </w:r>
    </w:p>
    <w:p w:rsidR="00023318" w:rsidRDefault="00C34658" w:rsidP="00023318">
      <w:pPr>
        <w:pStyle w:val="Heading3"/>
        <w:tabs>
          <w:tab w:val="clear" w:pos="720"/>
        </w:tabs>
        <w:ind w:left="936"/>
      </w:pPr>
      <w:r w:rsidRPr="008B0C65">
        <w:t xml:space="preserve">In reply to </w:t>
      </w:r>
      <w:r>
        <w:t xml:space="preserve">the </w:t>
      </w:r>
      <w:r w:rsidRPr="008B0C65">
        <w:t>Commission’s query regar</w:t>
      </w:r>
      <w:r>
        <w:t>d</w:t>
      </w:r>
      <w:r w:rsidRPr="008B0C65">
        <w:t xml:space="preserve">ing submission of the </w:t>
      </w:r>
      <w:r>
        <w:t xml:space="preserve">signed </w:t>
      </w:r>
      <w:r w:rsidRPr="008B0C65">
        <w:t>MOU</w:t>
      </w:r>
      <w:r>
        <w:t>,</w:t>
      </w:r>
      <w:r w:rsidRPr="008B0C65">
        <w:t xml:space="preserve"> the</w:t>
      </w:r>
      <w:r>
        <w:t xml:space="preserve"> Licensee has sought some more time to comply with the Commission’s direction. </w:t>
      </w:r>
      <w:r w:rsidRPr="008B0C65">
        <w:rPr>
          <w:b/>
        </w:rPr>
        <w:t>The Commission again directs the Licensee to expedite the process to comply with the direction given by the Commission and submit the same at the earliest</w:t>
      </w:r>
      <w:r w:rsidRPr="006C2141">
        <w:t>.</w:t>
      </w:r>
    </w:p>
    <w:p w:rsidR="00C34658" w:rsidRDefault="00C34658" w:rsidP="00C34658">
      <w:pPr>
        <w:pStyle w:val="Heading3"/>
        <w:numPr>
          <w:ilvl w:val="0"/>
          <w:numId w:val="0"/>
        </w:numPr>
        <w:tabs>
          <w:tab w:val="clear" w:pos="720"/>
        </w:tabs>
        <w:spacing w:after="240"/>
        <w:ind w:left="993"/>
      </w:pPr>
      <w:bookmarkStart w:id="920" w:name="_Toc356322590"/>
      <w:bookmarkStart w:id="921" w:name="_Toc420193384"/>
      <w:bookmarkStart w:id="922" w:name="_Toc420193526"/>
      <w:bookmarkStart w:id="923" w:name="_Toc420196273"/>
      <w:bookmarkStart w:id="924" w:name="_Toc420197527"/>
      <w:bookmarkStart w:id="925" w:name="_Toc453268696"/>
      <w:bookmarkStart w:id="926" w:name="_Toc453271592"/>
      <w:bookmarkStart w:id="927" w:name="_Toc420193398"/>
      <w:bookmarkStart w:id="928" w:name="_Toc420193537"/>
      <w:bookmarkStart w:id="929" w:name="_Toc420196279"/>
      <w:bookmarkStart w:id="930" w:name="_Toc420197533"/>
      <w:bookmarkStart w:id="931" w:name="_Toc453268701"/>
      <w:bookmarkStart w:id="932" w:name="_Toc453271597"/>
      <w:bookmarkEnd w:id="920"/>
      <w:bookmarkEnd w:id="921"/>
      <w:bookmarkEnd w:id="922"/>
      <w:bookmarkEnd w:id="923"/>
      <w:bookmarkEnd w:id="924"/>
      <w:bookmarkEnd w:id="925"/>
      <w:bookmarkEnd w:id="926"/>
      <w:bookmarkEnd w:id="927"/>
      <w:bookmarkEnd w:id="928"/>
      <w:bookmarkEnd w:id="929"/>
      <w:bookmarkEnd w:id="930"/>
      <w:bookmarkEnd w:id="931"/>
      <w:bookmarkEnd w:id="932"/>
    </w:p>
    <w:p w:rsidR="00C34658" w:rsidRPr="00C60AD1" w:rsidRDefault="00C34658" w:rsidP="00BA3941">
      <w:pPr>
        <w:pStyle w:val="Heading2"/>
        <w:numPr>
          <w:ilvl w:val="1"/>
          <w:numId w:val="14"/>
        </w:numPr>
      </w:pPr>
      <w:bookmarkStart w:id="933" w:name="_Toc453367612"/>
      <w:bookmarkStart w:id="934" w:name="_Toc457355489"/>
      <w:r w:rsidRPr="00C60AD1">
        <w:t xml:space="preserve">ANNUAL REVENUE REQUIREMENT OF </w:t>
      </w:r>
      <w:r w:rsidR="004D3C07">
        <w:t>KESCO</w:t>
      </w:r>
      <w:r w:rsidRPr="00C60AD1">
        <w:t xml:space="preserve"> FOR FY </w:t>
      </w:r>
      <w:r>
        <w:t>2016-17</w:t>
      </w:r>
      <w:bookmarkEnd w:id="933"/>
      <w:bookmarkEnd w:id="934"/>
    </w:p>
    <w:p w:rsidR="00023318" w:rsidRDefault="00C34658" w:rsidP="00023318">
      <w:pPr>
        <w:pStyle w:val="Heading3"/>
        <w:tabs>
          <w:tab w:val="clear" w:pos="720"/>
        </w:tabs>
        <w:spacing w:after="240"/>
        <w:ind w:left="993" w:hanging="993"/>
      </w:pPr>
      <w:r w:rsidRPr="00C60AD1">
        <w:t xml:space="preserve">The Petitioner </w:t>
      </w:r>
      <w:r>
        <w:t xml:space="preserve">has </w:t>
      </w:r>
      <w:r w:rsidRPr="00C60AD1">
        <w:t xml:space="preserve">submitted that the Distribution Tariff Regulations, 2006 requires the Licensee to file Aggregate Revenue Requirement (ARR) complete in all respect along with requisite fees as prescribed by the Commission. </w:t>
      </w:r>
    </w:p>
    <w:p w:rsidR="00023318" w:rsidRDefault="00C34658" w:rsidP="00023318">
      <w:pPr>
        <w:pStyle w:val="Heading3"/>
        <w:tabs>
          <w:tab w:val="clear" w:pos="720"/>
        </w:tabs>
        <w:spacing w:after="240"/>
        <w:ind w:left="993" w:hanging="993"/>
      </w:pPr>
      <w:r w:rsidRPr="00C60AD1">
        <w:t xml:space="preserve">The Petitioner submitted that as per the Regulations, the ARR Petition should contain details of estimated expenditure and expected revenue that it may recover in the ensuing financial year at the prevailing rate of Tariff. The Petitioner further submitted that the Distribution Tariff Regulations, 2006 require that the ARR should separately indicate Aggregate Revenue Requirement (ARR) for Wheeling &amp; Retail Supply function embedded in the distribution function and till such time complete segregation of accounts between Wheeling and Retail Supply Business takes place, ARR proposals for Wheeling and Retail Supply Business shall be prepared based on an allocation statement as per the best judgement of the Distribution Licensee. </w:t>
      </w:r>
    </w:p>
    <w:p w:rsidR="00023318" w:rsidRDefault="00C34658" w:rsidP="00023318">
      <w:pPr>
        <w:pStyle w:val="Heading3"/>
        <w:tabs>
          <w:tab w:val="clear" w:pos="720"/>
        </w:tabs>
        <w:spacing w:after="240"/>
        <w:ind w:left="993" w:hanging="993"/>
      </w:pPr>
      <w:r w:rsidRPr="00C60AD1">
        <w:t xml:space="preserve">The Petitioner submitted that the Distribution Tariff Regulations, 2006 has broadly classified cost incurred by the Petitioner as controllable and uncontrollable costs wherein the uncontrollable cost include fuel cost, increase in cost due to changes in interest rate, increase of cost due to inflation, taxes and cess, variation of power purchase unit costs, etc. </w:t>
      </w:r>
    </w:p>
    <w:p w:rsidR="00023318" w:rsidRDefault="00C34658" w:rsidP="00023318">
      <w:pPr>
        <w:pStyle w:val="Heading3"/>
        <w:tabs>
          <w:tab w:val="clear" w:pos="720"/>
        </w:tabs>
        <w:spacing w:after="240"/>
        <w:ind w:left="993" w:hanging="993"/>
      </w:pPr>
      <w:r w:rsidRPr="00C60AD1">
        <w:t>The Petitioner submitted that Tariff Order for FY 2007-08 is the first Order issued by the Commission in accordance with the Distribution Tariff Regulations, 2006. In this Tariff Order, the Commission used allocation methodology for segregation of Wheeling &amp; Retail Supply business function of ARR. The Petitioner added that it has adopted the same methodology for deriving wheeling charges, as the complete segregation of accounts between Wheeling and Retail Supply business has not yet been completed.</w:t>
      </w:r>
    </w:p>
    <w:p w:rsidR="00023318" w:rsidRDefault="00C34658" w:rsidP="00023318">
      <w:pPr>
        <w:pStyle w:val="Heading3"/>
        <w:tabs>
          <w:tab w:val="clear" w:pos="720"/>
        </w:tabs>
        <w:spacing w:after="240"/>
        <w:ind w:left="993" w:hanging="993"/>
      </w:pPr>
      <w:r w:rsidRPr="00C60AD1">
        <w:lastRenderedPageBreak/>
        <w:t>The Petitioner further submitted that it has filed the current ARR Petition in strict compliance with the Distribution Tariff Regulations, 2006.</w:t>
      </w:r>
    </w:p>
    <w:p w:rsidR="00023318" w:rsidRDefault="00C34658" w:rsidP="00023318">
      <w:pPr>
        <w:pStyle w:val="Heading3"/>
        <w:tabs>
          <w:tab w:val="clear" w:pos="720"/>
        </w:tabs>
        <w:spacing w:after="240"/>
        <w:ind w:left="993" w:hanging="993"/>
      </w:pPr>
      <w:r w:rsidRPr="008B0C65">
        <w:t xml:space="preserve">The Petitioner submitted that the cost elements of ARR have been estimated based on the provisional un-audited accounts of FY 2014-15 and expenses available for FY 2015-16. </w:t>
      </w:r>
    </w:p>
    <w:p w:rsidR="00023318" w:rsidRDefault="00C34658" w:rsidP="00023318">
      <w:pPr>
        <w:pStyle w:val="Heading3"/>
        <w:tabs>
          <w:tab w:val="clear" w:pos="720"/>
        </w:tabs>
        <w:spacing w:after="240"/>
        <w:ind w:left="993" w:hanging="993"/>
      </w:pPr>
      <w:r w:rsidRPr="00C60AD1">
        <w:t>The Commission has analysed all the components of the Aggregate Revenue Requirement (ARR) to arrive at suitable values. As per the Distribution Tariff Regulations, 2006, the ARR comprises of the following components: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Power Purchase cost</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Transmission Charges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SLDC Charges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 xml:space="preserve">Operation and Maintenance Expenses </w:t>
      </w:r>
    </w:p>
    <w:p w:rsidR="00C34658" w:rsidRPr="00C60AD1" w:rsidRDefault="00C34658" w:rsidP="00BA3941">
      <w:pPr>
        <w:numPr>
          <w:ilvl w:val="0"/>
          <w:numId w:val="17"/>
        </w:numPr>
        <w:autoSpaceDE w:val="0"/>
        <w:autoSpaceDN w:val="0"/>
        <w:adjustRightInd w:val="0"/>
        <w:spacing w:line="180" w:lineRule="auto"/>
        <w:rPr>
          <w:rFonts w:cs="Calibri"/>
        </w:rPr>
      </w:pPr>
      <w:r w:rsidRPr="00C60AD1">
        <w:rPr>
          <w:rFonts w:cs="Calibri"/>
        </w:rPr>
        <w:t xml:space="preserve">Employee Expenses </w:t>
      </w:r>
    </w:p>
    <w:p w:rsidR="00C34658" w:rsidRPr="00C60AD1" w:rsidRDefault="00C34658" w:rsidP="00BA3941">
      <w:pPr>
        <w:numPr>
          <w:ilvl w:val="0"/>
          <w:numId w:val="17"/>
        </w:numPr>
        <w:autoSpaceDE w:val="0"/>
        <w:autoSpaceDN w:val="0"/>
        <w:adjustRightInd w:val="0"/>
        <w:spacing w:line="180" w:lineRule="auto"/>
        <w:rPr>
          <w:rFonts w:cs="Calibri"/>
        </w:rPr>
      </w:pPr>
      <w:r w:rsidRPr="00C60AD1">
        <w:rPr>
          <w:rFonts w:cs="Calibri"/>
        </w:rPr>
        <w:t xml:space="preserve">Administration &amp; General Expenses </w:t>
      </w:r>
    </w:p>
    <w:p w:rsidR="00C34658" w:rsidRPr="00C60AD1" w:rsidRDefault="00C34658" w:rsidP="00BA3941">
      <w:pPr>
        <w:numPr>
          <w:ilvl w:val="0"/>
          <w:numId w:val="17"/>
        </w:numPr>
        <w:autoSpaceDE w:val="0"/>
        <w:autoSpaceDN w:val="0"/>
        <w:adjustRightInd w:val="0"/>
        <w:spacing w:line="180" w:lineRule="auto"/>
        <w:rPr>
          <w:rFonts w:cs="Calibri"/>
        </w:rPr>
      </w:pPr>
      <w:r w:rsidRPr="00C60AD1">
        <w:rPr>
          <w:rFonts w:cs="Calibri"/>
        </w:rPr>
        <w:t>Repairs and Maintenance Expenses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Depreciation</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Interest and Financing Costs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Bad and Doubtful Debts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Return on Equity</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Taxes on Income</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Other Expenses</w:t>
      </w:r>
    </w:p>
    <w:p w:rsidR="00C34658" w:rsidRPr="00C60AD1" w:rsidRDefault="00C34658" w:rsidP="00BA3941">
      <w:pPr>
        <w:pStyle w:val="ListParagraph"/>
        <w:numPr>
          <w:ilvl w:val="0"/>
          <w:numId w:val="16"/>
        </w:numPr>
        <w:autoSpaceDE w:val="0"/>
        <w:autoSpaceDN w:val="0"/>
        <w:adjustRightInd w:val="0"/>
        <w:spacing w:line="180" w:lineRule="auto"/>
        <w:ind w:left="1710"/>
        <w:rPr>
          <w:rFonts w:cs="Calibri"/>
        </w:rPr>
      </w:pPr>
      <w:r w:rsidRPr="00C60AD1">
        <w:rPr>
          <w:rFonts w:cs="Calibri"/>
        </w:rPr>
        <w:t>Contribution to Contingency Reserve</w:t>
      </w:r>
    </w:p>
    <w:p w:rsidR="00023318" w:rsidRDefault="00023318" w:rsidP="00023318">
      <w:pPr>
        <w:pStyle w:val="Heading3"/>
        <w:numPr>
          <w:ilvl w:val="0"/>
          <w:numId w:val="0"/>
        </w:numPr>
        <w:tabs>
          <w:tab w:val="clear" w:pos="720"/>
        </w:tabs>
        <w:spacing w:after="240"/>
        <w:ind w:left="993"/>
      </w:pPr>
      <w:bookmarkStart w:id="935" w:name="_Toc357349074"/>
      <w:bookmarkStart w:id="936" w:name="_Toc357356127"/>
    </w:p>
    <w:p w:rsidR="00023318" w:rsidRDefault="00C34658" w:rsidP="00023318">
      <w:pPr>
        <w:pStyle w:val="Heading3"/>
        <w:tabs>
          <w:tab w:val="clear" w:pos="720"/>
        </w:tabs>
        <w:spacing w:after="240"/>
        <w:ind w:left="993" w:hanging="993"/>
      </w:pPr>
      <w:r w:rsidRPr="00C60AD1">
        <w:t xml:space="preserve">The detailed analysis of each and every element identified above is presented in the subsequent sections. </w:t>
      </w:r>
      <w:bookmarkEnd w:id="935"/>
      <w:bookmarkEnd w:id="936"/>
    </w:p>
    <w:p w:rsidR="00023318" w:rsidRDefault="00023318" w:rsidP="006C08CE">
      <w:pPr>
        <w:pStyle w:val="Heading3"/>
        <w:numPr>
          <w:ilvl w:val="0"/>
          <w:numId w:val="0"/>
        </w:numPr>
        <w:tabs>
          <w:tab w:val="clear" w:pos="720"/>
        </w:tabs>
        <w:spacing w:before="0"/>
        <w:ind w:left="993"/>
      </w:pPr>
    </w:p>
    <w:p w:rsidR="00C34658" w:rsidRPr="00C60AD1" w:rsidRDefault="00023318" w:rsidP="006C08CE">
      <w:pPr>
        <w:pStyle w:val="Heading2"/>
        <w:numPr>
          <w:ilvl w:val="1"/>
          <w:numId w:val="14"/>
        </w:numPr>
        <w:spacing w:before="0"/>
      </w:pPr>
      <w:bookmarkStart w:id="937" w:name="_Toc357718665"/>
      <w:bookmarkStart w:id="938" w:name="_Toc396573836"/>
      <w:bookmarkStart w:id="939" w:name="_Toc399623734"/>
      <w:bookmarkStart w:id="940" w:name="_Toc453367613"/>
      <w:bookmarkStart w:id="941" w:name="_Toc457355490"/>
      <w:bookmarkStart w:id="942" w:name="_Toc357349076"/>
      <w:bookmarkStart w:id="943" w:name="_Toc357356129"/>
      <w:r w:rsidRPr="00023318">
        <w:t>POWER PROCUREMENT</w:t>
      </w:r>
      <w:r w:rsidR="00C34658" w:rsidRPr="00C60AD1">
        <w:t xml:space="preserve"> COST</w:t>
      </w:r>
      <w:bookmarkEnd w:id="937"/>
      <w:bookmarkEnd w:id="938"/>
      <w:bookmarkEnd w:id="939"/>
      <w:bookmarkEnd w:id="940"/>
      <w:bookmarkEnd w:id="941"/>
    </w:p>
    <w:p w:rsidR="004D3C07" w:rsidRDefault="004D3C07" w:rsidP="00EC6AAC">
      <w:pPr>
        <w:pStyle w:val="Heading3"/>
        <w:numPr>
          <w:ilvl w:val="2"/>
          <w:numId w:val="63"/>
        </w:numPr>
        <w:spacing w:after="240"/>
        <w:ind w:left="993" w:hanging="993"/>
      </w:pPr>
      <w:bookmarkStart w:id="944" w:name="_Toc357349079"/>
      <w:bookmarkStart w:id="945" w:name="_Toc357356132"/>
      <w:r>
        <w:t>The Petitioner has submitted that it has considered the following rationale for projecting the power purchase and expenses for FY 2016-17.</w:t>
      </w:r>
    </w:p>
    <w:p w:rsidR="004D3C07" w:rsidRDefault="004D3C07" w:rsidP="00EC6AAC">
      <w:pPr>
        <w:numPr>
          <w:ilvl w:val="0"/>
          <w:numId w:val="64"/>
        </w:numPr>
        <w:spacing w:before="0" w:after="100" w:afterAutospacing="1"/>
      </w:pPr>
      <w:r>
        <w:t>The power purchase units are projected based on estimated T&amp;D losses of 22.00% in FY 2016-17.</w:t>
      </w:r>
    </w:p>
    <w:p w:rsidR="00D66C42" w:rsidRDefault="004D3C07" w:rsidP="00EC6AAC">
      <w:pPr>
        <w:numPr>
          <w:ilvl w:val="0"/>
          <w:numId w:val="64"/>
        </w:numPr>
        <w:spacing w:before="100" w:beforeAutospacing="1" w:after="100" w:afterAutospacing="1"/>
      </w:pPr>
      <w:r>
        <w:lastRenderedPageBreak/>
        <w:t>KESCO is a 100% subsidiary of UPPCL and sources all its power purchases from UPPCL (through Dakshinanchal Vidyut Vitran Nigam Limited- DVVNL)</w:t>
      </w:r>
    </w:p>
    <w:p w:rsidR="004D3C07" w:rsidRDefault="004D3C07" w:rsidP="00EC6AAC">
      <w:pPr>
        <w:numPr>
          <w:ilvl w:val="0"/>
          <w:numId w:val="64"/>
        </w:numPr>
        <w:spacing w:before="100" w:beforeAutospacing="1" w:after="100" w:afterAutospacing="1"/>
      </w:pPr>
      <w:r>
        <w:t xml:space="preserve">The power purchase rates for FY 2016-17 </w:t>
      </w:r>
      <w:r w:rsidR="005E26E2">
        <w:t xml:space="preserve">has been considered at </w:t>
      </w:r>
      <w:r>
        <w:t xml:space="preserve">Rs. 4.44 per kWh in FY </w:t>
      </w:r>
      <w:r w:rsidR="00E20AC5">
        <w:t>2016-17</w:t>
      </w:r>
      <w:r>
        <w:t>.</w:t>
      </w:r>
    </w:p>
    <w:p w:rsidR="004D3C07" w:rsidRDefault="005E26E2" w:rsidP="00EC6AAC">
      <w:pPr>
        <w:numPr>
          <w:ilvl w:val="0"/>
          <w:numId w:val="64"/>
        </w:numPr>
        <w:spacing w:before="100" w:beforeAutospacing="1" w:after="100" w:afterAutospacing="1"/>
      </w:pPr>
      <w:r>
        <w:rPr>
          <w:rFonts w:cs="Calibri"/>
        </w:rPr>
        <w:t>The energy input at D</w:t>
      </w:r>
      <w:r w:rsidRPr="007B74A5">
        <w:rPr>
          <w:rFonts w:cs="Calibri"/>
        </w:rPr>
        <w:t>iscom end has been considered at 4,203.02 MU for FY 2016-17</w:t>
      </w:r>
      <w:r w:rsidR="004D3C07">
        <w:t>.</w:t>
      </w:r>
    </w:p>
    <w:p w:rsidR="00D66C42" w:rsidRDefault="004D3C07" w:rsidP="00EC6AAC">
      <w:pPr>
        <w:numPr>
          <w:ilvl w:val="0"/>
          <w:numId w:val="64"/>
        </w:numPr>
        <w:spacing w:before="100" w:beforeAutospacing="1" w:after="100" w:afterAutospacing="1"/>
      </w:pPr>
      <w:r>
        <w:t xml:space="preserve">Thus considering the aforementioned rates and power purchase input, the power purchase cost of KESCO has been considered at Rs. </w:t>
      </w:r>
      <w:r w:rsidR="00E20AC5">
        <w:t>1,866.26</w:t>
      </w:r>
      <w:r>
        <w:t xml:space="preserve"> Crore in FY </w:t>
      </w:r>
      <w:r w:rsidR="00E20AC5">
        <w:t>2016-17.</w:t>
      </w:r>
    </w:p>
    <w:p w:rsidR="004D3C07" w:rsidRDefault="00E20AC5" w:rsidP="00EC6AAC">
      <w:pPr>
        <w:pStyle w:val="Heading3"/>
        <w:numPr>
          <w:ilvl w:val="2"/>
          <w:numId w:val="63"/>
        </w:numPr>
        <w:spacing w:after="240"/>
        <w:ind w:left="993" w:hanging="993"/>
      </w:pPr>
      <w:r>
        <w:t xml:space="preserve">     </w:t>
      </w:r>
      <w:r w:rsidR="004D3C07">
        <w:t xml:space="preserve">For FY </w:t>
      </w:r>
      <w:r>
        <w:t>2016-17</w:t>
      </w:r>
      <w:r w:rsidR="004D3C07">
        <w:t xml:space="preserve">, the power purchase quantum approved by the Commission has been already determined in energy balance described above. The bulk power purchase quantum so determined has been multiplied by bulk supply tariff approved for other State Distribution Licensees by the Commission for FY </w:t>
      </w:r>
      <w:r>
        <w:t>2016-17</w:t>
      </w:r>
      <w:r w:rsidR="004D3C07">
        <w:t xml:space="preserve"> in their respective Tariff Orders. Accordingly, the power purchase cost submitted by the Petitioner and that approved by the Commission for FY </w:t>
      </w:r>
      <w:r>
        <w:t>2016-17</w:t>
      </w:r>
      <w:r w:rsidR="004D3C07">
        <w:t xml:space="preserve"> is shown in the Table below:</w:t>
      </w:r>
    </w:p>
    <w:p w:rsidR="00C34658" w:rsidRPr="00C60AD1" w:rsidRDefault="00BC050D" w:rsidP="00C34658">
      <w:pPr>
        <w:spacing w:before="0"/>
        <w:jc w:val="center"/>
        <w:rPr>
          <w:rFonts w:cs="Calibri"/>
          <w:b/>
          <w:sz w:val="22"/>
          <w:szCs w:val="22"/>
          <w:lang w:val="en-US"/>
        </w:rPr>
      </w:pPr>
      <w:bookmarkStart w:id="946" w:name="_Ref325535083"/>
      <w:bookmarkStart w:id="947" w:name="_Toc338310703"/>
      <w:bookmarkStart w:id="948" w:name="_Toc338419533"/>
      <w:bookmarkStart w:id="949" w:name="_Toc357718743"/>
      <w:bookmarkStart w:id="950" w:name="_Toc395657967"/>
      <w:bookmarkStart w:id="951" w:name="_Toc396574018"/>
      <w:bookmarkStart w:id="952" w:name="_Toc399624119"/>
      <w:bookmarkStart w:id="953" w:name="_Toc453367696"/>
      <w:bookmarkStart w:id="954" w:name="_Toc457355639"/>
      <w:bookmarkEnd w:id="944"/>
      <w:bookmarkEnd w:id="945"/>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15</w:t>
      </w:r>
      <w:r w:rsidR="004A2D9E" w:rsidRPr="00C60AD1">
        <w:rPr>
          <w:rFonts w:cs="Calibri"/>
          <w:b/>
          <w:sz w:val="22"/>
          <w:szCs w:val="22"/>
          <w:lang w:val="en-US"/>
        </w:rPr>
        <w:fldChar w:fldCharType="end"/>
      </w:r>
      <w:r>
        <w:rPr>
          <w:rFonts w:cs="Calibri"/>
          <w:b/>
          <w:sz w:val="22"/>
          <w:szCs w:val="22"/>
          <w:lang w:val="en-US"/>
        </w:rPr>
        <w:t>:</w:t>
      </w:r>
      <w:r w:rsidR="00C036C8">
        <w:rPr>
          <w:rFonts w:cs="Calibri"/>
          <w:b/>
          <w:sz w:val="22"/>
          <w:szCs w:val="22"/>
          <w:lang w:val="en-US"/>
        </w:rPr>
        <w:t xml:space="preserve"> </w:t>
      </w:r>
      <w:r>
        <w:rPr>
          <w:rFonts w:cs="Calibri"/>
          <w:b/>
          <w:sz w:val="22"/>
          <w:szCs w:val="22"/>
          <w:lang w:val="en-US"/>
        </w:rPr>
        <w:t>P</w:t>
      </w:r>
      <w:bookmarkEnd w:id="946"/>
      <w:r w:rsidR="00C34658" w:rsidRPr="00C60AD1">
        <w:rPr>
          <w:rFonts w:cs="Calibri"/>
          <w:b/>
          <w:sz w:val="22"/>
          <w:szCs w:val="22"/>
          <w:lang w:val="en-US"/>
        </w:rPr>
        <w:t xml:space="preserve">OWER PROCUREMENT COST FOR </w:t>
      </w:r>
      <w:r w:rsidR="00117E5B">
        <w:rPr>
          <w:rFonts w:cs="Calibri"/>
          <w:b/>
          <w:sz w:val="22"/>
          <w:szCs w:val="22"/>
          <w:lang w:val="en-US"/>
        </w:rPr>
        <w:t>KESCO</w:t>
      </w:r>
      <w:r w:rsidR="00C34658" w:rsidRPr="00C60AD1">
        <w:rPr>
          <w:rFonts w:cs="Calibri"/>
          <w:b/>
          <w:sz w:val="22"/>
          <w:szCs w:val="22"/>
          <w:lang w:val="en-US"/>
        </w:rPr>
        <w:t xml:space="preserve"> FOR FY </w:t>
      </w:r>
      <w:bookmarkEnd w:id="947"/>
      <w:bookmarkEnd w:id="948"/>
      <w:bookmarkEnd w:id="949"/>
      <w:bookmarkEnd w:id="950"/>
      <w:bookmarkEnd w:id="951"/>
      <w:bookmarkEnd w:id="952"/>
      <w:r w:rsidR="00C34658">
        <w:rPr>
          <w:rFonts w:cs="Calibri"/>
          <w:b/>
          <w:sz w:val="22"/>
          <w:szCs w:val="22"/>
          <w:lang w:val="en-US"/>
        </w:rPr>
        <w:t>2016-17</w:t>
      </w:r>
      <w:bookmarkEnd w:id="953"/>
      <w:bookmarkEnd w:id="954"/>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85"/>
        <w:gridCol w:w="1278"/>
        <w:gridCol w:w="1276"/>
        <w:gridCol w:w="1546"/>
      </w:tblGrid>
      <w:tr w:rsidR="00C34658" w:rsidRPr="00517058" w:rsidTr="00D55642">
        <w:trPr>
          <w:trHeight w:val="600"/>
          <w:jc w:val="center"/>
        </w:trPr>
        <w:tc>
          <w:tcPr>
            <w:tcW w:w="2693" w:type="pct"/>
            <w:shd w:val="clear" w:color="000000" w:fill="DBE5F1"/>
            <w:noWrap/>
            <w:hideMark/>
          </w:tcPr>
          <w:p w:rsidR="00023318" w:rsidRDefault="00027D0D" w:rsidP="00023318">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Particulars</w:t>
            </w:r>
          </w:p>
        </w:tc>
        <w:tc>
          <w:tcPr>
            <w:tcW w:w="719" w:type="pct"/>
            <w:shd w:val="clear" w:color="000000" w:fill="DBE5F1"/>
            <w:hideMark/>
          </w:tcPr>
          <w:p w:rsidR="00023318" w:rsidRDefault="00027D0D" w:rsidP="00023318">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Derivation</w:t>
            </w:r>
          </w:p>
        </w:tc>
        <w:tc>
          <w:tcPr>
            <w:tcW w:w="718" w:type="pct"/>
            <w:shd w:val="clear" w:color="000000" w:fill="DBE5F1"/>
          </w:tcPr>
          <w:p w:rsidR="00023318" w:rsidRDefault="00027D0D" w:rsidP="00023318">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ARR</w:t>
            </w:r>
          </w:p>
          <w:p w:rsidR="00023318" w:rsidRDefault="00027D0D" w:rsidP="00023318">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Petition</w:t>
            </w:r>
          </w:p>
        </w:tc>
        <w:tc>
          <w:tcPr>
            <w:tcW w:w="870" w:type="pct"/>
            <w:shd w:val="clear" w:color="000000" w:fill="DBE5F1"/>
            <w:hideMark/>
          </w:tcPr>
          <w:p w:rsidR="00023318" w:rsidRDefault="00027D0D" w:rsidP="00023318">
            <w:pPr>
              <w:spacing w:before="0" w:line="240" w:lineRule="auto"/>
              <w:jc w:val="center"/>
              <w:rPr>
                <w:rFonts w:asciiTheme="minorHAnsi" w:hAnsiTheme="minorHAnsi"/>
                <w:b/>
                <w:sz w:val="22"/>
                <w:szCs w:val="22"/>
                <w:lang w:eastAsia="en-IN"/>
              </w:rPr>
            </w:pPr>
            <w:r w:rsidRPr="00027D0D">
              <w:rPr>
                <w:rFonts w:asciiTheme="minorHAnsi" w:hAnsiTheme="minorHAnsi"/>
                <w:b/>
                <w:sz w:val="22"/>
                <w:szCs w:val="22"/>
                <w:lang w:eastAsia="en-IN"/>
              </w:rPr>
              <w:t>FY 2016-17</w:t>
            </w:r>
          </w:p>
          <w:p w:rsidR="00023318" w:rsidRDefault="00027D0D" w:rsidP="00023318">
            <w:pPr>
              <w:spacing w:before="0" w:line="240" w:lineRule="auto"/>
              <w:jc w:val="center"/>
              <w:rPr>
                <w:rFonts w:asciiTheme="minorHAnsi" w:hAnsiTheme="minorHAnsi"/>
                <w:b/>
                <w:kern w:val="32"/>
                <w:sz w:val="22"/>
                <w:szCs w:val="22"/>
                <w:lang w:eastAsia="en-IN"/>
              </w:rPr>
            </w:pPr>
            <w:r w:rsidRPr="00027D0D">
              <w:rPr>
                <w:rFonts w:asciiTheme="minorHAnsi" w:hAnsiTheme="minorHAnsi"/>
                <w:b/>
                <w:sz w:val="22"/>
                <w:szCs w:val="22"/>
                <w:lang w:eastAsia="en-IN"/>
              </w:rPr>
              <w:t>Approved</w:t>
            </w:r>
          </w:p>
        </w:tc>
      </w:tr>
      <w:tr w:rsidR="002B70BF" w:rsidRPr="00517058" w:rsidTr="002B70BF">
        <w:trPr>
          <w:trHeight w:val="300"/>
          <w:jc w:val="center"/>
        </w:trPr>
        <w:tc>
          <w:tcPr>
            <w:tcW w:w="2693" w:type="pct"/>
            <w:shd w:val="clear" w:color="auto" w:fill="auto"/>
            <w:vAlign w:val="center"/>
            <w:hideMark/>
          </w:tcPr>
          <w:p w:rsidR="00023318" w:rsidRDefault="002B70BF" w:rsidP="00023318">
            <w:pPr>
              <w:spacing w:before="0" w:line="240" w:lineRule="auto"/>
              <w:rPr>
                <w:rFonts w:asciiTheme="minorHAnsi" w:hAnsiTheme="minorHAnsi"/>
                <w:sz w:val="22"/>
                <w:szCs w:val="22"/>
                <w:lang w:eastAsia="en-IN"/>
              </w:rPr>
            </w:pPr>
            <w:r w:rsidRPr="00027D0D">
              <w:rPr>
                <w:rFonts w:asciiTheme="minorHAnsi" w:hAnsiTheme="minorHAnsi"/>
                <w:sz w:val="22"/>
                <w:szCs w:val="22"/>
                <w:lang w:eastAsia="en-IN"/>
              </w:rPr>
              <w:t>Energy Input into Transmission-Distribution Interface (MU)</w:t>
            </w:r>
          </w:p>
        </w:tc>
        <w:tc>
          <w:tcPr>
            <w:tcW w:w="719" w:type="pct"/>
            <w:shd w:val="clear" w:color="auto" w:fill="auto"/>
            <w:noWrap/>
            <w:vAlign w:val="center"/>
            <w:hideMark/>
          </w:tcPr>
          <w:p w:rsidR="00023318" w:rsidRDefault="002B70BF" w:rsidP="00023318">
            <w:pPr>
              <w:spacing w:before="0" w:line="240" w:lineRule="auto"/>
              <w:jc w:val="center"/>
              <w:rPr>
                <w:rFonts w:asciiTheme="minorHAnsi" w:hAnsiTheme="minorHAnsi"/>
                <w:sz w:val="22"/>
                <w:szCs w:val="22"/>
                <w:lang w:eastAsia="en-IN"/>
              </w:rPr>
            </w:pPr>
            <w:r w:rsidRPr="00027D0D">
              <w:rPr>
                <w:rFonts w:asciiTheme="minorHAnsi" w:hAnsiTheme="minorHAnsi"/>
                <w:sz w:val="22"/>
                <w:szCs w:val="22"/>
                <w:lang w:eastAsia="en-IN"/>
              </w:rPr>
              <w:t>A</w:t>
            </w:r>
          </w:p>
        </w:tc>
        <w:tc>
          <w:tcPr>
            <w:tcW w:w="718" w:type="pct"/>
            <w:vAlign w:val="center"/>
          </w:tcPr>
          <w:p w:rsidR="00023318" w:rsidRDefault="00117E5B" w:rsidP="00023318">
            <w:pPr>
              <w:spacing w:before="0" w:line="240" w:lineRule="auto"/>
              <w:jc w:val="right"/>
              <w:rPr>
                <w:rFonts w:asciiTheme="minorHAnsi" w:hAnsiTheme="minorHAnsi"/>
                <w:sz w:val="22"/>
                <w:szCs w:val="22"/>
              </w:rPr>
            </w:pPr>
            <w:r>
              <w:rPr>
                <w:rFonts w:asciiTheme="minorHAnsi" w:hAnsiTheme="minorHAnsi" w:cs="Calibri"/>
                <w:color w:val="000000"/>
                <w:sz w:val="22"/>
                <w:szCs w:val="22"/>
              </w:rPr>
              <w:t>4,203.02</w:t>
            </w:r>
          </w:p>
        </w:tc>
        <w:tc>
          <w:tcPr>
            <w:tcW w:w="870" w:type="pct"/>
            <w:shd w:val="clear" w:color="auto" w:fill="auto"/>
            <w:noWrap/>
            <w:vAlign w:val="center"/>
            <w:hideMark/>
          </w:tcPr>
          <w:p w:rsidR="00023318" w:rsidRDefault="00117E5B" w:rsidP="00023318">
            <w:pPr>
              <w:spacing w:before="0" w:line="240" w:lineRule="auto"/>
              <w:jc w:val="right"/>
              <w:rPr>
                <w:rFonts w:asciiTheme="minorHAnsi" w:hAnsiTheme="minorHAnsi"/>
                <w:sz w:val="22"/>
                <w:szCs w:val="22"/>
              </w:rPr>
            </w:pPr>
            <w:r>
              <w:rPr>
                <w:rFonts w:asciiTheme="minorHAnsi" w:hAnsiTheme="minorHAnsi"/>
                <w:color w:val="000000"/>
                <w:sz w:val="22"/>
                <w:szCs w:val="22"/>
              </w:rPr>
              <w:t>4,230.68</w:t>
            </w:r>
          </w:p>
        </w:tc>
      </w:tr>
      <w:tr w:rsidR="002B70BF" w:rsidRPr="00517058" w:rsidTr="002B70BF">
        <w:trPr>
          <w:trHeight w:val="300"/>
          <w:jc w:val="center"/>
        </w:trPr>
        <w:tc>
          <w:tcPr>
            <w:tcW w:w="2693" w:type="pct"/>
            <w:shd w:val="clear" w:color="auto" w:fill="auto"/>
            <w:vAlign w:val="center"/>
            <w:hideMark/>
          </w:tcPr>
          <w:p w:rsidR="00023318" w:rsidRDefault="002B70BF" w:rsidP="00023318">
            <w:pPr>
              <w:spacing w:before="0" w:line="240" w:lineRule="auto"/>
              <w:rPr>
                <w:rFonts w:asciiTheme="minorHAnsi" w:hAnsiTheme="minorHAnsi"/>
                <w:sz w:val="22"/>
                <w:szCs w:val="22"/>
                <w:lang w:eastAsia="en-IN"/>
              </w:rPr>
            </w:pPr>
            <w:r w:rsidRPr="00027D0D">
              <w:rPr>
                <w:rFonts w:asciiTheme="minorHAnsi" w:hAnsiTheme="minorHAnsi"/>
                <w:sz w:val="22"/>
                <w:szCs w:val="22"/>
                <w:lang w:eastAsia="en-IN"/>
              </w:rPr>
              <w:t>Bulk Supply Tariff (Rs./kWh)</w:t>
            </w:r>
          </w:p>
        </w:tc>
        <w:tc>
          <w:tcPr>
            <w:tcW w:w="719" w:type="pct"/>
            <w:shd w:val="clear" w:color="auto" w:fill="auto"/>
            <w:noWrap/>
            <w:vAlign w:val="center"/>
            <w:hideMark/>
          </w:tcPr>
          <w:p w:rsidR="00023318" w:rsidRDefault="002B70BF" w:rsidP="00023318">
            <w:pPr>
              <w:spacing w:line="240" w:lineRule="auto"/>
              <w:jc w:val="center"/>
              <w:rPr>
                <w:rFonts w:asciiTheme="minorHAnsi" w:hAnsiTheme="minorHAnsi"/>
                <w:sz w:val="22"/>
                <w:szCs w:val="18"/>
                <w:lang w:eastAsia="en-IN"/>
              </w:rPr>
            </w:pPr>
            <w:r w:rsidRPr="007132A6">
              <w:rPr>
                <w:rFonts w:asciiTheme="minorHAnsi" w:hAnsiTheme="minorHAnsi"/>
                <w:sz w:val="22"/>
                <w:lang w:eastAsia="en-IN"/>
              </w:rPr>
              <w:t>B</w:t>
            </w:r>
          </w:p>
        </w:tc>
        <w:tc>
          <w:tcPr>
            <w:tcW w:w="718" w:type="pct"/>
            <w:vAlign w:val="center"/>
          </w:tcPr>
          <w:p w:rsidR="00023318" w:rsidRDefault="002B70BF" w:rsidP="00023318">
            <w:pPr>
              <w:spacing w:line="240" w:lineRule="auto"/>
              <w:jc w:val="right"/>
              <w:rPr>
                <w:rFonts w:asciiTheme="minorHAnsi" w:hAnsiTheme="minorHAnsi"/>
                <w:sz w:val="22"/>
                <w:szCs w:val="18"/>
              </w:rPr>
            </w:pPr>
            <w:r w:rsidRPr="002B70BF">
              <w:rPr>
                <w:rFonts w:asciiTheme="minorHAnsi" w:hAnsiTheme="minorHAnsi" w:cs="Calibri"/>
                <w:color w:val="000000"/>
                <w:sz w:val="22"/>
              </w:rPr>
              <w:t xml:space="preserve">4.44 </w:t>
            </w:r>
          </w:p>
        </w:tc>
        <w:tc>
          <w:tcPr>
            <w:tcW w:w="870" w:type="pct"/>
            <w:shd w:val="clear" w:color="auto" w:fill="auto"/>
            <w:noWrap/>
            <w:vAlign w:val="center"/>
            <w:hideMark/>
          </w:tcPr>
          <w:p w:rsidR="00023318" w:rsidRDefault="00023318" w:rsidP="00023318">
            <w:pPr>
              <w:spacing w:line="240" w:lineRule="auto"/>
              <w:jc w:val="right"/>
              <w:rPr>
                <w:rFonts w:asciiTheme="minorHAnsi" w:hAnsiTheme="minorHAnsi"/>
                <w:sz w:val="22"/>
              </w:rPr>
            </w:pPr>
            <w:r w:rsidRPr="00023318">
              <w:rPr>
                <w:rFonts w:asciiTheme="minorHAnsi" w:hAnsiTheme="minorHAnsi"/>
                <w:color w:val="000000"/>
                <w:sz w:val="22"/>
                <w:szCs w:val="22"/>
              </w:rPr>
              <w:t xml:space="preserve"> 4.26 </w:t>
            </w:r>
          </w:p>
        </w:tc>
      </w:tr>
      <w:tr w:rsidR="002B70BF" w:rsidRPr="00517058" w:rsidTr="002B70BF">
        <w:trPr>
          <w:trHeight w:val="300"/>
          <w:jc w:val="center"/>
        </w:trPr>
        <w:tc>
          <w:tcPr>
            <w:tcW w:w="2693" w:type="pct"/>
            <w:shd w:val="clear" w:color="auto" w:fill="auto"/>
            <w:vAlign w:val="center"/>
            <w:hideMark/>
          </w:tcPr>
          <w:p w:rsidR="00023318" w:rsidRDefault="002B70BF" w:rsidP="00023318">
            <w:pPr>
              <w:spacing w:before="0" w:line="240" w:lineRule="auto"/>
              <w:rPr>
                <w:rFonts w:asciiTheme="minorHAnsi" w:hAnsiTheme="minorHAnsi"/>
                <w:b/>
                <w:sz w:val="22"/>
                <w:szCs w:val="22"/>
                <w:lang w:eastAsia="en-IN"/>
              </w:rPr>
            </w:pPr>
            <w:r w:rsidRPr="00027D0D">
              <w:rPr>
                <w:rFonts w:asciiTheme="minorHAnsi" w:hAnsiTheme="minorHAnsi"/>
                <w:b/>
                <w:sz w:val="22"/>
                <w:szCs w:val="22"/>
                <w:lang w:eastAsia="en-IN"/>
              </w:rPr>
              <w:t>Power Procurement Cost from UPPCL (Rs. Crore)</w:t>
            </w:r>
          </w:p>
        </w:tc>
        <w:tc>
          <w:tcPr>
            <w:tcW w:w="719" w:type="pct"/>
            <w:shd w:val="clear" w:color="auto" w:fill="auto"/>
            <w:noWrap/>
            <w:vAlign w:val="center"/>
            <w:hideMark/>
          </w:tcPr>
          <w:p w:rsidR="00023318" w:rsidRDefault="002B70BF" w:rsidP="00023318">
            <w:pPr>
              <w:spacing w:line="240" w:lineRule="auto"/>
              <w:jc w:val="center"/>
              <w:rPr>
                <w:rFonts w:asciiTheme="minorHAnsi" w:hAnsiTheme="minorHAnsi"/>
                <w:b/>
                <w:sz w:val="22"/>
                <w:szCs w:val="18"/>
                <w:lang w:eastAsia="en-IN"/>
              </w:rPr>
            </w:pPr>
            <w:r w:rsidRPr="007132A6">
              <w:rPr>
                <w:rFonts w:asciiTheme="minorHAnsi" w:hAnsiTheme="minorHAnsi"/>
                <w:b/>
                <w:sz w:val="22"/>
                <w:lang w:eastAsia="en-IN"/>
              </w:rPr>
              <w:t>C =A*B /10</w:t>
            </w:r>
          </w:p>
        </w:tc>
        <w:tc>
          <w:tcPr>
            <w:tcW w:w="718" w:type="pct"/>
            <w:vAlign w:val="center"/>
          </w:tcPr>
          <w:p w:rsidR="00023318" w:rsidRDefault="00117E5B" w:rsidP="00023318">
            <w:pPr>
              <w:spacing w:line="240" w:lineRule="auto"/>
              <w:jc w:val="right"/>
              <w:rPr>
                <w:rFonts w:asciiTheme="minorHAnsi" w:hAnsiTheme="minorHAnsi"/>
                <w:b/>
                <w:sz w:val="22"/>
              </w:rPr>
            </w:pPr>
            <w:r>
              <w:rPr>
                <w:rFonts w:asciiTheme="minorHAnsi" w:hAnsiTheme="minorHAnsi" w:cs="Calibri"/>
                <w:b/>
                <w:color w:val="000000"/>
                <w:sz w:val="22"/>
              </w:rPr>
              <w:t>1,866.26</w:t>
            </w:r>
          </w:p>
        </w:tc>
        <w:tc>
          <w:tcPr>
            <w:tcW w:w="870" w:type="pct"/>
            <w:shd w:val="clear" w:color="auto" w:fill="auto"/>
            <w:noWrap/>
            <w:vAlign w:val="center"/>
            <w:hideMark/>
          </w:tcPr>
          <w:p w:rsidR="00023318" w:rsidRDefault="00023318" w:rsidP="00023318">
            <w:pPr>
              <w:spacing w:line="240" w:lineRule="auto"/>
              <w:jc w:val="right"/>
              <w:rPr>
                <w:rFonts w:asciiTheme="minorHAnsi" w:hAnsiTheme="minorHAnsi"/>
                <w:b/>
                <w:sz w:val="22"/>
              </w:rPr>
            </w:pPr>
            <w:r w:rsidRPr="00023318">
              <w:rPr>
                <w:rFonts w:asciiTheme="minorHAnsi" w:hAnsiTheme="minorHAnsi"/>
                <w:b/>
                <w:color w:val="000000"/>
                <w:sz w:val="22"/>
                <w:szCs w:val="22"/>
              </w:rPr>
              <w:t xml:space="preserve"> </w:t>
            </w:r>
            <w:r w:rsidR="00117E5B">
              <w:rPr>
                <w:rFonts w:asciiTheme="minorHAnsi" w:hAnsiTheme="minorHAnsi"/>
                <w:b/>
                <w:color w:val="000000"/>
                <w:sz w:val="22"/>
                <w:szCs w:val="22"/>
              </w:rPr>
              <w:t>1,803.23</w:t>
            </w:r>
          </w:p>
        </w:tc>
      </w:tr>
    </w:tbl>
    <w:p w:rsidR="00023318" w:rsidRDefault="00023318" w:rsidP="006C08CE">
      <w:pPr>
        <w:pStyle w:val="Heading2"/>
        <w:numPr>
          <w:ilvl w:val="0"/>
          <w:numId w:val="0"/>
        </w:numPr>
        <w:spacing w:after="240"/>
      </w:pPr>
      <w:bookmarkStart w:id="955" w:name="_Toc356322598"/>
      <w:bookmarkStart w:id="956" w:name="_Toc357718666"/>
      <w:bookmarkStart w:id="957" w:name="_Toc396573837"/>
      <w:bookmarkStart w:id="958" w:name="_Toc399623735"/>
      <w:bookmarkStart w:id="959" w:name="_Toc453367614"/>
      <w:bookmarkEnd w:id="942"/>
      <w:bookmarkEnd w:id="943"/>
    </w:p>
    <w:p w:rsidR="00117E5B" w:rsidRPr="00C60AD1" w:rsidRDefault="00117E5B" w:rsidP="00BA3941">
      <w:pPr>
        <w:pStyle w:val="Heading2"/>
        <w:numPr>
          <w:ilvl w:val="1"/>
          <w:numId w:val="14"/>
        </w:numPr>
      </w:pPr>
      <w:bookmarkStart w:id="960" w:name="_Toc457355491"/>
      <w:r w:rsidRPr="00C60AD1">
        <w:t>FUEL &amp; POWER PURCHASE COST ADJUSTMENT SURCHARGE (FPPCA)</w:t>
      </w:r>
      <w:bookmarkEnd w:id="960"/>
    </w:p>
    <w:p w:rsidR="00023318" w:rsidRDefault="00117E5B" w:rsidP="00023318">
      <w:pPr>
        <w:pStyle w:val="Heading3"/>
        <w:tabs>
          <w:tab w:val="clear" w:pos="720"/>
        </w:tabs>
        <w:spacing w:after="240"/>
        <w:ind w:left="993" w:hanging="993"/>
        <w:rPr>
          <w:b/>
        </w:rPr>
      </w:pPr>
      <w:r w:rsidRPr="00C60AD1">
        <w:t>A Review Petition No. 893/2013 had been filed by the UPPCL, MVVNL, PVVNL, PuVVNL, DVVNL &amp;</w:t>
      </w:r>
      <w:r>
        <w:t xml:space="preserve"> </w:t>
      </w:r>
      <w:r w:rsidRPr="00C60AD1">
        <w:t xml:space="preserve">KESCo in the matter of “Review of the Mechanism for Fuel &amp; Power Purchase Cost Adjustment formulated by the  Commission”, wherein a number of issues have been raised by the Petitioners. Prior to the above Petition, UPPCL also filed a Review Petition No. 848/2012 in the matter of “Applicability of Fuel &amp; Power Purchase Cost Adjustment (FPPCA) formula notified vide GOUP notification no. UPERC/Secy/Regulation/240dt. 10.05.2012” </w:t>
      </w:r>
    </w:p>
    <w:p w:rsidR="00023318" w:rsidRDefault="00117E5B" w:rsidP="00023318">
      <w:pPr>
        <w:pStyle w:val="Heading3"/>
        <w:tabs>
          <w:tab w:val="clear" w:pos="720"/>
        </w:tabs>
        <w:spacing w:after="240"/>
        <w:ind w:left="993" w:hanging="993"/>
      </w:pPr>
      <w:r w:rsidRPr="00C60AD1">
        <w:lastRenderedPageBreak/>
        <w:t>In the matter of Petition No. 893/2013 “Review of the Mechanism for Fuel &amp; Power Purchase Cost Adjustment formulated by the Commission”, the Commission vide its Order dated 23</w:t>
      </w:r>
      <w:r w:rsidRPr="00C60AD1">
        <w:rPr>
          <w:vertAlign w:val="superscript"/>
        </w:rPr>
        <w:t>rd</w:t>
      </w:r>
      <w:r w:rsidRPr="00C60AD1">
        <w:t xml:space="preserve"> October, 2013 gave direction to </w:t>
      </w:r>
      <w:r>
        <w:t xml:space="preserve">the </w:t>
      </w:r>
      <w:r w:rsidRPr="00C60AD1">
        <w:t>Petitioners to submit details on various issues along with its detailed proposal on the same. Further, as the Petition No. 893/2013 and 848/2012 are related, the Commission also directed to club the above two Petitions.</w:t>
      </w:r>
      <w:r w:rsidRPr="00C60AD1">
        <w:tab/>
      </w:r>
      <w:r w:rsidRPr="00C60AD1">
        <w:tab/>
      </w:r>
      <w:r w:rsidRPr="00C60AD1">
        <w:tab/>
      </w:r>
    </w:p>
    <w:p w:rsidR="00023318" w:rsidRDefault="00117E5B" w:rsidP="00023318">
      <w:pPr>
        <w:pStyle w:val="Heading3"/>
        <w:tabs>
          <w:tab w:val="clear" w:pos="720"/>
        </w:tabs>
        <w:spacing w:after="240"/>
        <w:ind w:left="993" w:hanging="993"/>
      </w:pPr>
      <w:r w:rsidRPr="00C60AD1">
        <w:t>The Commission vide its Letter No. UPERC/Secy/D(Tariff)14-257 dated 28th October, 2014 reminded the Petitioners to submit its detailed proposal in view of the directions given by the Commission in its Order dated 23rd October, 2013.</w:t>
      </w:r>
    </w:p>
    <w:p w:rsidR="00023318" w:rsidRDefault="00117E5B" w:rsidP="00023318">
      <w:pPr>
        <w:pStyle w:val="Heading3"/>
        <w:tabs>
          <w:tab w:val="clear" w:pos="720"/>
        </w:tabs>
        <w:spacing w:after="240"/>
        <w:ind w:left="993" w:hanging="993"/>
      </w:pPr>
      <w:r w:rsidRPr="00C60AD1">
        <w:t>Subsequently the Petitioners vide its Letter No. 3135/RAU/FPPCA dated 29th December, 2014 submitted their proposal. The detailed proposal on various issues as submitted by the Petitioners is extracted below for reference:</w:t>
      </w:r>
    </w:p>
    <w:p w:rsidR="00117E5B" w:rsidRPr="00C60AD1" w:rsidRDefault="00117E5B" w:rsidP="00117E5B">
      <w:pPr>
        <w:pStyle w:val="ListParagraph"/>
        <w:spacing w:after="200"/>
        <w:ind w:left="1440"/>
        <w:contextualSpacing/>
        <w:rPr>
          <w:b/>
          <w:i/>
        </w:rPr>
      </w:pPr>
      <w:r w:rsidRPr="00C60AD1">
        <w:rPr>
          <w:rFonts w:cs="Arial"/>
          <w:i/>
        </w:rPr>
        <w:t>“</w:t>
      </w:r>
      <w:r w:rsidRPr="00C60AD1">
        <w:rPr>
          <w:rFonts w:cs="Arial"/>
          <w:b/>
          <w:i/>
        </w:rPr>
        <w:t>A -</w:t>
      </w:r>
      <w:r w:rsidRPr="00C60AD1">
        <w:rPr>
          <w:b/>
          <w:i/>
        </w:rPr>
        <w:t>Differential distribution of FPPCA over different category of consumers:</w:t>
      </w:r>
    </w:p>
    <w:p w:rsidR="00117E5B" w:rsidRPr="00C60AD1" w:rsidRDefault="00117E5B" w:rsidP="00117E5B">
      <w:pPr>
        <w:tabs>
          <w:tab w:val="left" w:pos="360"/>
        </w:tabs>
        <w:ind w:left="1440"/>
        <w:rPr>
          <w:i/>
        </w:rPr>
      </w:pPr>
      <w:r w:rsidRPr="00C60AD1">
        <w:rPr>
          <w:i/>
        </w:rPr>
        <w:t xml:space="preserve">In this regard this is to submit that differential distribution of FPPCA over different category could be based on their </w:t>
      </w:r>
      <w:r w:rsidRPr="00C60AD1">
        <w:rPr>
          <w:b/>
          <w:i/>
        </w:rPr>
        <w:t>average billing rate (ABR)</w:t>
      </w:r>
      <w:r w:rsidRPr="00C60AD1">
        <w:rPr>
          <w:i/>
        </w:rPr>
        <w:t>. Since various category of consumer have different average billing rate, therefore uniform distribution of FPPCA will lead to non-uniform percentage distribution over different category. In order to avoid non-uniform percentage distribution of FPPCA it seems most appropriate to distribute FPPCA over different category in the ratio of their ABR in such a way that percentage increase across all the categories remains the same.</w:t>
      </w:r>
    </w:p>
    <w:p w:rsidR="00117E5B" w:rsidRPr="00C60AD1" w:rsidRDefault="00117E5B" w:rsidP="00117E5B">
      <w:pPr>
        <w:pStyle w:val="ListParagraph"/>
        <w:spacing w:after="200"/>
        <w:contextualSpacing/>
        <w:rPr>
          <w:b/>
          <w:i/>
        </w:rPr>
      </w:pPr>
    </w:p>
    <w:p w:rsidR="00117E5B" w:rsidRPr="00C60AD1" w:rsidRDefault="00117E5B" w:rsidP="00117E5B">
      <w:pPr>
        <w:pStyle w:val="ListParagraph"/>
        <w:spacing w:after="200"/>
        <w:ind w:left="1440"/>
        <w:contextualSpacing/>
        <w:rPr>
          <w:b/>
          <w:i/>
        </w:rPr>
      </w:pPr>
      <w:r w:rsidRPr="00C60AD1">
        <w:rPr>
          <w:b/>
          <w:i/>
        </w:rPr>
        <w:t>B - Disallowance of power purchase from few costlier sources with whom licensee has long term agreement:</w:t>
      </w:r>
    </w:p>
    <w:p w:rsidR="00117E5B" w:rsidRPr="00C60AD1" w:rsidRDefault="00117E5B" w:rsidP="00117E5B">
      <w:pPr>
        <w:pStyle w:val="ListParagraph"/>
        <w:ind w:left="1440"/>
        <w:rPr>
          <w:i/>
        </w:rPr>
      </w:pPr>
      <w:r w:rsidRPr="00C60AD1">
        <w:rPr>
          <w:i/>
        </w:rPr>
        <w:t>In Power Purchase Plan approved for FY 2012-13, power purchase from following sources has been disallowed by the Commission, whereas licensee has long term agreement with these sources:</w:t>
      </w:r>
    </w:p>
    <w:p w:rsidR="00117E5B" w:rsidRPr="00C60AD1" w:rsidRDefault="00117E5B" w:rsidP="00BA3941">
      <w:pPr>
        <w:pStyle w:val="ListParagraph"/>
        <w:numPr>
          <w:ilvl w:val="0"/>
          <w:numId w:val="30"/>
        </w:numPr>
        <w:spacing w:before="0" w:after="200"/>
        <w:contextualSpacing/>
        <w:rPr>
          <w:i/>
        </w:rPr>
      </w:pPr>
      <w:r w:rsidRPr="00C60AD1">
        <w:rPr>
          <w:i/>
        </w:rPr>
        <w:t>NTPC, Auraiya Gas</w:t>
      </w:r>
    </w:p>
    <w:p w:rsidR="00117E5B" w:rsidRPr="00C60AD1" w:rsidRDefault="00117E5B" w:rsidP="00BA3941">
      <w:pPr>
        <w:pStyle w:val="ListParagraph"/>
        <w:numPr>
          <w:ilvl w:val="0"/>
          <w:numId w:val="30"/>
        </w:numPr>
        <w:spacing w:before="0" w:after="200"/>
        <w:contextualSpacing/>
        <w:rPr>
          <w:i/>
        </w:rPr>
      </w:pPr>
      <w:r w:rsidRPr="00C60AD1">
        <w:rPr>
          <w:i/>
        </w:rPr>
        <w:t>NTPC, Dadri Gas</w:t>
      </w:r>
    </w:p>
    <w:p w:rsidR="00117E5B" w:rsidRPr="00C60AD1" w:rsidRDefault="00117E5B" w:rsidP="00BA3941">
      <w:pPr>
        <w:pStyle w:val="ListParagraph"/>
        <w:numPr>
          <w:ilvl w:val="0"/>
          <w:numId w:val="30"/>
        </w:numPr>
        <w:spacing w:before="0" w:after="200"/>
        <w:contextualSpacing/>
        <w:rPr>
          <w:i/>
        </w:rPr>
      </w:pPr>
      <w:r w:rsidRPr="00C60AD1">
        <w:rPr>
          <w:i/>
        </w:rPr>
        <w:t>NTPC, Kahalgaon Stn.-1</w:t>
      </w:r>
    </w:p>
    <w:p w:rsidR="00117E5B" w:rsidRPr="00C60AD1" w:rsidRDefault="00117E5B" w:rsidP="00BA3941">
      <w:pPr>
        <w:pStyle w:val="ListParagraph"/>
        <w:numPr>
          <w:ilvl w:val="0"/>
          <w:numId w:val="30"/>
        </w:numPr>
        <w:spacing w:before="0" w:after="200"/>
        <w:contextualSpacing/>
        <w:rPr>
          <w:i/>
        </w:rPr>
      </w:pPr>
      <w:r w:rsidRPr="00C60AD1">
        <w:rPr>
          <w:i/>
        </w:rPr>
        <w:t>NTPC, Farakka</w:t>
      </w:r>
    </w:p>
    <w:p w:rsidR="00117E5B" w:rsidRPr="00C60AD1" w:rsidRDefault="00117E5B" w:rsidP="00BA3941">
      <w:pPr>
        <w:pStyle w:val="ListParagraph"/>
        <w:numPr>
          <w:ilvl w:val="0"/>
          <w:numId w:val="30"/>
        </w:numPr>
        <w:spacing w:before="0" w:after="200"/>
        <w:contextualSpacing/>
        <w:rPr>
          <w:i/>
        </w:rPr>
      </w:pPr>
      <w:r w:rsidRPr="00C60AD1">
        <w:rPr>
          <w:i/>
        </w:rPr>
        <w:t>NTPC, Talchar</w:t>
      </w:r>
    </w:p>
    <w:p w:rsidR="00117E5B" w:rsidRPr="00C60AD1" w:rsidRDefault="00117E5B" w:rsidP="00BA3941">
      <w:pPr>
        <w:pStyle w:val="ListParagraph"/>
        <w:numPr>
          <w:ilvl w:val="0"/>
          <w:numId w:val="30"/>
        </w:numPr>
        <w:spacing w:before="0" w:after="200"/>
        <w:contextualSpacing/>
        <w:rPr>
          <w:i/>
        </w:rPr>
      </w:pPr>
      <w:r w:rsidRPr="00C60AD1">
        <w:rPr>
          <w:i/>
        </w:rPr>
        <w:lastRenderedPageBreak/>
        <w:t>NTPC, Jhajhjhar</w:t>
      </w:r>
    </w:p>
    <w:p w:rsidR="00117E5B" w:rsidRPr="00C60AD1" w:rsidRDefault="00117E5B" w:rsidP="00BA3941">
      <w:pPr>
        <w:pStyle w:val="ListParagraph"/>
        <w:numPr>
          <w:ilvl w:val="0"/>
          <w:numId w:val="30"/>
        </w:numPr>
        <w:spacing w:before="0" w:after="200"/>
        <w:contextualSpacing/>
        <w:rPr>
          <w:i/>
        </w:rPr>
      </w:pPr>
      <w:r w:rsidRPr="00C60AD1">
        <w:rPr>
          <w:i/>
        </w:rPr>
        <w:t>Bajaj Hindustan</w:t>
      </w:r>
    </w:p>
    <w:p w:rsidR="00117E5B" w:rsidRPr="00C60AD1" w:rsidRDefault="00117E5B" w:rsidP="00117E5B">
      <w:pPr>
        <w:ind w:left="1440"/>
        <w:rPr>
          <w:i/>
        </w:rPr>
      </w:pPr>
      <w:r w:rsidRPr="00C60AD1">
        <w:rPr>
          <w:i/>
        </w:rPr>
        <w:t>This situation has arisen due to the fact that the Commission has approved Power Purchase Plan (FY-2012-13) on the basis of MYT (2009-14) generation figures for state owned thermal generating stations. The Commission has not taken into account the past trend of generation from these state owned thermal generating stations.</w:t>
      </w:r>
    </w:p>
    <w:p w:rsidR="00117E5B" w:rsidRPr="00C60AD1" w:rsidRDefault="00117E5B" w:rsidP="00117E5B">
      <w:pPr>
        <w:ind w:left="1440"/>
        <w:rPr>
          <w:i/>
        </w:rPr>
      </w:pPr>
      <w:r w:rsidRPr="00C60AD1">
        <w:rPr>
          <w:i/>
        </w:rPr>
        <w:t>Owing to the fact of long term agreement with few of the disallowed sources, in FY 2012-13, the existing provision of not allowing FPPCA for power purchase from unapproved sources will lead heavy financial loss to the licensee.</w:t>
      </w:r>
    </w:p>
    <w:p w:rsidR="00117E5B" w:rsidRPr="00C60AD1" w:rsidRDefault="00117E5B" w:rsidP="00117E5B">
      <w:pPr>
        <w:pStyle w:val="ListParagraph"/>
        <w:spacing w:after="200"/>
        <w:contextualSpacing/>
        <w:rPr>
          <w:b/>
          <w:i/>
        </w:rPr>
      </w:pPr>
    </w:p>
    <w:p w:rsidR="00117E5B" w:rsidRPr="00C60AD1" w:rsidRDefault="00117E5B" w:rsidP="00117E5B">
      <w:pPr>
        <w:pStyle w:val="ListParagraph"/>
        <w:spacing w:after="200"/>
        <w:ind w:left="1440"/>
        <w:contextualSpacing/>
        <w:rPr>
          <w:b/>
          <w:i/>
        </w:rPr>
      </w:pPr>
      <w:r w:rsidRPr="00C60AD1">
        <w:rPr>
          <w:b/>
          <w:i/>
        </w:rPr>
        <w:t>C - FPPCA may be allowed on power purchase from UI &amp; unapproved sources:</w:t>
      </w:r>
    </w:p>
    <w:p w:rsidR="00117E5B" w:rsidRPr="00C60AD1" w:rsidRDefault="00117E5B" w:rsidP="00117E5B">
      <w:pPr>
        <w:pStyle w:val="ListParagraph"/>
        <w:ind w:left="1440"/>
        <w:rPr>
          <w:i/>
        </w:rPr>
      </w:pPr>
      <w:r w:rsidRPr="00C60AD1">
        <w:rPr>
          <w:i/>
        </w:rPr>
        <w:t>As regard to the issue of allowing FPPCA on power purchase from UI &amp; unapproved sources, Commission has directed the licensee to file reply as directed in its order dt.17.12.2012 in petition no. 848/2012. The desired FPPCA computation has been filed by the licensee vide letter no. 1621/RAU/FPPCA Review dt. 30.06.2014 for the period Jan-2013 to Sept-2013 (for 3 Quarters), on the basis of the bills raised by the generators, in following two scenarios:</w:t>
      </w:r>
    </w:p>
    <w:p w:rsidR="00117E5B" w:rsidRPr="00C60AD1" w:rsidRDefault="00117E5B" w:rsidP="00BA3941">
      <w:pPr>
        <w:pStyle w:val="ListParagraph"/>
        <w:numPr>
          <w:ilvl w:val="0"/>
          <w:numId w:val="31"/>
        </w:numPr>
        <w:spacing w:before="0" w:after="200"/>
        <w:contextualSpacing/>
        <w:rPr>
          <w:i/>
        </w:rPr>
      </w:pPr>
      <w:r w:rsidRPr="00C60AD1">
        <w:rPr>
          <w:i/>
        </w:rPr>
        <w:t xml:space="preserve">FPPCA working </w:t>
      </w:r>
      <w:r w:rsidRPr="00C60AD1">
        <w:rPr>
          <w:b/>
          <w:i/>
        </w:rPr>
        <w:t>Excluding UI &amp; unapproved purchases</w:t>
      </w:r>
    </w:p>
    <w:p w:rsidR="00117E5B" w:rsidRPr="00C60AD1" w:rsidRDefault="00117E5B" w:rsidP="00BA3941">
      <w:pPr>
        <w:pStyle w:val="ListParagraph"/>
        <w:numPr>
          <w:ilvl w:val="0"/>
          <w:numId w:val="31"/>
        </w:numPr>
        <w:spacing w:before="0" w:after="200"/>
        <w:contextualSpacing/>
        <w:rPr>
          <w:i/>
        </w:rPr>
      </w:pPr>
      <w:r w:rsidRPr="00C60AD1">
        <w:rPr>
          <w:i/>
        </w:rPr>
        <w:t xml:space="preserve">FPPCA working </w:t>
      </w:r>
      <w:r w:rsidRPr="00C60AD1">
        <w:rPr>
          <w:b/>
          <w:i/>
        </w:rPr>
        <w:t>Including UI &amp; unapproved purchases</w:t>
      </w:r>
    </w:p>
    <w:p w:rsidR="00117E5B" w:rsidRPr="00C60AD1" w:rsidRDefault="00117E5B" w:rsidP="00117E5B">
      <w:pPr>
        <w:ind w:left="1440"/>
        <w:rPr>
          <w:i/>
        </w:rPr>
      </w:pPr>
      <w:r w:rsidRPr="00C60AD1">
        <w:rPr>
          <w:i/>
        </w:rPr>
        <w:t>As evident from above submitted computation there is a loss of Rs. 457.5 Cr. to the licensee in terms of FPPCA for three quarters only.</w:t>
      </w:r>
    </w:p>
    <w:p w:rsidR="00117E5B" w:rsidRPr="00C60AD1" w:rsidRDefault="00117E5B" w:rsidP="00117E5B">
      <w:pPr>
        <w:ind w:left="1440"/>
        <w:rPr>
          <w:i/>
        </w:rPr>
      </w:pPr>
      <w:r w:rsidRPr="00C60AD1">
        <w:rPr>
          <w:i/>
        </w:rPr>
        <w:t>Therefore, in light of submission made by the licensee in its petition &amp; computation shown in reply dt. 30.06.2014, it is submitted that the variation in power purchase cost due to UI &amp; unapproved sources may also be covered under FPPCA.</w:t>
      </w:r>
    </w:p>
    <w:p w:rsidR="00117E5B" w:rsidRPr="00C60AD1" w:rsidRDefault="00117E5B" w:rsidP="00117E5B">
      <w:pPr>
        <w:pStyle w:val="ListParagraph"/>
        <w:spacing w:after="200"/>
        <w:contextualSpacing/>
        <w:rPr>
          <w:b/>
          <w:i/>
        </w:rPr>
      </w:pPr>
    </w:p>
    <w:p w:rsidR="00117E5B" w:rsidRPr="00C60AD1" w:rsidRDefault="00117E5B" w:rsidP="00117E5B">
      <w:pPr>
        <w:pStyle w:val="ListParagraph"/>
        <w:spacing w:after="200"/>
        <w:ind w:left="1440"/>
        <w:contextualSpacing/>
        <w:rPr>
          <w:b/>
          <w:i/>
        </w:rPr>
      </w:pPr>
      <w:r w:rsidRPr="00C60AD1">
        <w:rPr>
          <w:b/>
          <w:i/>
        </w:rPr>
        <w:t>D - For the purpose of recovery FPPCA, power purchase cost may include all bills raised by the generators instead of bills paid and credit received by the licensee:</w:t>
      </w:r>
    </w:p>
    <w:p w:rsidR="00117E5B" w:rsidRPr="00C60AD1" w:rsidRDefault="00117E5B" w:rsidP="00117E5B">
      <w:pPr>
        <w:pStyle w:val="ListParagraph"/>
        <w:ind w:left="1440"/>
        <w:rPr>
          <w:i/>
        </w:rPr>
      </w:pPr>
      <w:r w:rsidRPr="00C60AD1">
        <w:rPr>
          <w:i/>
        </w:rPr>
        <w:lastRenderedPageBreak/>
        <w:t>With regard to this issue it is humbly submitted that the submission made in petition no. 848/2012 seems sufficient and does not need further elaboration.</w:t>
      </w:r>
    </w:p>
    <w:p w:rsidR="00117E5B" w:rsidRPr="00C60AD1" w:rsidRDefault="00117E5B" w:rsidP="00117E5B">
      <w:pPr>
        <w:pStyle w:val="ListParagraph"/>
        <w:spacing w:after="200"/>
        <w:contextualSpacing/>
        <w:rPr>
          <w:b/>
          <w:i/>
        </w:rPr>
      </w:pPr>
    </w:p>
    <w:p w:rsidR="00117E5B" w:rsidRPr="00C60AD1" w:rsidRDefault="00117E5B" w:rsidP="00117E5B">
      <w:pPr>
        <w:pStyle w:val="ListParagraph"/>
        <w:spacing w:after="200"/>
        <w:ind w:firstLine="720"/>
        <w:contextualSpacing/>
        <w:rPr>
          <w:b/>
          <w:i/>
        </w:rPr>
      </w:pPr>
      <w:r w:rsidRPr="00C60AD1">
        <w:rPr>
          <w:b/>
          <w:i/>
        </w:rPr>
        <w:t>E - Date of applicability of FPPCA:</w:t>
      </w:r>
    </w:p>
    <w:p w:rsidR="00117E5B" w:rsidRDefault="00117E5B" w:rsidP="00117E5B">
      <w:pPr>
        <w:pStyle w:val="ListParagraph"/>
        <w:ind w:left="1440"/>
      </w:pPr>
      <w:r w:rsidRPr="00C60AD1">
        <w:rPr>
          <w:i/>
        </w:rPr>
        <w:t>The issue with regard to the date of applicability of FPPCA has been settled by the Commission vide its letter no. UPERC/D(T)RAU/2012-1127 dt. 30.10.2012. Therefore, no further submission is required in this regard.”</w:t>
      </w:r>
    </w:p>
    <w:p w:rsidR="00023318" w:rsidRDefault="00117E5B" w:rsidP="00023318">
      <w:pPr>
        <w:pStyle w:val="Heading3"/>
        <w:tabs>
          <w:tab w:val="clear" w:pos="720"/>
        </w:tabs>
        <w:spacing w:after="240"/>
        <w:ind w:left="993" w:hanging="993"/>
      </w:pPr>
      <w:r w:rsidRPr="00C60AD1">
        <w:t xml:space="preserve">The relevant provisions of the UPERC (Terms and conditions for Determination of Distribution Tariff), Regulations, </w:t>
      </w:r>
      <w:r w:rsidR="00F144EF" w:rsidRPr="00C60AD1">
        <w:t>and Amendment</w:t>
      </w:r>
      <w:r w:rsidRPr="00C60AD1">
        <w:t xml:space="preserve"> No. 3 of 2012 are reproduced below for reference:</w:t>
      </w:r>
    </w:p>
    <w:p w:rsidR="00117E5B" w:rsidRPr="00C60AD1" w:rsidRDefault="00117E5B" w:rsidP="00117E5B">
      <w:pPr>
        <w:spacing w:line="312" w:lineRule="auto"/>
        <w:rPr>
          <w:rFonts w:cs="Arial"/>
        </w:rPr>
      </w:pPr>
      <w:r w:rsidRPr="00C60AD1">
        <w:rPr>
          <w:rFonts w:cs="Arial"/>
        </w:rPr>
        <w:t>Quote</w:t>
      </w:r>
    </w:p>
    <w:p w:rsidR="00117E5B" w:rsidRPr="00C60AD1" w:rsidRDefault="00117E5B" w:rsidP="00117E5B">
      <w:pPr>
        <w:ind w:left="720" w:firstLine="720"/>
        <w:rPr>
          <w:b/>
          <w:i/>
        </w:rPr>
      </w:pPr>
      <w:r w:rsidRPr="00C60AD1">
        <w:rPr>
          <w:b/>
          <w:i/>
        </w:rPr>
        <w:t>6.9 Fuel and Power Purchase Cost Adjustment (FPPCA):</w:t>
      </w:r>
    </w:p>
    <w:p w:rsidR="00117E5B" w:rsidRPr="00C60AD1" w:rsidRDefault="00117E5B" w:rsidP="00117E5B">
      <w:pPr>
        <w:pStyle w:val="ListParagraph"/>
        <w:spacing w:after="200"/>
        <w:ind w:left="1429" w:firstLine="11"/>
        <w:contextualSpacing/>
        <w:rPr>
          <w:b/>
          <w:i/>
        </w:rPr>
      </w:pPr>
      <w:r w:rsidRPr="00C60AD1">
        <w:rPr>
          <w:b/>
          <w:i/>
        </w:rPr>
        <w:t>1. Recovery Periodicity (Cycle):</w:t>
      </w:r>
    </w:p>
    <w:p w:rsidR="00117E5B" w:rsidRPr="00C60AD1" w:rsidRDefault="00117E5B" w:rsidP="00117E5B">
      <w:pPr>
        <w:pStyle w:val="ListParagraph"/>
        <w:ind w:left="1429"/>
        <w:rPr>
          <w:i/>
        </w:rPr>
      </w:pPr>
      <w:r w:rsidRPr="00C60AD1">
        <w:rPr>
          <w:i/>
        </w:rPr>
        <w:t>The cycle will be quarterly. The FPPCA for the quarter ending March will be calculated in next quarter i.e. up to June when the data/ bills from generators/suppliers and sale of energy data for the quarter under consideration are available and the same will be applicable to all categories w.e.f. July.</w:t>
      </w:r>
    </w:p>
    <w:p w:rsidR="00117E5B" w:rsidRPr="00C60AD1" w:rsidRDefault="00117E5B" w:rsidP="00117E5B">
      <w:pPr>
        <w:pStyle w:val="ListParagraph"/>
        <w:rPr>
          <w:i/>
        </w:rPr>
      </w:pPr>
    </w:p>
    <w:p w:rsidR="00117E5B" w:rsidRPr="00C60AD1" w:rsidRDefault="00117E5B" w:rsidP="00117E5B">
      <w:pPr>
        <w:pStyle w:val="ListParagraph"/>
        <w:spacing w:after="200"/>
        <w:ind w:left="1418" w:firstLine="11"/>
        <w:contextualSpacing/>
        <w:rPr>
          <w:b/>
          <w:i/>
        </w:rPr>
      </w:pPr>
      <w:r w:rsidRPr="00C60AD1">
        <w:rPr>
          <w:b/>
          <w:i/>
        </w:rPr>
        <w:t>2. Fuel &amp; Power Purchase Cost Adjustment Formula (FPPCA):</w:t>
      </w:r>
    </w:p>
    <w:p w:rsidR="00117E5B" w:rsidRPr="00C60AD1" w:rsidRDefault="00117E5B" w:rsidP="00117E5B">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117E5B" w:rsidRPr="00C60AD1" w:rsidRDefault="00117E5B" w:rsidP="00117E5B">
      <w:pPr>
        <w:ind w:left="1418"/>
        <w:rPr>
          <w:b/>
          <w:i/>
        </w:rPr>
      </w:pPr>
      <w:r w:rsidRPr="00C60AD1">
        <w:rPr>
          <w:b/>
          <w:i/>
        </w:rPr>
        <w:t>Step (A)</w:t>
      </w:r>
      <w:r w:rsidRPr="00C60AD1">
        <w:rPr>
          <w:b/>
          <w:i/>
        </w:rPr>
        <w:tab/>
        <w:t>Determination of Difference between Actual and Approved Power Purchase Cost in a quarter</w:t>
      </w:r>
    </w:p>
    <w:p w:rsidR="00117E5B" w:rsidRPr="00C60AD1" w:rsidRDefault="00117E5B" w:rsidP="00117E5B">
      <w:pPr>
        <w:pStyle w:val="ListParagraph"/>
        <w:ind w:firstLine="698"/>
        <w:rPr>
          <w:i/>
        </w:rPr>
      </w:pPr>
      <w:r w:rsidRPr="00C60AD1">
        <w:rPr>
          <w:i/>
        </w:rPr>
        <w:t>P</w:t>
      </w:r>
      <w:r w:rsidRPr="00C60AD1">
        <w:rPr>
          <w:i/>
          <w:vertAlign w:val="subscript"/>
        </w:rPr>
        <w:t>D</w:t>
      </w:r>
      <w:r w:rsidRPr="00C60AD1">
        <w:rPr>
          <w:i/>
        </w:rPr>
        <w:t xml:space="preserve">= (P </w:t>
      </w:r>
      <w:r w:rsidRPr="00C60AD1">
        <w:rPr>
          <w:i/>
          <w:vertAlign w:val="subscript"/>
        </w:rPr>
        <w:t>actual</w:t>
      </w:r>
      <w:r w:rsidRPr="00C60AD1">
        <w:rPr>
          <w:i/>
        </w:rPr>
        <w:t xml:space="preserve">-P </w:t>
      </w:r>
      <w:r w:rsidRPr="00C60AD1">
        <w:rPr>
          <w:i/>
          <w:vertAlign w:val="subscript"/>
        </w:rPr>
        <w:t>approved</w:t>
      </w:r>
      <w:r w:rsidRPr="00C60AD1">
        <w:rPr>
          <w:i/>
        </w:rPr>
        <w:t>)</w:t>
      </w:r>
    </w:p>
    <w:p w:rsidR="00117E5B" w:rsidRPr="00C60AD1" w:rsidRDefault="00117E5B" w:rsidP="00117E5B">
      <w:pPr>
        <w:ind w:left="698" w:firstLine="720"/>
        <w:rPr>
          <w:i/>
        </w:rPr>
      </w:pPr>
      <w:r w:rsidRPr="00C60AD1">
        <w:rPr>
          <w:i/>
        </w:rPr>
        <w:t xml:space="preserve">Where </w:t>
      </w:r>
    </w:p>
    <w:p w:rsidR="00117E5B" w:rsidRPr="00C60AD1" w:rsidRDefault="00117E5B" w:rsidP="00117E5B">
      <w:pPr>
        <w:ind w:left="698" w:firstLine="720"/>
        <w:rPr>
          <w:i/>
        </w:rPr>
      </w:pPr>
      <w:r w:rsidRPr="00C60AD1">
        <w:rPr>
          <w:i/>
        </w:rPr>
        <w:t>P</w:t>
      </w:r>
      <w:r w:rsidRPr="00C60AD1">
        <w:rPr>
          <w:i/>
          <w:vertAlign w:val="subscript"/>
        </w:rPr>
        <w:t>D</w:t>
      </w:r>
      <w:r w:rsidRPr="00C60AD1">
        <w:rPr>
          <w:i/>
        </w:rPr>
        <w:tab/>
        <w:t>= Difference in Actual and Approved Power Purchase Cost (‘Crs.)</w:t>
      </w:r>
    </w:p>
    <w:p w:rsidR="00117E5B" w:rsidRPr="00C60AD1" w:rsidRDefault="00117E5B" w:rsidP="00117E5B">
      <w:pPr>
        <w:ind w:left="698" w:firstLine="720"/>
        <w:rPr>
          <w:i/>
        </w:rPr>
      </w:pPr>
      <w:r w:rsidRPr="00C60AD1">
        <w:rPr>
          <w:i/>
        </w:rPr>
        <w:t xml:space="preserve">P </w:t>
      </w:r>
      <w:r w:rsidRPr="00C60AD1">
        <w:rPr>
          <w:i/>
          <w:vertAlign w:val="subscript"/>
        </w:rPr>
        <w:t>actual</w:t>
      </w:r>
      <w:r w:rsidRPr="00C60AD1">
        <w:rPr>
          <w:i/>
          <w:vertAlign w:val="subscript"/>
        </w:rPr>
        <w:tab/>
      </w:r>
      <w:r w:rsidRPr="00C60AD1">
        <w:rPr>
          <w:i/>
        </w:rPr>
        <w:t>= Actual Cost of Power Purchase (‘Crs.)</w:t>
      </w:r>
    </w:p>
    <w:p w:rsidR="00117E5B" w:rsidRPr="00C60AD1" w:rsidRDefault="00117E5B" w:rsidP="00117E5B">
      <w:pPr>
        <w:ind w:left="698" w:firstLine="720"/>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(‘Crs.)</w:t>
      </w:r>
    </w:p>
    <w:p w:rsidR="00117E5B" w:rsidRPr="00C60AD1" w:rsidRDefault="00117E5B" w:rsidP="00117E5B">
      <w:pPr>
        <w:ind w:left="1418"/>
        <w:rPr>
          <w:b/>
          <w:i/>
        </w:rPr>
      </w:pPr>
      <w:r w:rsidRPr="00C60AD1">
        <w:rPr>
          <w:b/>
          <w:i/>
        </w:rPr>
        <w:lastRenderedPageBreak/>
        <w:t xml:space="preserve">Step (B) </w:t>
      </w:r>
      <w:r w:rsidRPr="00C60AD1">
        <w:rPr>
          <w:b/>
          <w:i/>
        </w:rPr>
        <w:tab/>
        <w:t>Determination of (E ) Energy billed (in MUs) in a quarter after considering approved T&amp;D losses.</w:t>
      </w:r>
    </w:p>
    <w:p w:rsidR="00117E5B" w:rsidRPr="00C60AD1" w:rsidRDefault="00117E5B" w:rsidP="00117E5B">
      <w:pPr>
        <w:pStyle w:val="ListParagraph"/>
        <w:ind w:firstLine="698"/>
        <w:rPr>
          <w:i/>
        </w:rPr>
      </w:pPr>
      <w:r w:rsidRPr="00C60AD1">
        <w:rPr>
          <w:i/>
        </w:rPr>
        <w:t xml:space="preserve">Actual power purchased during the quarter (MUs) </w:t>
      </w:r>
      <w:r w:rsidRPr="00C60AD1">
        <w:rPr>
          <w:i/>
        </w:rPr>
        <w:tab/>
        <w:t>X(MUs)</w:t>
      </w:r>
    </w:p>
    <w:p w:rsidR="00117E5B" w:rsidRPr="00C60AD1" w:rsidRDefault="00117E5B" w:rsidP="00117E5B">
      <w:pPr>
        <w:pStyle w:val="ListParagraph"/>
        <w:ind w:firstLine="698"/>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Y%</w:t>
      </w:r>
    </w:p>
    <w:p w:rsidR="00117E5B" w:rsidRPr="00C60AD1" w:rsidRDefault="00117E5B" w:rsidP="00117E5B">
      <w:pPr>
        <w:pStyle w:val="ListParagraph"/>
        <w:ind w:firstLine="698"/>
        <w:rPr>
          <w:i/>
        </w:rPr>
      </w:pPr>
      <w:r w:rsidRPr="00C60AD1">
        <w:rPr>
          <w:i/>
        </w:rPr>
        <w:t xml:space="preserve">Approved MUs billed after T&amp;D losses (E)  </w:t>
      </w:r>
      <w:r w:rsidRPr="00C60AD1">
        <w:rPr>
          <w:i/>
        </w:rPr>
        <w:tab/>
      </w:r>
      <w:r w:rsidRPr="00C60AD1">
        <w:rPr>
          <w:i/>
        </w:rPr>
        <w:tab/>
        <w:t xml:space="preserve"> X * (1-Y/100)</w:t>
      </w:r>
    </w:p>
    <w:p w:rsidR="00117E5B" w:rsidRPr="00C60AD1" w:rsidRDefault="00117E5B" w:rsidP="00117E5B">
      <w:pPr>
        <w:pStyle w:val="ListParagraph"/>
        <w:ind w:left="709" w:hanging="1418"/>
        <w:rPr>
          <w:i/>
        </w:rPr>
      </w:pPr>
    </w:p>
    <w:p w:rsidR="00117E5B" w:rsidRPr="00C60AD1" w:rsidRDefault="00117E5B" w:rsidP="00117E5B">
      <w:pPr>
        <w:pStyle w:val="ListParagraph"/>
        <w:ind w:left="1418"/>
        <w:rPr>
          <w:b/>
          <w:i/>
        </w:rPr>
      </w:pPr>
      <w:r w:rsidRPr="00C60AD1">
        <w:rPr>
          <w:b/>
          <w:i/>
        </w:rPr>
        <w:t>Step (C )</w:t>
      </w:r>
      <w:r w:rsidRPr="00C60AD1">
        <w:rPr>
          <w:b/>
          <w:i/>
        </w:rPr>
        <w:tab/>
        <w:t>Determination of Fuel &amp; Power Purchase Cost Adjustment per unit based on approved T&amp;D losses to be charged from all consumers each month of the quarter</w:t>
      </w:r>
    </w:p>
    <w:p w:rsidR="00117E5B" w:rsidRPr="00C60AD1" w:rsidRDefault="00117E5B" w:rsidP="00117E5B">
      <w:pPr>
        <w:pStyle w:val="ListParagraph"/>
        <w:ind w:left="907"/>
        <w:jc w:val="center"/>
        <w:rPr>
          <w:b/>
          <w:i/>
        </w:rPr>
      </w:pPr>
      <w:r w:rsidRPr="00C60AD1">
        <w:rPr>
          <w:b/>
          <w:i/>
        </w:rPr>
        <w:t>FPPCA (‘/unit)) = (P</w:t>
      </w:r>
      <w:r w:rsidRPr="00C60AD1">
        <w:rPr>
          <w:b/>
          <w:i/>
          <w:vertAlign w:val="subscript"/>
        </w:rPr>
        <w:t>D</w:t>
      </w:r>
      <w:r w:rsidRPr="00C60AD1">
        <w:rPr>
          <w:b/>
          <w:i/>
        </w:rPr>
        <w:t>/E)*10</w:t>
      </w:r>
    </w:p>
    <w:p w:rsidR="00117E5B" w:rsidRPr="00C60AD1" w:rsidRDefault="00117E5B" w:rsidP="00117E5B">
      <w:pPr>
        <w:pStyle w:val="ListParagraph"/>
        <w:ind w:left="907"/>
        <w:rPr>
          <w:i/>
        </w:rPr>
      </w:pPr>
    </w:p>
    <w:p w:rsidR="00117E5B" w:rsidRPr="00C60AD1" w:rsidRDefault="00117E5B" w:rsidP="00117E5B">
      <w:pPr>
        <w:pStyle w:val="ListParagraph"/>
        <w:spacing w:after="200"/>
        <w:ind w:left="1440"/>
        <w:contextualSpacing/>
        <w:rPr>
          <w:i/>
        </w:rPr>
      </w:pPr>
      <w:r w:rsidRPr="00C60AD1">
        <w:rPr>
          <w:i/>
        </w:rPr>
        <w:t>2. The variation in power purchase cost due to UI and other unapproved purchases shall not be covered under FPPCA.</w:t>
      </w:r>
    </w:p>
    <w:p w:rsidR="00117E5B" w:rsidRPr="00C60AD1" w:rsidRDefault="00117E5B" w:rsidP="00117E5B">
      <w:pPr>
        <w:pStyle w:val="ListParagraph"/>
        <w:ind w:left="896"/>
        <w:rPr>
          <w:i/>
        </w:rPr>
      </w:pPr>
    </w:p>
    <w:p w:rsidR="00117E5B" w:rsidRPr="00C60AD1" w:rsidRDefault="00117E5B" w:rsidP="00117E5B">
      <w:pPr>
        <w:pStyle w:val="ListParagraph"/>
        <w:spacing w:after="200"/>
        <w:ind w:left="1440"/>
        <w:contextualSpacing/>
        <w:rPr>
          <w:i/>
        </w:rPr>
      </w:pPr>
      <w:r w:rsidRPr="00C60AD1">
        <w:rPr>
          <w:i/>
        </w:rPr>
        <w:t>3. For the purpose of recovery of FPPCA, power purchase cost shall include all the bills paid and credits received by the distribution licensee, to the suppliers of the power, during the previous FPPCA cycle irrespective of the period to which they pertain. This shall include arrears and refunds, if any, not settled earlier.</w:t>
      </w:r>
    </w:p>
    <w:p w:rsidR="00117E5B" w:rsidRPr="00C60AD1" w:rsidRDefault="00117E5B" w:rsidP="00117E5B">
      <w:pPr>
        <w:pStyle w:val="ListParagraph"/>
        <w:ind w:left="907"/>
        <w:rPr>
          <w:i/>
        </w:rPr>
      </w:pPr>
    </w:p>
    <w:p w:rsidR="00117E5B" w:rsidRPr="00C60AD1" w:rsidRDefault="00117E5B" w:rsidP="00117E5B">
      <w:pPr>
        <w:pStyle w:val="ListParagraph"/>
        <w:spacing w:after="200"/>
        <w:ind w:left="1440"/>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117E5B" w:rsidRPr="00C60AD1" w:rsidRDefault="00117E5B" w:rsidP="00117E5B">
      <w:pPr>
        <w:pStyle w:val="ListParagraph"/>
        <w:spacing w:after="200"/>
        <w:ind w:left="1440"/>
        <w:contextualSpacing/>
        <w:rPr>
          <w:i/>
        </w:rPr>
      </w:pPr>
      <w:r w:rsidRPr="00C60AD1">
        <w:rPr>
          <w:i/>
        </w:rPr>
        <w:t>5. Per unit rate of FPPCA shall be worked out in paisa after rounding off to the next place.</w:t>
      </w:r>
    </w:p>
    <w:p w:rsidR="00117E5B" w:rsidRPr="00C60AD1" w:rsidRDefault="00117E5B" w:rsidP="00117E5B">
      <w:pPr>
        <w:pStyle w:val="ListParagraph"/>
        <w:ind w:left="896"/>
        <w:rPr>
          <w:i/>
        </w:rPr>
      </w:pPr>
    </w:p>
    <w:p w:rsidR="00117E5B" w:rsidRPr="00C60AD1" w:rsidRDefault="00117E5B" w:rsidP="00117E5B">
      <w:pPr>
        <w:pStyle w:val="ListParagraph"/>
        <w:spacing w:after="200"/>
        <w:ind w:left="1440"/>
        <w:contextualSpacing/>
        <w:rPr>
          <w:i/>
        </w:rPr>
      </w:pPr>
      <w:r w:rsidRPr="00C60AD1">
        <w:rPr>
          <w:i/>
        </w:rPr>
        <w:t>6. In case of negative FPPCA, the credit shall be given to the consumers under the FPPCA head, so that the base tariff determined by the Commission effectively remains the same.</w:t>
      </w:r>
    </w:p>
    <w:p w:rsidR="00117E5B" w:rsidRPr="00C60AD1" w:rsidRDefault="00117E5B" w:rsidP="00117E5B">
      <w:pPr>
        <w:pStyle w:val="ListParagraph"/>
        <w:rPr>
          <w:i/>
        </w:rPr>
      </w:pPr>
    </w:p>
    <w:p w:rsidR="00117E5B" w:rsidRPr="00C60AD1" w:rsidRDefault="00117E5B" w:rsidP="00117E5B">
      <w:pPr>
        <w:pStyle w:val="ListParagraph"/>
        <w:spacing w:after="200"/>
        <w:ind w:left="1440"/>
        <w:contextualSpacing/>
        <w:rPr>
          <w:i/>
        </w:rPr>
      </w:pPr>
      <w:r w:rsidRPr="00C60AD1">
        <w:rPr>
          <w:i/>
        </w:rPr>
        <w:t xml:space="preserve">7. The Distribution licensee shall submit details in the stipulated format to the Commission on a quarterly basis, the FPPCA charged and, for this purpose, shall submit such details of the FPPCA incurred and the FPPCA </w:t>
      </w:r>
      <w:r w:rsidRPr="00C60AD1">
        <w:rPr>
          <w:i/>
        </w:rPr>
        <w:lastRenderedPageBreak/>
        <w:t>charged to all consumers for each month in such quarter, along with the detailed computations and supporting documents as may be required for verification by the Commission.</w:t>
      </w:r>
    </w:p>
    <w:p w:rsidR="00117E5B" w:rsidRPr="00C60AD1" w:rsidRDefault="00117E5B" w:rsidP="00117E5B">
      <w:pPr>
        <w:pStyle w:val="ListParagraph"/>
        <w:rPr>
          <w:i/>
        </w:rPr>
      </w:pPr>
    </w:p>
    <w:p w:rsidR="00117E5B" w:rsidRPr="00C60AD1" w:rsidRDefault="00117E5B" w:rsidP="00117E5B">
      <w:pPr>
        <w:pStyle w:val="ListParagraph"/>
        <w:ind w:left="1440"/>
        <w:rPr>
          <w:i/>
        </w:rPr>
      </w:pPr>
      <w:r w:rsidRPr="00C60AD1">
        <w:rPr>
          <w:i/>
        </w:rPr>
        <w:t>Provided that the above submission made to the Commission must be certified by a Chartered Accountant.</w:t>
      </w:r>
    </w:p>
    <w:p w:rsidR="00117E5B" w:rsidRPr="00C60AD1" w:rsidRDefault="00117E5B" w:rsidP="00117E5B">
      <w:pPr>
        <w:pStyle w:val="ListParagraph"/>
        <w:ind w:left="1440"/>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117E5B" w:rsidRPr="00C60AD1" w:rsidRDefault="00117E5B" w:rsidP="00117E5B">
      <w:pPr>
        <w:pStyle w:val="ListParagraph"/>
        <w:ind w:left="1440"/>
        <w:rPr>
          <w:i/>
        </w:rPr>
      </w:pPr>
      <w:r w:rsidRPr="00C60AD1">
        <w:rPr>
          <w:i/>
        </w:rPr>
        <w:t>Provided that the Distribution Licensee shall put up on his internet website such details of the FPPCA incurred and the FPPCA charged to all consumers for each month along with detailed computations.</w:t>
      </w:r>
    </w:p>
    <w:p w:rsidR="00117E5B" w:rsidRPr="00C60AD1" w:rsidRDefault="00117E5B" w:rsidP="00117E5B">
      <w:pPr>
        <w:pStyle w:val="ListParagraph"/>
        <w:rPr>
          <w:i/>
        </w:rPr>
      </w:pPr>
    </w:p>
    <w:p w:rsidR="00117E5B" w:rsidRPr="00C60AD1" w:rsidRDefault="00117E5B" w:rsidP="00117E5B">
      <w:pPr>
        <w:pStyle w:val="ListParagraph"/>
        <w:spacing w:after="200"/>
        <w:ind w:left="1440"/>
        <w:contextualSpacing/>
        <w:rPr>
          <w:i/>
        </w:rPr>
      </w:pPr>
      <w:r w:rsidRPr="00C60AD1">
        <w:rPr>
          <w:i/>
        </w:rPr>
        <w:t>8. In case of Minimum Charges, FPPCA shall be charged only on actual units consumed by the consumer during the relevant month in addition to the Minimum Charges amount.</w:t>
      </w:r>
    </w:p>
    <w:p w:rsidR="00117E5B" w:rsidRPr="00C60AD1" w:rsidRDefault="00117E5B" w:rsidP="00117E5B">
      <w:pPr>
        <w:pStyle w:val="ListParagraph"/>
        <w:ind w:left="709"/>
        <w:rPr>
          <w:i/>
        </w:rPr>
      </w:pPr>
    </w:p>
    <w:p w:rsidR="00117E5B" w:rsidRPr="00C60AD1" w:rsidRDefault="00117E5B" w:rsidP="00117E5B">
      <w:pPr>
        <w:pStyle w:val="ListParagraph"/>
        <w:spacing w:after="200"/>
        <w:ind w:left="1440"/>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117E5B" w:rsidRPr="00C60AD1" w:rsidRDefault="00117E5B" w:rsidP="00117E5B">
      <w:pPr>
        <w:pStyle w:val="ListParagraph"/>
        <w:rPr>
          <w:i/>
        </w:rPr>
      </w:pPr>
    </w:p>
    <w:p w:rsidR="00117E5B" w:rsidRPr="00C60AD1" w:rsidRDefault="00117E5B" w:rsidP="00117E5B">
      <w:pPr>
        <w:pStyle w:val="ListParagraph"/>
        <w:spacing w:after="200"/>
        <w:ind w:left="1440"/>
        <w:contextualSpacing/>
      </w:pPr>
      <w:r w:rsidRPr="00C60AD1">
        <w:rPr>
          <w:i/>
        </w:rPr>
        <w:t>10. The Commission may however suitably modify / change the proposed formula / procedure or adopt a different formula / procedure for the assessment of fuel surcharge if it considers it to be more appropriate.</w:t>
      </w:r>
    </w:p>
    <w:p w:rsidR="00117E5B" w:rsidRPr="00C60AD1" w:rsidRDefault="00117E5B" w:rsidP="00117E5B">
      <w:pPr>
        <w:spacing w:line="312" w:lineRule="auto"/>
        <w:ind w:left="273" w:firstLine="720"/>
        <w:rPr>
          <w:rFonts w:cs="Arial"/>
        </w:rPr>
      </w:pPr>
      <w:r w:rsidRPr="00C60AD1">
        <w:rPr>
          <w:rFonts w:cs="Arial"/>
        </w:rPr>
        <w:t>Unquote</w:t>
      </w:r>
    </w:p>
    <w:p w:rsidR="00023318" w:rsidRDefault="00117E5B" w:rsidP="00023318">
      <w:pPr>
        <w:pStyle w:val="Heading3"/>
        <w:tabs>
          <w:tab w:val="clear" w:pos="720"/>
        </w:tabs>
        <w:spacing w:after="240"/>
        <w:ind w:left="993" w:hanging="993"/>
      </w:pPr>
      <w:r w:rsidRPr="00C60AD1">
        <w:t xml:space="preserve">As per Regulation 6.9 (2) (10) of UPERC (Terms and Conditions for Determination of Distribution Tariff), Regulations, Amendment No. 3 of 2012, the Commission may suitably modify / change the proposed formula / procedure or adopt a different formula / procedure for the assessment of fuel surcharge if it considers it to be more appropriate. In view of the same and above discussion the Commission </w:t>
      </w:r>
      <w:r>
        <w:t>in its Tariff Order dated June 18, 2</w:t>
      </w:r>
      <w:r w:rsidR="00514BD2">
        <w:t>015</w:t>
      </w:r>
      <w:r>
        <w:t xml:space="preserve"> for FY 2015-16</w:t>
      </w:r>
      <w:r w:rsidR="00514BD2">
        <w:t xml:space="preserve"> </w:t>
      </w:r>
      <w:r w:rsidRPr="00C60AD1">
        <w:t xml:space="preserve">approved the revised formula / procedure in respect to the applicability and recovery of Fuel and Power Purchase Cost Adjustment </w:t>
      </w:r>
      <w:r w:rsidRPr="00C60AD1">
        <w:lastRenderedPageBreak/>
        <w:t xml:space="preserve">(FPPCA) as detailed in Regulation 6.9 below (the changes / modifications are underlined): </w:t>
      </w:r>
    </w:p>
    <w:p w:rsidR="00023318" w:rsidRDefault="001571A2" w:rsidP="00023318">
      <w:pPr>
        <w:ind w:left="709" w:firstLine="709"/>
        <w:rPr>
          <w:b/>
          <w:i/>
        </w:rPr>
      </w:pPr>
      <w:r>
        <w:rPr>
          <w:b/>
          <w:i/>
        </w:rPr>
        <w:t>“</w:t>
      </w:r>
      <w:r w:rsidR="00117E5B" w:rsidRPr="00C60AD1">
        <w:rPr>
          <w:b/>
          <w:i/>
        </w:rPr>
        <w:t>6.9 Fuel and Power Purchase Cost Adjustment (FPPCA):</w:t>
      </w:r>
    </w:p>
    <w:p w:rsidR="00023318" w:rsidRDefault="00117E5B" w:rsidP="00023318">
      <w:pPr>
        <w:pStyle w:val="ListParagraph"/>
        <w:spacing w:after="200"/>
        <w:ind w:left="1418"/>
        <w:contextualSpacing/>
        <w:rPr>
          <w:b/>
          <w:i/>
        </w:rPr>
      </w:pPr>
      <w:r w:rsidRPr="00C60AD1">
        <w:rPr>
          <w:b/>
          <w:i/>
        </w:rPr>
        <w:t>1. Recovery Periodicity (Cycle):</w:t>
      </w:r>
    </w:p>
    <w:p w:rsidR="00023318" w:rsidRDefault="00117E5B" w:rsidP="00023318">
      <w:pPr>
        <w:pStyle w:val="ListParagraph"/>
        <w:ind w:left="1429"/>
        <w:rPr>
          <w:i/>
        </w:rPr>
      </w:pPr>
      <w:r w:rsidRPr="00C60AD1">
        <w:rPr>
          <w:i/>
        </w:rPr>
        <w:t>The cycle will be quarterly. The FPPCA for the quarter ending March will be calculated in next quarter i.e. up to June when the data / bills from generators / suppliers and sale of energy data for the quarter under consideration are available and the same will be applicable to all categories w.e.f. July.</w:t>
      </w:r>
    </w:p>
    <w:p w:rsidR="00023318" w:rsidRDefault="00023318" w:rsidP="00023318">
      <w:pPr>
        <w:pStyle w:val="ListParagraph"/>
        <w:ind w:left="1429"/>
        <w:rPr>
          <w:i/>
        </w:rPr>
      </w:pPr>
    </w:p>
    <w:p w:rsidR="00023318" w:rsidRDefault="00117E5B" w:rsidP="00023318">
      <w:pPr>
        <w:pStyle w:val="ListParagraph"/>
        <w:spacing w:after="200"/>
        <w:ind w:left="1418"/>
        <w:contextualSpacing/>
        <w:rPr>
          <w:b/>
          <w:i/>
        </w:rPr>
      </w:pPr>
      <w:r w:rsidRPr="00C60AD1">
        <w:rPr>
          <w:b/>
          <w:i/>
        </w:rPr>
        <w:t>2. Fuel &amp; Power Purchase Cost Adjustment Formula (FPPCA):</w:t>
      </w:r>
    </w:p>
    <w:p w:rsidR="00023318" w:rsidRDefault="00117E5B" w:rsidP="00023318">
      <w:pPr>
        <w:pStyle w:val="ListParagraph"/>
        <w:spacing w:after="200"/>
        <w:ind w:left="1418"/>
        <w:contextualSpacing/>
        <w:rPr>
          <w:i/>
        </w:rPr>
      </w:pPr>
      <w:r w:rsidRPr="00C60AD1">
        <w:rPr>
          <w:i/>
        </w:rPr>
        <w:t>1. The distribution licensee shall recover FPPCA amount with effect from a date which would be issued by a separate Commission’s order from all consumers. The formula is as follows:</w:t>
      </w:r>
    </w:p>
    <w:p w:rsidR="00023318" w:rsidRDefault="00117E5B" w:rsidP="00023318">
      <w:pPr>
        <w:ind w:left="1418"/>
        <w:rPr>
          <w:b/>
          <w:i/>
        </w:rPr>
      </w:pPr>
      <w:r w:rsidRPr="00C60AD1">
        <w:rPr>
          <w:b/>
          <w:i/>
        </w:rPr>
        <w:t>Step (A) Determination of Difference between Actual and Approved Power Purchase Cost in a quarter</w:t>
      </w:r>
    </w:p>
    <w:p w:rsidR="00023318" w:rsidRDefault="00117E5B" w:rsidP="00023318">
      <w:pPr>
        <w:pStyle w:val="ListParagraph"/>
        <w:ind w:left="1429"/>
        <w:rPr>
          <w:i/>
        </w:rPr>
      </w:pPr>
      <w:r w:rsidRPr="00C60AD1">
        <w:rPr>
          <w:i/>
        </w:rPr>
        <w:t>P</w:t>
      </w:r>
      <w:r w:rsidRPr="00C60AD1">
        <w:rPr>
          <w:i/>
          <w:vertAlign w:val="subscript"/>
        </w:rPr>
        <w:t xml:space="preserve">D </w:t>
      </w:r>
      <w:r w:rsidRPr="00C60AD1">
        <w:rPr>
          <w:i/>
        </w:rPr>
        <w:t xml:space="preserve">= (P </w:t>
      </w:r>
      <w:r w:rsidRPr="00C60AD1">
        <w:rPr>
          <w:i/>
          <w:vertAlign w:val="subscript"/>
        </w:rPr>
        <w:t xml:space="preserve">actual </w:t>
      </w:r>
      <w:r w:rsidRPr="00C60AD1">
        <w:rPr>
          <w:i/>
        </w:rPr>
        <w:t xml:space="preserve">- P </w:t>
      </w:r>
      <w:r w:rsidRPr="00C60AD1">
        <w:rPr>
          <w:i/>
          <w:vertAlign w:val="subscript"/>
        </w:rPr>
        <w:t>approved</w:t>
      </w:r>
      <w:r w:rsidRPr="00C60AD1">
        <w:rPr>
          <w:i/>
        </w:rPr>
        <w:t>)</w:t>
      </w:r>
    </w:p>
    <w:p w:rsidR="00023318" w:rsidRDefault="00117E5B" w:rsidP="00023318">
      <w:pPr>
        <w:ind w:left="709" w:firstLine="720"/>
        <w:rPr>
          <w:i/>
        </w:rPr>
      </w:pPr>
      <w:r w:rsidRPr="00C60AD1">
        <w:rPr>
          <w:i/>
        </w:rPr>
        <w:t xml:space="preserve">Where, </w:t>
      </w:r>
    </w:p>
    <w:p w:rsidR="00023318" w:rsidRDefault="00117E5B" w:rsidP="00023318">
      <w:pPr>
        <w:ind w:left="1429"/>
        <w:rPr>
          <w:i/>
        </w:rPr>
      </w:pPr>
      <w:r w:rsidRPr="00C60AD1">
        <w:rPr>
          <w:i/>
        </w:rPr>
        <w:t>P</w:t>
      </w:r>
      <w:r w:rsidRPr="00C60AD1">
        <w:rPr>
          <w:i/>
          <w:vertAlign w:val="subscript"/>
        </w:rPr>
        <w:t>D</w:t>
      </w:r>
      <w:r w:rsidRPr="00C60AD1">
        <w:rPr>
          <w:i/>
        </w:rPr>
        <w:tab/>
      </w:r>
      <w:r w:rsidRPr="00C60AD1">
        <w:rPr>
          <w:i/>
        </w:rPr>
        <w:tab/>
        <w:t>= Difference in Actual and Approved Power Purchase Cost (Rs. Crore)</w:t>
      </w:r>
    </w:p>
    <w:p w:rsidR="00023318" w:rsidRDefault="00117E5B" w:rsidP="00023318">
      <w:pPr>
        <w:ind w:left="709" w:firstLine="720"/>
        <w:rPr>
          <w:i/>
        </w:rPr>
      </w:pPr>
      <w:r w:rsidRPr="00C60AD1">
        <w:rPr>
          <w:i/>
        </w:rPr>
        <w:t xml:space="preserve">P </w:t>
      </w:r>
      <w:r w:rsidRPr="00C60AD1">
        <w:rPr>
          <w:i/>
          <w:vertAlign w:val="subscript"/>
        </w:rPr>
        <w:t>actual</w:t>
      </w:r>
      <w:r w:rsidRPr="00C60AD1">
        <w:rPr>
          <w:i/>
          <w:vertAlign w:val="subscript"/>
        </w:rPr>
        <w:tab/>
      </w:r>
      <w:r w:rsidRPr="00C60AD1">
        <w:rPr>
          <w:i/>
          <w:vertAlign w:val="subscript"/>
        </w:rPr>
        <w:tab/>
      </w:r>
      <w:r w:rsidRPr="00C60AD1">
        <w:rPr>
          <w:i/>
        </w:rPr>
        <w:t>= Actual Cost of Power Purchase (Rs. Crore)</w:t>
      </w:r>
    </w:p>
    <w:p w:rsidR="00023318" w:rsidRDefault="00117E5B" w:rsidP="00023318">
      <w:pPr>
        <w:ind w:left="709" w:firstLine="709"/>
        <w:rPr>
          <w:i/>
        </w:rPr>
      </w:pPr>
      <w:r w:rsidRPr="00C60AD1">
        <w:rPr>
          <w:i/>
        </w:rPr>
        <w:t xml:space="preserve">P </w:t>
      </w:r>
      <w:r w:rsidRPr="00C60AD1">
        <w:rPr>
          <w:i/>
          <w:vertAlign w:val="subscript"/>
        </w:rPr>
        <w:t>approved</w:t>
      </w:r>
      <w:r w:rsidRPr="00C60AD1">
        <w:rPr>
          <w:i/>
          <w:vertAlign w:val="subscript"/>
        </w:rPr>
        <w:tab/>
      </w:r>
      <w:r w:rsidRPr="00C60AD1">
        <w:rPr>
          <w:i/>
        </w:rPr>
        <w:t>= Approved Cost of Power Purchase (Rs. Crore)</w:t>
      </w:r>
    </w:p>
    <w:p w:rsidR="00023318" w:rsidRDefault="00023318" w:rsidP="00023318">
      <w:pPr>
        <w:ind w:left="1418"/>
        <w:rPr>
          <w:b/>
          <w:i/>
        </w:rPr>
      </w:pPr>
    </w:p>
    <w:p w:rsidR="00023318" w:rsidRDefault="00117E5B" w:rsidP="00023318">
      <w:pPr>
        <w:ind w:left="1418"/>
        <w:rPr>
          <w:b/>
          <w:i/>
        </w:rPr>
      </w:pPr>
      <w:r w:rsidRPr="00C60AD1">
        <w:rPr>
          <w:b/>
          <w:i/>
        </w:rPr>
        <w:t>Step (B) Determination of (E) Energy billed (in MUs) in a quarter after considering approved T&amp;D losses.</w:t>
      </w:r>
    </w:p>
    <w:p w:rsidR="00023318" w:rsidRDefault="00117E5B" w:rsidP="00023318">
      <w:pPr>
        <w:pStyle w:val="ListParagraph"/>
        <w:ind w:left="1429"/>
        <w:rPr>
          <w:i/>
        </w:rPr>
      </w:pPr>
      <w:r w:rsidRPr="00C60AD1">
        <w:rPr>
          <w:i/>
        </w:rPr>
        <w:t>Actual power purchased during the quarter (MUs)</w:t>
      </w:r>
      <w:r w:rsidRPr="00C60AD1">
        <w:rPr>
          <w:i/>
        </w:rPr>
        <w:tab/>
        <w:t>:  X (MUs)</w:t>
      </w:r>
    </w:p>
    <w:p w:rsidR="00023318" w:rsidRDefault="00117E5B" w:rsidP="00023318">
      <w:pPr>
        <w:pStyle w:val="ListParagraph"/>
        <w:ind w:left="1429"/>
        <w:rPr>
          <w:i/>
        </w:rPr>
      </w:pPr>
      <w:r w:rsidRPr="00C60AD1">
        <w:rPr>
          <w:i/>
        </w:rPr>
        <w:t>Approved T&amp;D losses</w:t>
      </w:r>
      <w:r w:rsidRPr="00C60AD1">
        <w:rPr>
          <w:i/>
        </w:rPr>
        <w:tab/>
      </w:r>
      <w:r w:rsidRPr="00C60AD1">
        <w:rPr>
          <w:i/>
        </w:rPr>
        <w:tab/>
      </w:r>
      <w:r w:rsidRPr="00C60AD1">
        <w:rPr>
          <w:i/>
        </w:rPr>
        <w:tab/>
      </w:r>
      <w:r w:rsidRPr="00C60AD1">
        <w:rPr>
          <w:i/>
        </w:rPr>
        <w:tab/>
      </w:r>
      <w:r w:rsidRPr="00C60AD1">
        <w:rPr>
          <w:i/>
        </w:rPr>
        <w:tab/>
        <w:t>:  Y%</w:t>
      </w:r>
    </w:p>
    <w:p w:rsidR="00023318" w:rsidRDefault="00117E5B" w:rsidP="00023318">
      <w:pPr>
        <w:pStyle w:val="ListParagraph"/>
        <w:ind w:left="1429"/>
        <w:rPr>
          <w:i/>
        </w:rPr>
      </w:pPr>
      <w:r w:rsidRPr="00C60AD1">
        <w:rPr>
          <w:i/>
        </w:rPr>
        <w:t xml:space="preserve">Approved MUs billed after T&amp;D losses (E)  </w:t>
      </w:r>
      <w:r w:rsidRPr="00C60AD1">
        <w:rPr>
          <w:i/>
        </w:rPr>
        <w:tab/>
      </w:r>
      <w:r w:rsidRPr="00C60AD1">
        <w:rPr>
          <w:i/>
        </w:rPr>
        <w:tab/>
        <w:t>:  X * (1 - Y / 100)</w:t>
      </w:r>
    </w:p>
    <w:p w:rsidR="00023318" w:rsidRDefault="00023318" w:rsidP="00023318">
      <w:pPr>
        <w:pStyle w:val="ListParagraph"/>
        <w:ind w:left="1418" w:hanging="1418"/>
        <w:rPr>
          <w:i/>
        </w:rPr>
      </w:pPr>
    </w:p>
    <w:p w:rsidR="00023318" w:rsidRDefault="00117E5B" w:rsidP="00023318">
      <w:pPr>
        <w:pStyle w:val="ListParagraph"/>
        <w:ind w:left="1418"/>
        <w:rPr>
          <w:b/>
          <w:i/>
        </w:rPr>
      </w:pPr>
      <w:r w:rsidRPr="00C60AD1">
        <w:rPr>
          <w:b/>
          <w:i/>
        </w:rPr>
        <w:lastRenderedPageBreak/>
        <w:t xml:space="preserve">Step (C) </w:t>
      </w:r>
      <w:r w:rsidRPr="00C60AD1">
        <w:rPr>
          <w:b/>
          <w:i/>
          <w:u w:val="single"/>
        </w:rPr>
        <w:t>Determination of Category wise Fuel &amp; Power Purchase Cost Adjustment per unit based on approved T&amp;D losses to be charged from consumers each month of the quarter</w:t>
      </w:r>
    </w:p>
    <w:p w:rsidR="00023318" w:rsidRDefault="00023318" w:rsidP="00023318">
      <w:pPr>
        <w:pStyle w:val="ListParagraph"/>
        <w:ind w:left="1429"/>
        <w:rPr>
          <w:b/>
          <w:i/>
        </w:rPr>
      </w:pPr>
    </w:p>
    <w:p w:rsidR="00023318" w:rsidRDefault="00117E5B" w:rsidP="00023318">
      <w:pPr>
        <w:pStyle w:val="ListParagraph"/>
        <w:ind w:left="1429"/>
        <w:rPr>
          <w:b/>
          <w:i/>
          <w:u w:val="single"/>
        </w:rPr>
      </w:pPr>
      <w:r w:rsidRPr="00C60AD1">
        <w:rPr>
          <w:b/>
          <w:i/>
          <w:u w:val="single"/>
        </w:rPr>
        <w:t>Category wise FPPCA (Rs. / unit) = ABR</w:t>
      </w:r>
      <w:r w:rsidRPr="00C60AD1">
        <w:rPr>
          <w:b/>
          <w:i/>
          <w:u w:val="single"/>
          <w:vertAlign w:val="subscript"/>
        </w:rPr>
        <w:t xml:space="preserve">C </w:t>
      </w:r>
      <w:r w:rsidRPr="00C60AD1">
        <w:rPr>
          <w:b/>
          <w:i/>
          <w:u w:val="single"/>
        </w:rPr>
        <w:t>/ ABR</w:t>
      </w:r>
      <w:r w:rsidRPr="00C60AD1">
        <w:rPr>
          <w:b/>
          <w:i/>
          <w:u w:val="single"/>
          <w:vertAlign w:val="subscript"/>
        </w:rPr>
        <w:t>D</w:t>
      </w:r>
      <w:r w:rsidRPr="00C60AD1">
        <w:rPr>
          <w:b/>
          <w:i/>
          <w:u w:val="single"/>
        </w:rPr>
        <w:t xml:space="preserve"> *FPPCA</w:t>
      </w:r>
      <w:r w:rsidRPr="00C60AD1">
        <w:rPr>
          <w:b/>
          <w:i/>
          <w:u w:val="single"/>
          <w:vertAlign w:val="subscript"/>
        </w:rPr>
        <w:t>A</w:t>
      </w:r>
    </w:p>
    <w:p w:rsidR="00023318" w:rsidRDefault="00023318" w:rsidP="00023318">
      <w:pPr>
        <w:pStyle w:val="ListParagraph"/>
        <w:ind w:left="1429"/>
        <w:rPr>
          <w:i/>
        </w:rPr>
      </w:pPr>
    </w:p>
    <w:p w:rsidR="00023318" w:rsidRDefault="00117E5B" w:rsidP="00023318">
      <w:pPr>
        <w:ind w:left="709" w:firstLine="720"/>
        <w:rPr>
          <w:i/>
          <w:u w:val="single"/>
        </w:rPr>
      </w:pPr>
      <w:r w:rsidRPr="00C60AD1">
        <w:rPr>
          <w:i/>
          <w:u w:val="single"/>
        </w:rPr>
        <w:t>Where,</w:t>
      </w:r>
    </w:p>
    <w:p w:rsidR="00023318" w:rsidRDefault="00117E5B" w:rsidP="00023318">
      <w:pPr>
        <w:ind w:left="1429"/>
        <w:rPr>
          <w:i/>
          <w:u w:val="single"/>
        </w:rPr>
      </w:pPr>
      <w:r w:rsidRPr="00C60AD1">
        <w:rPr>
          <w:b/>
          <w:i/>
          <w:u w:val="single"/>
        </w:rPr>
        <w:t>FPPCA</w:t>
      </w:r>
      <w:r w:rsidRPr="00C60AD1">
        <w:rPr>
          <w:b/>
          <w:i/>
          <w:u w:val="single"/>
          <w:vertAlign w:val="subscript"/>
        </w:rPr>
        <w:t xml:space="preserve">A is </w:t>
      </w:r>
      <w:r w:rsidRPr="00C60AD1">
        <w:rPr>
          <w:i/>
          <w:u w:val="single"/>
        </w:rPr>
        <w:t>Average Fuel and Power Purchase Cost Adjustment (in Rs. / kWh) = (P</w:t>
      </w:r>
      <w:r w:rsidRPr="00C60AD1">
        <w:rPr>
          <w:i/>
          <w:u w:val="single"/>
          <w:vertAlign w:val="subscript"/>
        </w:rPr>
        <w:t>D</w:t>
      </w:r>
      <w:r w:rsidRPr="00C60AD1">
        <w:rPr>
          <w:i/>
          <w:u w:val="single"/>
        </w:rPr>
        <w:t>/E)*10</w:t>
      </w:r>
    </w:p>
    <w:p w:rsidR="00023318" w:rsidRDefault="00117E5B" w:rsidP="00023318">
      <w:pPr>
        <w:ind w:left="1429"/>
        <w:rPr>
          <w:i/>
          <w:u w:val="single"/>
        </w:rPr>
      </w:pPr>
      <w:r w:rsidRPr="00C60AD1">
        <w:rPr>
          <w:b/>
          <w:i/>
          <w:u w:val="single"/>
        </w:rPr>
        <w:t>ABR</w:t>
      </w:r>
      <w:r w:rsidRPr="00C60AD1">
        <w:rPr>
          <w:b/>
          <w:i/>
          <w:u w:val="single"/>
          <w:vertAlign w:val="subscript"/>
        </w:rPr>
        <w:t>C</w:t>
      </w:r>
      <w:r w:rsidRPr="00C60AD1">
        <w:rPr>
          <w:i/>
          <w:u w:val="single"/>
        </w:rPr>
        <w:t xml:space="preserve"> is Average Billing Rate or through rate of Consumer Category (in Rs. / kWh) as approved in Tariff Order for the year</w:t>
      </w:r>
    </w:p>
    <w:p w:rsidR="00023318" w:rsidRDefault="00117E5B" w:rsidP="00023318">
      <w:pPr>
        <w:ind w:left="1418" w:firstLine="11"/>
        <w:rPr>
          <w:i/>
          <w:u w:val="single"/>
        </w:rPr>
      </w:pPr>
      <w:r w:rsidRPr="00C60AD1">
        <w:rPr>
          <w:b/>
          <w:i/>
          <w:u w:val="single"/>
        </w:rPr>
        <w:t>ABR</w:t>
      </w:r>
      <w:r w:rsidRPr="00C60AD1">
        <w:rPr>
          <w:b/>
          <w:i/>
          <w:u w:val="single"/>
          <w:vertAlign w:val="subscript"/>
        </w:rPr>
        <w:t>D</w:t>
      </w:r>
      <w:r w:rsidRPr="00C60AD1">
        <w:rPr>
          <w:i/>
          <w:u w:val="single"/>
        </w:rPr>
        <w:t xml:space="preserve"> is Average Billing Rate or through rate of Distribution Licensee (in Rs. / kWh) as approved in Tariff Order for the year</w:t>
      </w:r>
    </w:p>
    <w:p w:rsidR="00023318" w:rsidRDefault="00023318" w:rsidP="00023318">
      <w:pPr>
        <w:ind w:left="709"/>
        <w:rPr>
          <w:i/>
        </w:rPr>
      </w:pPr>
    </w:p>
    <w:p w:rsidR="00023318" w:rsidRDefault="00117E5B" w:rsidP="00023318">
      <w:pPr>
        <w:pStyle w:val="ListParagraph"/>
        <w:spacing w:after="200"/>
        <w:ind w:left="1418"/>
        <w:contextualSpacing/>
        <w:rPr>
          <w:i/>
          <w:strike/>
        </w:rPr>
      </w:pPr>
      <w:r w:rsidRPr="00C60AD1">
        <w:rPr>
          <w:i/>
        </w:rPr>
        <w:t>2. The variation in power purchase cost due to UI and other unapproved purchases from short term sources shall not be covered under FPPCA</w:t>
      </w:r>
      <w:r w:rsidRPr="00C60AD1">
        <w:rPr>
          <w:i/>
          <w:strike/>
        </w:rPr>
        <w:t>.</w:t>
      </w:r>
    </w:p>
    <w:p w:rsidR="00023318" w:rsidRDefault="00023318" w:rsidP="00023318">
      <w:pPr>
        <w:pStyle w:val="ListParagraph"/>
        <w:ind w:left="1418"/>
        <w:rPr>
          <w:i/>
        </w:rPr>
      </w:pPr>
    </w:p>
    <w:p w:rsidR="00023318" w:rsidRDefault="00117E5B" w:rsidP="00023318">
      <w:pPr>
        <w:pStyle w:val="ListParagraph"/>
        <w:spacing w:after="200"/>
        <w:ind w:left="1418"/>
        <w:contextualSpacing/>
        <w:rPr>
          <w:i/>
        </w:rPr>
      </w:pPr>
      <w:r w:rsidRPr="00C60AD1">
        <w:rPr>
          <w:i/>
        </w:rPr>
        <w:t>3. For the purpose of recovery of FPPCA, power purchase cost shall include all the bills received by the distribution licensee, from the suppliers of the power, during the previous FPPCA cycle irrespective of the period to which they pertain. This shall include arrears and refunds, if any, not settled earlier.</w:t>
      </w:r>
    </w:p>
    <w:p w:rsidR="00023318" w:rsidRDefault="00023318" w:rsidP="00023318">
      <w:pPr>
        <w:pStyle w:val="ListParagraph"/>
        <w:spacing w:after="200"/>
        <w:ind w:left="1418"/>
        <w:contextualSpacing/>
        <w:rPr>
          <w:i/>
        </w:rPr>
      </w:pPr>
    </w:p>
    <w:p w:rsidR="00023318" w:rsidRDefault="00117E5B" w:rsidP="00023318">
      <w:pPr>
        <w:pStyle w:val="ListParagraph"/>
        <w:spacing w:after="200"/>
        <w:ind w:left="1418"/>
        <w:contextualSpacing/>
        <w:rPr>
          <w:i/>
        </w:rPr>
      </w:pPr>
      <w:r w:rsidRPr="00C60AD1">
        <w:rPr>
          <w:i/>
        </w:rPr>
        <w:t>4. The total FPPCA recoverable, as per the formula specified above, shall be recovered from the actual sales and in case of unmetered consumers, it shall be recoverable based on estimated sales to such consumers, calculated in accordance with such methodology / mechanism as may be stipulated by the Commission.</w:t>
      </w:r>
    </w:p>
    <w:p w:rsidR="00023318" w:rsidRDefault="00023318" w:rsidP="00023318">
      <w:pPr>
        <w:pStyle w:val="ListParagraph"/>
        <w:spacing w:after="200"/>
        <w:ind w:left="1418"/>
        <w:contextualSpacing/>
        <w:rPr>
          <w:i/>
        </w:rPr>
      </w:pPr>
    </w:p>
    <w:p w:rsidR="00023318" w:rsidRDefault="00117E5B" w:rsidP="00023318">
      <w:pPr>
        <w:pStyle w:val="ListParagraph"/>
        <w:spacing w:after="200"/>
        <w:ind w:left="1418"/>
        <w:contextualSpacing/>
        <w:rPr>
          <w:i/>
        </w:rPr>
      </w:pPr>
      <w:r w:rsidRPr="00C60AD1">
        <w:rPr>
          <w:i/>
        </w:rPr>
        <w:t>5. Per unit rate of FPPCA shall be worked out in paisa after rounding off to the unit place.</w:t>
      </w:r>
    </w:p>
    <w:p w:rsidR="00023318" w:rsidRDefault="00023318" w:rsidP="00023318">
      <w:pPr>
        <w:pStyle w:val="ListParagraph"/>
        <w:ind w:left="1418"/>
        <w:rPr>
          <w:i/>
        </w:rPr>
      </w:pPr>
    </w:p>
    <w:p w:rsidR="00023318" w:rsidRDefault="00117E5B" w:rsidP="00023318">
      <w:pPr>
        <w:pStyle w:val="ListParagraph"/>
        <w:spacing w:after="200"/>
        <w:ind w:left="1418"/>
        <w:contextualSpacing/>
        <w:rPr>
          <w:i/>
        </w:rPr>
      </w:pPr>
      <w:r w:rsidRPr="00C60AD1">
        <w:rPr>
          <w:i/>
        </w:rPr>
        <w:lastRenderedPageBreak/>
        <w:t>6. In case of negative FPPCA, the credit shall be given to the consumers under the FPPCA head, so that the base tariff determined by the Commission effectively remains the same.</w:t>
      </w:r>
    </w:p>
    <w:p w:rsidR="00023318" w:rsidRDefault="00023318" w:rsidP="00023318">
      <w:pPr>
        <w:pStyle w:val="ListParagraph"/>
        <w:ind w:left="1429"/>
        <w:rPr>
          <w:i/>
        </w:rPr>
      </w:pPr>
    </w:p>
    <w:p w:rsidR="00023318" w:rsidRDefault="00117E5B" w:rsidP="00023318">
      <w:pPr>
        <w:pStyle w:val="ListParagraph"/>
        <w:spacing w:after="200"/>
        <w:ind w:left="1418"/>
        <w:contextualSpacing/>
        <w:rPr>
          <w:i/>
        </w:rPr>
      </w:pPr>
      <w:r w:rsidRPr="00C60AD1">
        <w:rPr>
          <w:i/>
        </w:rPr>
        <w:t>7. The Distribution licensee shall submit details to the Commission on a quarterly basis towards the computation of the FPPCA, which shall include the source wise power purchase quantum, power purchase cost incurred and power purchase rate, details of the FPPCA incurred and the FPPCA chargeable from the consumers for each month in such quarter, along with the detailed computations and supporting documents as may be required for approval by the Commission.</w:t>
      </w:r>
    </w:p>
    <w:p w:rsidR="00023318" w:rsidRDefault="00023318" w:rsidP="00023318">
      <w:pPr>
        <w:ind w:left="709"/>
        <w:rPr>
          <w:i/>
        </w:rPr>
      </w:pPr>
    </w:p>
    <w:p w:rsidR="00023318" w:rsidRDefault="00117E5B" w:rsidP="00023318">
      <w:pPr>
        <w:pStyle w:val="ListParagraph"/>
        <w:ind w:left="1429"/>
        <w:rPr>
          <w:i/>
        </w:rPr>
      </w:pPr>
      <w:r w:rsidRPr="00C60AD1">
        <w:rPr>
          <w:i/>
        </w:rPr>
        <w:t>Provided that the above submission made to the Commission must be certified by a Chartered Accountant.</w:t>
      </w:r>
    </w:p>
    <w:p w:rsidR="00023318" w:rsidRDefault="00023318" w:rsidP="00023318">
      <w:pPr>
        <w:pStyle w:val="ListParagraph"/>
        <w:ind w:left="1429"/>
        <w:rPr>
          <w:i/>
        </w:rPr>
      </w:pPr>
    </w:p>
    <w:p w:rsidR="00023318" w:rsidRDefault="00117E5B" w:rsidP="00023318">
      <w:pPr>
        <w:pStyle w:val="ListParagraph"/>
        <w:ind w:left="1429"/>
        <w:rPr>
          <w:i/>
        </w:rPr>
      </w:pPr>
      <w:r w:rsidRPr="00C60AD1">
        <w:rPr>
          <w:i/>
        </w:rPr>
        <w:t>Provided further that the FPPCA applicable for each month shall be displayed prominently at the collection centres and the offices dealing with consumers and on the internet website of the Distribution Licensee.</w:t>
      </w:r>
    </w:p>
    <w:p w:rsidR="00023318" w:rsidRDefault="00023318" w:rsidP="00023318">
      <w:pPr>
        <w:pStyle w:val="ListParagraph"/>
        <w:ind w:left="1429"/>
        <w:rPr>
          <w:i/>
        </w:rPr>
      </w:pPr>
    </w:p>
    <w:p w:rsidR="00023318" w:rsidRDefault="00117E5B" w:rsidP="00023318">
      <w:pPr>
        <w:pStyle w:val="ListParagraph"/>
        <w:ind w:left="1429"/>
        <w:rPr>
          <w:i/>
        </w:rPr>
      </w:pPr>
      <w:r w:rsidRPr="00C60AD1">
        <w:rPr>
          <w:i/>
        </w:rPr>
        <w:t>Provided that the Distribution Licensee shall put up on his internet website such details of the FPPCA incurred and the FPPCA charged to all consumers for each month along with detailed computations.</w:t>
      </w:r>
    </w:p>
    <w:p w:rsidR="00023318" w:rsidRDefault="00023318" w:rsidP="00023318">
      <w:pPr>
        <w:ind w:left="709"/>
        <w:rPr>
          <w:i/>
        </w:rPr>
      </w:pPr>
    </w:p>
    <w:p w:rsidR="00023318" w:rsidRDefault="00117E5B" w:rsidP="00023318">
      <w:pPr>
        <w:pStyle w:val="ListParagraph"/>
        <w:spacing w:after="200"/>
        <w:ind w:left="1418"/>
        <w:contextualSpacing/>
        <w:rPr>
          <w:i/>
        </w:rPr>
      </w:pPr>
      <w:r w:rsidRPr="00C60AD1">
        <w:rPr>
          <w:i/>
        </w:rPr>
        <w:t>8. In case of Minimum Charges, FPPCA shall be charged only on actual units consumed by the consumer during the relevant month in addition to the Minimum Charges amount.</w:t>
      </w:r>
    </w:p>
    <w:p w:rsidR="00023318" w:rsidRDefault="00023318" w:rsidP="00023318">
      <w:pPr>
        <w:pStyle w:val="ListParagraph"/>
        <w:ind w:left="1418"/>
        <w:rPr>
          <w:i/>
        </w:rPr>
      </w:pPr>
    </w:p>
    <w:p w:rsidR="00023318" w:rsidRDefault="00117E5B" w:rsidP="00023318">
      <w:pPr>
        <w:pStyle w:val="ListParagraph"/>
        <w:spacing w:after="200"/>
        <w:ind w:left="1418"/>
        <w:contextualSpacing/>
        <w:rPr>
          <w:i/>
        </w:rPr>
      </w:pPr>
      <w:r w:rsidRPr="00C60AD1">
        <w:rPr>
          <w:i/>
        </w:rPr>
        <w:t>9. In case Government of Uttar Pradesh decided to provide subsidy on FPPCA to a particular consumer category then, it should do the same as per the provisions of Section 65 of Electricity Act 2003. It shall be the responsibility of the licensee to seek prior approval of the State Government in this regard and maintain appropriate record of the same.</w:t>
      </w:r>
    </w:p>
    <w:p w:rsidR="00023318" w:rsidRDefault="00023318" w:rsidP="00023318">
      <w:pPr>
        <w:pStyle w:val="ListParagraph"/>
        <w:ind w:left="1429"/>
        <w:rPr>
          <w:i/>
        </w:rPr>
      </w:pPr>
    </w:p>
    <w:p w:rsidR="00023318" w:rsidRDefault="00117E5B" w:rsidP="00023318">
      <w:pPr>
        <w:pStyle w:val="ListParagraph"/>
        <w:spacing w:after="200"/>
        <w:ind w:left="1418"/>
        <w:contextualSpacing/>
        <w:rPr>
          <w:rFonts w:cs="Arial"/>
        </w:rPr>
      </w:pPr>
      <w:r w:rsidRPr="00C60AD1">
        <w:rPr>
          <w:i/>
        </w:rPr>
        <w:lastRenderedPageBreak/>
        <w:t>10. The Commission may however suitably modify / change the proposed formula / procedure or adopt a different formula / procedure for the assessment of fuel surcharge if it considers it to be more appropriate.</w:t>
      </w:r>
      <w:r w:rsidR="001571A2">
        <w:rPr>
          <w:i/>
        </w:rPr>
        <w:t>”</w:t>
      </w:r>
    </w:p>
    <w:p w:rsidR="00023318" w:rsidRDefault="00117E5B" w:rsidP="00023318">
      <w:pPr>
        <w:pStyle w:val="Heading3"/>
        <w:tabs>
          <w:tab w:val="clear" w:pos="720"/>
        </w:tabs>
        <w:spacing w:after="240"/>
        <w:ind w:left="993" w:hanging="993"/>
      </w:pPr>
      <w:r w:rsidRPr="00C60AD1">
        <w:t xml:space="preserve">For the purpose of Fuel &amp; Power Purchase Cost Adjustment (FPPCA) as per above mentioned formula, the projected monthly power purchase requirement is </w:t>
      </w:r>
      <w:r w:rsidR="001E4F02">
        <w:t>annexed to</w:t>
      </w:r>
      <w:r w:rsidRPr="00C60AD1">
        <w:t xml:space="preserve"> this Order, which is derived from the monthly power purchase submitted by the Licensees. </w:t>
      </w:r>
    </w:p>
    <w:p w:rsidR="00023318" w:rsidRDefault="00117E5B" w:rsidP="00023318">
      <w:pPr>
        <w:pStyle w:val="Heading3"/>
        <w:tabs>
          <w:tab w:val="clear" w:pos="720"/>
        </w:tabs>
        <w:spacing w:after="240"/>
        <w:ind w:left="993" w:hanging="993"/>
      </w:pPr>
      <w:r w:rsidRPr="00C60AD1">
        <w:t xml:space="preserve">Further, the Commission in its previous Orders has time and again directed the Licensees to file submissions in respect of FPPCA in a timely and regular manner as specified under the Regulations. However, the Licensees have not complied with the directions of the Commission in this regard. </w:t>
      </w:r>
    </w:p>
    <w:p w:rsidR="00023318" w:rsidRDefault="00117E5B" w:rsidP="00023318">
      <w:pPr>
        <w:pStyle w:val="Heading3"/>
        <w:tabs>
          <w:tab w:val="clear" w:pos="720"/>
        </w:tabs>
        <w:spacing w:after="240"/>
        <w:ind w:left="993" w:hanging="993"/>
      </w:pPr>
      <w:r w:rsidRPr="00C60AD1">
        <w:t>It is to be noted that the power purchase expenses being an uncontrollable expense, is pass-through to the consumers, however, the difference between the actual cost of power procurement and the approved power purchase expenses, is being recovered by the Distribution Licensee at the time of truing up. The time lag in recovery of the variation in power purchase expenses adversely affects the financial position of the Distribution Licensee and also puts additional burden on consumers on account of Carrying Cost.</w:t>
      </w:r>
    </w:p>
    <w:p w:rsidR="00023318" w:rsidRDefault="00117E5B" w:rsidP="00023318">
      <w:pPr>
        <w:pStyle w:val="Heading3"/>
        <w:tabs>
          <w:tab w:val="clear" w:pos="720"/>
        </w:tabs>
        <w:spacing w:after="240"/>
        <w:ind w:left="993" w:hanging="993"/>
      </w:pPr>
      <w:r w:rsidRPr="00C60AD1">
        <w:t>Failure to file FPPCA in a timely manner has many repercussions such as higher accumulated Aggregate Revenue Requirement (ARR) on account of variation in Power Purchase Expenses and the carrying cost, higher increase in Tariff or allowance in the form of Regulatory Surcharge, leading to Tariff shock. Further, the delayed filing of the FPPCA and claiming of the additional power purchase expenses during the Truing-up process also put the burden of such additional power purchase expenses on the new consumers, who may not have been consumers during the respective year.</w:t>
      </w:r>
    </w:p>
    <w:p w:rsidR="00023318" w:rsidRDefault="00023318" w:rsidP="00023318">
      <w:pPr>
        <w:pStyle w:val="Heading3"/>
        <w:tabs>
          <w:tab w:val="clear" w:pos="720"/>
        </w:tabs>
        <w:spacing w:after="240"/>
        <w:ind w:left="993" w:hanging="993"/>
      </w:pPr>
      <w:r w:rsidRPr="00023318">
        <w:rPr>
          <w:b/>
        </w:rPr>
        <w:t>The Commission once again directs the licensees that they should file FPPCA in a timely and regular manner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p w:rsidR="00023318" w:rsidRDefault="00023318" w:rsidP="00023318">
      <w:pPr>
        <w:pStyle w:val="Heading2"/>
        <w:numPr>
          <w:ilvl w:val="0"/>
          <w:numId w:val="0"/>
        </w:numPr>
        <w:ind w:left="780"/>
      </w:pPr>
    </w:p>
    <w:p w:rsidR="00C34658" w:rsidRPr="00C60AD1" w:rsidRDefault="00C34658" w:rsidP="00BA3941">
      <w:pPr>
        <w:pStyle w:val="Heading2"/>
        <w:numPr>
          <w:ilvl w:val="1"/>
          <w:numId w:val="14"/>
        </w:numPr>
      </w:pPr>
      <w:bookmarkStart w:id="961" w:name="_Toc457355492"/>
      <w:r w:rsidRPr="00C60AD1">
        <w:lastRenderedPageBreak/>
        <w:t>TRANSMISSION AND SLDC CHARGES</w:t>
      </w:r>
      <w:bookmarkEnd w:id="955"/>
      <w:bookmarkEnd w:id="956"/>
      <w:bookmarkEnd w:id="957"/>
      <w:bookmarkEnd w:id="958"/>
      <w:bookmarkEnd w:id="959"/>
      <w:bookmarkEnd w:id="961"/>
    </w:p>
    <w:p w:rsidR="00664B08" w:rsidRDefault="00664B08" w:rsidP="00EC6AAC">
      <w:pPr>
        <w:pStyle w:val="Heading3"/>
        <w:numPr>
          <w:ilvl w:val="2"/>
          <w:numId w:val="63"/>
        </w:numPr>
        <w:spacing w:after="240"/>
        <w:ind w:left="993" w:hanging="993"/>
      </w:pPr>
      <w:r>
        <w:t xml:space="preserve">     The Petitioner submitted that the projections of transmission charges have been </w:t>
      </w:r>
      <w:r w:rsidR="00941F3D">
        <w:t xml:space="preserve">taken </w:t>
      </w:r>
      <w:r>
        <w:t xml:space="preserve">from the ARR/Tariff Petition filed by </w:t>
      </w:r>
      <w:r w:rsidR="00941F3D" w:rsidRPr="00C60AD1">
        <w:t>U.P. Power Transmission Corporation Ltd (UPPTCL)</w:t>
      </w:r>
      <w:r>
        <w:t xml:space="preserve"> for FY 2016-17 before the Commission.</w:t>
      </w:r>
    </w:p>
    <w:p w:rsidR="00023318" w:rsidRDefault="00664B08" w:rsidP="00023318">
      <w:pPr>
        <w:pStyle w:val="Heading3"/>
        <w:tabs>
          <w:tab w:val="clear" w:pos="720"/>
        </w:tabs>
        <w:spacing w:after="240"/>
        <w:ind w:left="993" w:hanging="993"/>
      </w:pPr>
      <w:r>
        <w:t xml:space="preserve">The Petitioner submitted that in its Petition, UPPTCL has projected transmission charge </w:t>
      </w:r>
      <w:r w:rsidR="00941F3D">
        <w:t xml:space="preserve">at a </w:t>
      </w:r>
      <w:r>
        <w:t>rate of Rs. 0.19</w:t>
      </w:r>
      <w:r w:rsidR="001E4F02">
        <w:t>4</w:t>
      </w:r>
      <w:r>
        <w:t xml:space="preserve"> per kWh for FY 2016-17. The Petitioner added that considering the wheeled energy of 4,203.02 MU, the transmission charges work out to Rs. 81.36 Crore for FY 2016-17</w:t>
      </w:r>
    </w:p>
    <w:p w:rsidR="00023318" w:rsidRDefault="00664B08" w:rsidP="00023318">
      <w:pPr>
        <w:pStyle w:val="Heading3"/>
        <w:tabs>
          <w:tab w:val="clear" w:pos="720"/>
        </w:tabs>
        <w:spacing w:after="240"/>
        <w:ind w:left="993" w:hanging="993"/>
      </w:pPr>
      <w:r>
        <w:t>Transmission and SLDC charges for FY 2016-17 have been approved in concurrence with the ARR and transmission tariff approved for UPPTCL for FY 2016-17 in the Commission’s Order for determination of intra-State transmission charges approved for UPPTCL by the Commission. The approved transmission charges for KESCO FY 2016-17 are given in Table below.</w:t>
      </w:r>
    </w:p>
    <w:p w:rsidR="00023318" w:rsidRDefault="00C34658" w:rsidP="00023318">
      <w:pPr>
        <w:pStyle w:val="Heading3"/>
        <w:numPr>
          <w:ilvl w:val="0"/>
          <w:numId w:val="0"/>
        </w:numPr>
        <w:tabs>
          <w:tab w:val="clear" w:pos="720"/>
        </w:tabs>
        <w:spacing w:before="0" w:line="240" w:lineRule="auto"/>
        <w:ind w:left="993"/>
        <w:rPr>
          <w:rFonts w:cs="Calibri"/>
          <w:b/>
          <w:sz w:val="22"/>
          <w:szCs w:val="22"/>
          <w:lang w:val="en-US"/>
        </w:rPr>
      </w:pPr>
      <w:bookmarkStart w:id="962" w:name="_Ref325535189"/>
      <w:bookmarkStart w:id="963" w:name="_Toc338310704"/>
      <w:bookmarkStart w:id="964" w:name="_Toc338419534"/>
      <w:bookmarkStart w:id="965" w:name="_Toc357718744"/>
      <w:bookmarkStart w:id="966" w:name="_Toc395657968"/>
      <w:bookmarkStart w:id="967" w:name="_Toc396574019"/>
      <w:bookmarkStart w:id="968" w:name="_Toc399624120"/>
      <w:bookmarkStart w:id="969" w:name="_Toc453367697"/>
      <w:bookmarkStart w:id="970" w:name="_Toc457355640"/>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16</w:t>
      </w:r>
      <w:r w:rsidR="004A2D9E" w:rsidRPr="00C60AD1">
        <w:rPr>
          <w:rFonts w:cs="Calibri"/>
          <w:b/>
          <w:sz w:val="22"/>
          <w:szCs w:val="22"/>
          <w:lang w:val="en-US"/>
        </w:rPr>
        <w:fldChar w:fldCharType="end"/>
      </w:r>
      <w:bookmarkEnd w:id="962"/>
      <w:r w:rsidRPr="00C60AD1">
        <w:rPr>
          <w:rFonts w:cs="Calibri"/>
          <w:b/>
          <w:sz w:val="22"/>
          <w:szCs w:val="22"/>
          <w:lang w:val="en-US"/>
        </w:rPr>
        <w:t xml:space="preserve">: INTRA STATE TRANSMISSION CHARGES FOR FY </w:t>
      </w:r>
      <w:bookmarkEnd w:id="963"/>
      <w:bookmarkEnd w:id="964"/>
      <w:bookmarkEnd w:id="965"/>
      <w:bookmarkEnd w:id="966"/>
      <w:bookmarkEnd w:id="967"/>
      <w:bookmarkEnd w:id="968"/>
      <w:r>
        <w:rPr>
          <w:rFonts w:cs="Calibri"/>
          <w:b/>
          <w:sz w:val="22"/>
          <w:szCs w:val="22"/>
          <w:lang w:val="en-US"/>
        </w:rPr>
        <w:t>2016-17</w:t>
      </w:r>
      <w:bookmarkEnd w:id="969"/>
      <w:bookmarkEnd w:id="970"/>
    </w:p>
    <w:tbl>
      <w:tblPr>
        <w:tblW w:w="493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53"/>
        <w:gridCol w:w="1417"/>
        <w:gridCol w:w="1422"/>
        <w:gridCol w:w="1685"/>
      </w:tblGrid>
      <w:tr w:rsidR="00C34658" w:rsidRPr="00517058" w:rsidTr="00517058">
        <w:trPr>
          <w:trHeight w:val="600"/>
          <w:tblHeader/>
        </w:trPr>
        <w:tc>
          <w:tcPr>
            <w:tcW w:w="2423" w:type="pct"/>
            <w:shd w:val="clear" w:color="000000" w:fill="DBE5F1"/>
            <w:noWrap/>
            <w:hideMark/>
          </w:tcPr>
          <w:p w:rsidR="003267CD" w:rsidRDefault="00027D0D" w:rsidP="00664B08">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807" w:type="pct"/>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Derivation</w:t>
            </w:r>
          </w:p>
        </w:tc>
        <w:tc>
          <w:tcPr>
            <w:tcW w:w="810" w:type="pct"/>
            <w:shd w:val="clear" w:color="000000" w:fill="DBE5F1"/>
            <w:noWrap/>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ARR Petition</w:t>
            </w:r>
          </w:p>
        </w:tc>
        <w:tc>
          <w:tcPr>
            <w:tcW w:w="960"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67BB1" w:rsidRPr="00517058" w:rsidTr="001E4F02">
        <w:trPr>
          <w:trHeight w:val="300"/>
        </w:trPr>
        <w:tc>
          <w:tcPr>
            <w:tcW w:w="2423" w:type="pct"/>
            <w:shd w:val="clear" w:color="auto" w:fill="auto"/>
            <w:vAlign w:val="center"/>
            <w:hideMark/>
          </w:tcPr>
          <w:p w:rsidR="007132A6" w:rsidRDefault="00027D0D" w:rsidP="007132A6">
            <w:pPr>
              <w:spacing w:before="0"/>
              <w:rPr>
                <w:rFonts w:asciiTheme="minorHAnsi" w:hAnsiTheme="minorHAnsi"/>
                <w:sz w:val="22"/>
                <w:szCs w:val="22"/>
              </w:rPr>
            </w:pPr>
            <w:r w:rsidRPr="00027D0D">
              <w:rPr>
                <w:rFonts w:asciiTheme="minorHAnsi" w:hAnsiTheme="minorHAnsi"/>
                <w:sz w:val="22"/>
                <w:szCs w:val="22"/>
              </w:rPr>
              <w:t>Energy Input into Transmission-Distribution Interface (MU)</w:t>
            </w:r>
          </w:p>
        </w:tc>
        <w:tc>
          <w:tcPr>
            <w:tcW w:w="807" w:type="pct"/>
            <w:shd w:val="clear" w:color="auto" w:fill="auto"/>
            <w:noWrap/>
            <w:vAlign w:val="center"/>
            <w:hideMark/>
          </w:tcPr>
          <w:p w:rsidR="007132A6" w:rsidRDefault="00027D0D" w:rsidP="007132A6">
            <w:pPr>
              <w:spacing w:before="0" w:line="240" w:lineRule="auto"/>
              <w:jc w:val="center"/>
            </w:pPr>
            <w:r w:rsidRPr="00027D0D">
              <w:t>A</w:t>
            </w:r>
          </w:p>
        </w:tc>
        <w:tc>
          <w:tcPr>
            <w:tcW w:w="810" w:type="pct"/>
            <w:shd w:val="clear" w:color="auto" w:fill="auto"/>
            <w:noWrap/>
            <w:vAlign w:val="center"/>
            <w:hideMark/>
          </w:tcPr>
          <w:p w:rsidR="007132A6" w:rsidRDefault="00664B08" w:rsidP="007132A6">
            <w:pPr>
              <w:spacing w:before="0"/>
              <w:jc w:val="right"/>
              <w:rPr>
                <w:rFonts w:asciiTheme="minorHAnsi" w:hAnsiTheme="minorHAnsi"/>
                <w:sz w:val="22"/>
                <w:szCs w:val="22"/>
              </w:rPr>
            </w:pPr>
            <w:r>
              <w:rPr>
                <w:rFonts w:asciiTheme="minorHAnsi" w:hAnsiTheme="minorHAnsi"/>
                <w:color w:val="000000"/>
                <w:sz w:val="22"/>
                <w:szCs w:val="22"/>
              </w:rPr>
              <w:t>4,203</w:t>
            </w:r>
            <w:r w:rsidR="001E4F02">
              <w:rPr>
                <w:rFonts w:asciiTheme="minorHAnsi" w:hAnsiTheme="minorHAnsi"/>
                <w:color w:val="000000"/>
                <w:sz w:val="22"/>
                <w:szCs w:val="22"/>
              </w:rPr>
              <w:t>.02</w:t>
            </w:r>
          </w:p>
        </w:tc>
        <w:tc>
          <w:tcPr>
            <w:tcW w:w="960" w:type="pct"/>
            <w:shd w:val="clear" w:color="auto" w:fill="auto"/>
            <w:noWrap/>
            <w:vAlign w:val="center"/>
            <w:hideMark/>
          </w:tcPr>
          <w:p w:rsidR="00D741AB" w:rsidRDefault="00664B08">
            <w:pPr>
              <w:spacing w:before="0"/>
              <w:jc w:val="right"/>
              <w:rPr>
                <w:rFonts w:asciiTheme="minorHAnsi" w:hAnsiTheme="minorHAnsi"/>
                <w:color w:val="000000"/>
                <w:sz w:val="22"/>
                <w:szCs w:val="22"/>
              </w:rPr>
            </w:pPr>
            <w:r>
              <w:rPr>
                <w:rFonts w:asciiTheme="minorHAnsi" w:hAnsiTheme="minorHAnsi"/>
                <w:color w:val="000000"/>
                <w:sz w:val="22"/>
                <w:szCs w:val="22"/>
              </w:rPr>
              <w:t>4,23</w:t>
            </w:r>
            <w:r w:rsidR="001E4F02">
              <w:rPr>
                <w:rFonts w:asciiTheme="minorHAnsi" w:hAnsiTheme="minorHAnsi"/>
                <w:color w:val="000000"/>
                <w:sz w:val="22"/>
                <w:szCs w:val="22"/>
              </w:rPr>
              <w:t>0.68</w:t>
            </w:r>
            <w:r w:rsidR="00027D0D" w:rsidRPr="00027D0D">
              <w:rPr>
                <w:rFonts w:asciiTheme="minorHAnsi" w:hAnsiTheme="minorHAnsi"/>
                <w:color w:val="000000"/>
                <w:sz w:val="22"/>
                <w:szCs w:val="22"/>
              </w:rPr>
              <w:t xml:space="preserve"> </w:t>
            </w:r>
          </w:p>
        </w:tc>
      </w:tr>
      <w:tr w:rsidR="00C67BB1" w:rsidRPr="00517058" w:rsidTr="00CE4F1E">
        <w:trPr>
          <w:trHeight w:val="300"/>
        </w:trPr>
        <w:tc>
          <w:tcPr>
            <w:tcW w:w="2423" w:type="pct"/>
            <w:shd w:val="clear" w:color="auto" w:fill="auto"/>
            <w:vAlign w:val="center"/>
            <w:hideMark/>
          </w:tcPr>
          <w:p w:rsidR="007132A6" w:rsidRDefault="00027D0D" w:rsidP="007132A6">
            <w:pPr>
              <w:spacing w:before="0"/>
              <w:rPr>
                <w:rFonts w:asciiTheme="minorHAnsi" w:hAnsiTheme="minorHAnsi"/>
                <w:sz w:val="22"/>
                <w:szCs w:val="22"/>
              </w:rPr>
            </w:pPr>
            <w:r w:rsidRPr="00027D0D">
              <w:rPr>
                <w:rFonts w:asciiTheme="minorHAnsi" w:hAnsiTheme="minorHAnsi"/>
                <w:sz w:val="22"/>
                <w:szCs w:val="22"/>
              </w:rPr>
              <w:t>Transmission Tariff (Rs./kWh)</w:t>
            </w:r>
          </w:p>
        </w:tc>
        <w:tc>
          <w:tcPr>
            <w:tcW w:w="807" w:type="pct"/>
            <w:shd w:val="clear" w:color="auto" w:fill="auto"/>
            <w:noWrap/>
            <w:vAlign w:val="center"/>
            <w:hideMark/>
          </w:tcPr>
          <w:p w:rsidR="007132A6" w:rsidRDefault="00027D0D" w:rsidP="007132A6">
            <w:pPr>
              <w:spacing w:before="0" w:line="240" w:lineRule="auto"/>
              <w:jc w:val="center"/>
              <w:rPr>
                <w:sz w:val="18"/>
                <w:szCs w:val="18"/>
              </w:rPr>
            </w:pPr>
            <w:r w:rsidRPr="00027D0D">
              <w:t>B</w:t>
            </w:r>
          </w:p>
        </w:tc>
        <w:tc>
          <w:tcPr>
            <w:tcW w:w="810" w:type="pct"/>
            <w:shd w:val="clear" w:color="auto" w:fill="auto"/>
            <w:noWrap/>
            <w:vAlign w:val="center"/>
            <w:hideMark/>
          </w:tcPr>
          <w:p w:rsidR="00C67BB1" w:rsidRPr="00517058" w:rsidRDefault="00027D0D" w:rsidP="00CE4F1E">
            <w:pPr>
              <w:spacing w:before="0"/>
              <w:jc w:val="right"/>
              <w:rPr>
                <w:rFonts w:asciiTheme="minorHAnsi" w:hAnsiTheme="minorHAnsi"/>
                <w:sz w:val="22"/>
                <w:szCs w:val="22"/>
              </w:rPr>
            </w:pPr>
            <w:r w:rsidRPr="00027D0D">
              <w:rPr>
                <w:rFonts w:asciiTheme="minorHAnsi" w:hAnsiTheme="minorHAnsi"/>
                <w:color w:val="000000"/>
                <w:sz w:val="22"/>
                <w:szCs w:val="22"/>
              </w:rPr>
              <w:t>0.1</w:t>
            </w:r>
            <w:r w:rsidR="00CE4F1E">
              <w:rPr>
                <w:rFonts w:asciiTheme="minorHAnsi" w:hAnsiTheme="minorHAnsi"/>
                <w:color w:val="000000"/>
                <w:sz w:val="22"/>
                <w:szCs w:val="22"/>
              </w:rPr>
              <w:t>94</w:t>
            </w:r>
          </w:p>
        </w:tc>
        <w:tc>
          <w:tcPr>
            <w:tcW w:w="960" w:type="pct"/>
            <w:shd w:val="clear" w:color="auto" w:fill="auto"/>
            <w:noWrap/>
            <w:vAlign w:val="center"/>
            <w:hideMark/>
          </w:tcPr>
          <w:p w:rsidR="007132A6" w:rsidRDefault="00027D0D" w:rsidP="007132A6">
            <w:pPr>
              <w:spacing w:before="0"/>
              <w:jc w:val="right"/>
              <w:rPr>
                <w:rFonts w:asciiTheme="minorHAnsi" w:hAnsiTheme="minorHAnsi" w:cs="Calibri"/>
                <w:color w:val="000000"/>
                <w:sz w:val="22"/>
                <w:szCs w:val="22"/>
              </w:rPr>
            </w:pPr>
            <w:r w:rsidRPr="00027D0D">
              <w:rPr>
                <w:rFonts w:asciiTheme="minorHAnsi" w:hAnsiTheme="minorHAnsi"/>
                <w:color w:val="000000"/>
                <w:sz w:val="22"/>
                <w:szCs w:val="22"/>
              </w:rPr>
              <w:t xml:space="preserve">0.162 </w:t>
            </w:r>
          </w:p>
        </w:tc>
      </w:tr>
      <w:tr w:rsidR="00C67BB1" w:rsidRPr="00517058" w:rsidTr="00CE4F1E">
        <w:trPr>
          <w:trHeight w:val="300"/>
        </w:trPr>
        <w:tc>
          <w:tcPr>
            <w:tcW w:w="2423" w:type="pct"/>
            <w:shd w:val="clear" w:color="auto" w:fill="auto"/>
            <w:vAlign w:val="center"/>
            <w:hideMark/>
          </w:tcPr>
          <w:p w:rsidR="003267CD" w:rsidRDefault="00027D0D" w:rsidP="00CE4F1E">
            <w:pPr>
              <w:pStyle w:val="NoSpacing"/>
              <w:jc w:val="both"/>
              <w:rPr>
                <w:rFonts w:asciiTheme="minorHAnsi" w:hAnsiTheme="minorHAnsi"/>
                <w:b/>
              </w:rPr>
            </w:pPr>
            <w:r w:rsidRPr="00027D0D">
              <w:rPr>
                <w:rFonts w:asciiTheme="minorHAnsi" w:hAnsiTheme="minorHAnsi"/>
                <w:b/>
              </w:rPr>
              <w:t>Transmission Cost (Rs. Crore)</w:t>
            </w:r>
          </w:p>
        </w:tc>
        <w:tc>
          <w:tcPr>
            <w:tcW w:w="807" w:type="pct"/>
            <w:shd w:val="clear" w:color="auto" w:fill="auto"/>
            <w:noWrap/>
            <w:vAlign w:val="center"/>
            <w:hideMark/>
          </w:tcPr>
          <w:p w:rsidR="007132A6" w:rsidRDefault="00027D0D" w:rsidP="007132A6">
            <w:pPr>
              <w:spacing w:before="0" w:line="240" w:lineRule="auto"/>
              <w:jc w:val="center"/>
              <w:rPr>
                <w:b/>
                <w:sz w:val="18"/>
                <w:szCs w:val="18"/>
              </w:rPr>
            </w:pPr>
            <w:r w:rsidRPr="00027D0D">
              <w:rPr>
                <w:b/>
              </w:rPr>
              <w:t>C =A*B /10</w:t>
            </w:r>
          </w:p>
        </w:tc>
        <w:tc>
          <w:tcPr>
            <w:tcW w:w="810" w:type="pct"/>
            <w:shd w:val="clear" w:color="auto" w:fill="auto"/>
            <w:noWrap/>
            <w:vAlign w:val="center"/>
            <w:hideMark/>
          </w:tcPr>
          <w:p w:rsidR="007132A6" w:rsidRDefault="00664B08" w:rsidP="007132A6">
            <w:pPr>
              <w:spacing w:before="0"/>
              <w:jc w:val="right"/>
              <w:rPr>
                <w:rFonts w:asciiTheme="minorHAnsi" w:hAnsiTheme="minorHAnsi"/>
                <w:b/>
                <w:sz w:val="22"/>
                <w:szCs w:val="22"/>
              </w:rPr>
            </w:pPr>
            <w:r>
              <w:rPr>
                <w:rFonts w:asciiTheme="minorHAnsi" w:hAnsiTheme="minorHAnsi"/>
                <w:b/>
                <w:bCs/>
                <w:color w:val="000000"/>
                <w:sz w:val="22"/>
                <w:szCs w:val="22"/>
              </w:rPr>
              <w:t>81.36</w:t>
            </w:r>
            <w:r w:rsidR="00027D0D" w:rsidRPr="00027D0D">
              <w:rPr>
                <w:rFonts w:asciiTheme="minorHAnsi" w:hAnsiTheme="minorHAnsi"/>
                <w:b/>
                <w:bCs/>
                <w:color w:val="000000"/>
                <w:sz w:val="22"/>
                <w:szCs w:val="22"/>
              </w:rPr>
              <w:t xml:space="preserve"> </w:t>
            </w:r>
          </w:p>
        </w:tc>
        <w:tc>
          <w:tcPr>
            <w:tcW w:w="960" w:type="pct"/>
            <w:shd w:val="clear" w:color="auto" w:fill="auto"/>
            <w:noWrap/>
            <w:vAlign w:val="center"/>
            <w:hideMark/>
          </w:tcPr>
          <w:p w:rsidR="007132A6" w:rsidRDefault="00027D0D" w:rsidP="00664B08">
            <w:pPr>
              <w:spacing w:before="0"/>
              <w:jc w:val="right"/>
              <w:rPr>
                <w:rFonts w:asciiTheme="minorHAnsi" w:hAnsiTheme="minorHAnsi" w:cs="Calibri"/>
                <w:b/>
                <w:color w:val="000000"/>
                <w:sz w:val="22"/>
                <w:szCs w:val="22"/>
              </w:rPr>
            </w:pPr>
            <w:r w:rsidRPr="00027D0D">
              <w:rPr>
                <w:rFonts w:asciiTheme="minorHAnsi" w:hAnsiTheme="minorHAnsi"/>
                <w:b/>
                <w:color w:val="000000"/>
                <w:sz w:val="22"/>
                <w:szCs w:val="22"/>
              </w:rPr>
              <w:t xml:space="preserve">                </w:t>
            </w:r>
            <w:r w:rsidR="00664B08">
              <w:rPr>
                <w:rFonts w:asciiTheme="minorHAnsi" w:hAnsiTheme="minorHAnsi"/>
                <w:b/>
                <w:color w:val="000000"/>
                <w:sz w:val="22"/>
                <w:szCs w:val="22"/>
              </w:rPr>
              <w:t>68.58</w:t>
            </w:r>
            <w:r w:rsidRPr="00027D0D">
              <w:rPr>
                <w:rFonts w:asciiTheme="minorHAnsi" w:hAnsiTheme="minorHAnsi"/>
                <w:b/>
                <w:color w:val="000000"/>
                <w:sz w:val="22"/>
                <w:szCs w:val="22"/>
              </w:rPr>
              <w:t xml:space="preserve"> </w:t>
            </w:r>
          </w:p>
        </w:tc>
      </w:tr>
    </w:tbl>
    <w:p w:rsidR="007132A6" w:rsidRDefault="007132A6" w:rsidP="007132A6">
      <w:pPr>
        <w:spacing w:before="0" w:line="240" w:lineRule="auto"/>
        <w:jc w:val="left"/>
        <w:rPr>
          <w:rFonts w:asciiTheme="minorHAnsi" w:hAnsiTheme="minorHAnsi" w:cstheme="minorHAnsi"/>
          <w:b/>
          <w:bCs/>
          <w:color w:val="000000"/>
        </w:rPr>
      </w:pPr>
    </w:p>
    <w:p w:rsidR="00C34658" w:rsidRPr="00C60AD1" w:rsidRDefault="00C34658" w:rsidP="00BA3941">
      <w:pPr>
        <w:pStyle w:val="Heading2"/>
        <w:numPr>
          <w:ilvl w:val="1"/>
          <w:numId w:val="14"/>
        </w:numPr>
        <w:ind w:left="778" w:hanging="778"/>
      </w:pPr>
      <w:bookmarkStart w:id="971" w:name="_Toc453367615"/>
      <w:bookmarkStart w:id="972" w:name="_Toc457355493"/>
      <w:r w:rsidRPr="00C60AD1">
        <w:t>ESCALATION INDEX</w:t>
      </w:r>
      <w:bookmarkEnd w:id="889"/>
      <w:bookmarkEnd w:id="971"/>
      <w:bookmarkEnd w:id="972"/>
    </w:p>
    <w:p w:rsidR="00023318" w:rsidRDefault="00C34658" w:rsidP="00023318">
      <w:pPr>
        <w:pStyle w:val="Heading3"/>
        <w:tabs>
          <w:tab w:val="clear" w:pos="720"/>
        </w:tabs>
        <w:spacing w:after="240"/>
        <w:ind w:left="993" w:hanging="993"/>
      </w:pPr>
      <w:r w:rsidRPr="00C60AD1">
        <w:t>For approving the O&amp;M expenses for the ensuing year, the Distribution Tariff Regulations, 2006 specifies a formula of escalation index to be applied to the base year as detailed below.</w:t>
      </w:r>
    </w:p>
    <w:p w:rsidR="00023318" w:rsidRDefault="00C34658" w:rsidP="00023318">
      <w:pPr>
        <w:pStyle w:val="Heading3"/>
        <w:tabs>
          <w:tab w:val="clear" w:pos="720"/>
        </w:tabs>
        <w:spacing w:after="240"/>
        <w:ind w:left="993" w:hanging="993"/>
      </w:pPr>
      <w:r w:rsidRPr="00C60AD1">
        <w:t>The Petitioner submitted that the Distribution Tariff Regulations, 2006 specifies that expenses of the base year shall be escalated at Inflation / Escalation rate notified by the Central Government for different years. The Petitioner submi</w:t>
      </w:r>
      <w:r w:rsidRPr="00C60AD1">
        <w:rPr>
          <w:rFonts w:asciiTheme="majorHAnsi" w:hAnsiTheme="majorHAnsi" w:cstheme="majorBidi"/>
          <w:b/>
        </w:rPr>
        <w:t>t</w:t>
      </w:r>
      <w:r w:rsidRPr="00C60AD1">
        <w:t>ted that the inflation rate for this purpose shall be weighted average of Wholesale Price Index and Consumer Price Index in the ratio of 60:40.</w:t>
      </w:r>
    </w:p>
    <w:p w:rsidR="00023318" w:rsidRDefault="00C34658" w:rsidP="00023318">
      <w:pPr>
        <w:pStyle w:val="Heading3"/>
        <w:tabs>
          <w:tab w:val="clear" w:pos="720"/>
        </w:tabs>
        <w:spacing w:after="240"/>
        <w:ind w:left="993" w:hanging="993"/>
      </w:pPr>
      <w:r w:rsidRPr="008B0C65">
        <w:t xml:space="preserve">The </w:t>
      </w:r>
      <w:r w:rsidR="00023318" w:rsidRPr="00023318">
        <w:t xml:space="preserve">Petitioner submitted that for the purpose of ARR, it has used the above methodology in arriving at Inflation / Escalation rate of 4.01% for FY 2015-16 </w:t>
      </w:r>
      <w:r w:rsidR="00023318" w:rsidRPr="00023318">
        <w:lastRenderedPageBreak/>
        <w:t>and 0.92% for FY 2016-17. This Inflation / Escalation rate has been used in estimation of various components of ARR.</w:t>
      </w:r>
      <w:r w:rsidRPr="008B0C65">
        <w:t xml:space="preserve"> </w:t>
      </w:r>
    </w:p>
    <w:p w:rsidR="00023318" w:rsidRDefault="00C34658" w:rsidP="00023318">
      <w:pPr>
        <w:pStyle w:val="Heading3"/>
        <w:tabs>
          <w:tab w:val="clear" w:pos="720"/>
        </w:tabs>
        <w:spacing w:after="240"/>
        <w:ind w:left="993" w:hanging="993"/>
      </w:pPr>
      <w:r w:rsidRPr="00C60AD1">
        <w:t xml:space="preserve">Regulation 4.3 of Distribution Tariff Regulations, 2006 specifies the </w:t>
      </w:r>
      <w:r w:rsidRPr="008B0C65">
        <w:t xml:space="preserve">methodology for consideration of the O&amp;M Expenses, wherein such expenses are linked to the inflation index determined under these Regulations. Accordingly, the Commission has computed escalation / inflation index of </w:t>
      </w:r>
      <w:r>
        <w:t>1.39</w:t>
      </w:r>
      <w:r w:rsidRPr="008B0C65">
        <w:t>% for FY 2015-16 and the same escalation / inflation index has been considered for FY 2016-17 as computed in Truing up Chapter of this Order</w:t>
      </w:r>
      <w:r w:rsidRPr="00C60AD1">
        <w:t>.</w:t>
      </w:r>
    </w:p>
    <w:p w:rsidR="00023318" w:rsidRDefault="00023318" w:rsidP="00023318">
      <w:pPr>
        <w:pStyle w:val="Heading3"/>
        <w:numPr>
          <w:ilvl w:val="0"/>
          <w:numId w:val="0"/>
        </w:numPr>
        <w:tabs>
          <w:tab w:val="clear" w:pos="720"/>
        </w:tabs>
        <w:spacing w:after="240"/>
        <w:ind w:left="993"/>
      </w:pPr>
    </w:p>
    <w:p w:rsidR="00C34658" w:rsidRPr="00C60AD1" w:rsidRDefault="00C34658" w:rsidP="00BA3941">
      <w:pPr>
        <w:pStyle w:val="Heading2"/>
        <w:numPr>
          <w:ilvl w:val="1"/>
          <w:numId w:val="14"/>
        </w:numPr>
      </w:pPr>
      <w:bookmarkStart w:id="973" w:name="_Toc396573839"/>
      <w:bookmarkStart w:id="974" w:name="_Toc419992294"/>
      <w:bookmarkStart w:id="975" w:name="_Toc453367616"/>
      <w:bookmarkStart w:id="976" w:name="_Toc457355494"/>
      <w:r w:rsidRPr="00C60AD1">
        <w:t>O&amp;M EXPENSES</w:t>
      </w:r>
      <w:bookmarkEnd w:id="973"/>
      <w:bookmarkEnd w:id="974"/>
      <w:bookmarkEnd w:id="975"/>
      <w:bookmarkEnd w:id="976"/>
    </w:p>
    <w:p w:rsidR="00023318" w:rsidRDefault="00C34658" w:rsidP="00023318">
      <w:pPr>
        <w:pStyle w:val="Heading3"/>
        <w:tabs>
          <w:tab w:val="clear" w:pos="720"/>
        </w:tabs>
        <w:spacing w:after="240"/>
        <w:ind w:left="993" w:hanging="993"/>
      </w:pPr>
      <w:r w:rsidRPr="00C60AD1">
        <w:t>The Petitioner submitted that the O&amp;M expenses comprise of Employee costs, Administrative &amp; General (A&amp;G) Expenses and Repair &amp; Maintenance (R&amp;M) expenses</w:t>
      </w:r>
      <w:r w:rsidRPr="00C60AD1">
        <w:rPr>
          <w:rFonts w:cs="Calibri"/>
        </w:rPr>
        <w:t xml:space="preserve">. </w:t>
      </w:r>
      <w:r w:rsidRPr="00C60AD1">
        <w:t>The Regulation 4.3 of the Distribution Tariff Regulations, 2006 specifies as follows:</w:t>
      </w:r>
    </w:p>
    <w:p w:rsidR="00C34658" w:rsidRPr="00C60AD1" w:rsidRDefault="00C34658" w:rsidP="00C34658">
      <w:pPr>
        <w:pStyle w:val="Heading3"/>
        <w:numPr>
          <w:ilvl w:val="0"/>
          <w:numId w:val="0"/>
        </w:numPr>
        <w:tabs>
          <w:tab w:val="left" w:pos="1407"/>
        </w:tabs>
        <w:ind w:left="900"/>
        <w:rPr>
          <w:szCs w:val="24"/>
        </w:rPr>
      </w:pPr>
      <w:r w:rsidRPr="00C60AD1">
        <w:rPr>
          <w:szCs w:val="24"/>
        </w:rPr>
        <w:tab/>
      </w:r>
      <w:r w:rsidRPr="00C60AD1">
        <w:rPr>
          <w:szCs w:val="24"/>
        </w:rPr>
        <w:tab/>
        <w:t xml:space="preserve">     “...</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The O&amp;M expenses comprise of employee cost, repairs &amp; maintenance (R&amp;M) cost and administrative &amp; general (A&amp;G) cost. The O&amp;M expenses for the base year shall be calculated on the basis of historical/audited costs and past trend during the preceding five years. However, any abnormal variation during the preceding five years shall be excluded. For determination of the O&amp;M expenses of the year under consideration, the O &amp; M expenses of the base year shall be escalated at inflation rates notified by the Central Government for different years. The inflation rate for above purpose shall be the weighted average of Wholesale Price Index and Consumer Price Index in the ratio of 60:40. Base year, for these regulations means, the first year of tariff determination under these regulations.</w:t>
      </w:r>
    </w:p>
    <w:p w:rsidR="00C34658" w:rsidRPr="00C60AD1" w:rsidRDefault="00C34658" w:rsidP="00C34658">
      <w:pPr>
        <w:numPr>
          <w:ilvl w:val="0"/>
          <w:numId w:val="12"/>
        </w:numPr>
        <w:tabs>
          <w:tab w:val="left" w:pos="720"/>
        </w:tabs>
        <w:spacing w:before="0"/>
        <w:ind w:left="1710" w:firstLine="350"/>
        <w:outlineLvl w:val="2"/>
        <w:rPr>
          <w:rFonts w:cs="Arial"/>
          <w:bCs/>
          <w:i/>
        </w:rPr>
      </w:pPr>
      <w:r w:rsidRPr="00C60AD1">
        <w:rPr>
          <w:rFonts w:cs="Arial"/>
          <w:bCs/>
          <w:i/>
        </w:rPr>
        <w:t xml:space="preserve"> Where such data for the preceding five years is not available the Commission may fix O&amp;M expenses for the base year as certain percentage of the capital cost.</w:t>
      </w:r>
    </w:p>
    <w:p w:rsidR="00C34658" w:rsidRPr="00C60AD1" w:rsidRDefault="00C34658" w:rsidP="00C34658">
      <w:pPr>
        <w:numPr>
          <w:ilvl w:val="0"/>
          <w:numId w:val="12"/>
        </w:numPr>
        <w:tabs>
          <w:tab w:val="left" w:pos="720"/>
        </w:tabs>
        <w:spacing w:before="0" w:after="240"/>
        <w:ind w:left="1710" w:firstLine="450"/>
        <w:outlineLvl w:val="2"/>
        <w:rPr>
          <w:rFonts w:cs="Calibri"/>
          <w:bCs/>
        </w:rPr>
      </w:pPr>
      <w:r w:rsidRPr="00C60AD1">
        <w:rPr>
          <w:rFonts w:cs="Arial"/>
          <w:bCs/>
          <w:i/>
        </w:rPr>
        <w:t xml:space="preserve"> Incremental O&amp;M expenses for the ensuing financial year shall be 2.5% of capital addition during the current year. O&amp;M charges for the ensuing financial year shall be sum of incremental O&amp;M expenses so worked out and O&amp;M charges of current year escalated on </w:t>
      </w:r>
      <w:r w:rsidRPr="00C60AD1">
        <w:rPr>
          <w:rFonts w:cs="Arial"/>
          <w:bCs/>
          <w:i/>
        </w:rPr>
        <w:lastRenderedPageBreak/>
        <w:t>the basis of predetermined indices as indicated in regulation 4.3 (1)..………….”</w:t>
      </w:r>
    </w:p>
    <w:p w:rsidR="00023318" w:rsidRDefault="00C34658" w:rsidP="00023318">
      <w:pPr>
        <w:pStyle w:val="Heading3"/>
        <w:tabs>
          <w:tab w:val="clear" w:pos="720"/>
        </w:tabs>
        <w:spacing w:after="240"/>
        <w:ind w:left="993" w:hanging="993"/>
      </w:pPr>
      <w:r w:rsidRPr="000D2B08">
        <w:t xml:space="preserve">The Petitioner submitted that the O&amp;M expenses for FY 2016-17 have been claimed by escalating the actual component wise O&amp;M expenses for FY 2013-14 by using the yearly inflation indices approved by the Commission up </w:t>
      </w:r>
      <w:r w:rsidRPr="008B0C65">
        <w:t xml:space="preserve">to FY 2015-16 in its Tariff Order dated June 18, 2015 and at the rate of </w:t>
      </w:r>
      <w:r w:rsidR="003A2223">
        <w:t>0.92</w:t>
      </w:r>
      <w:r w:rsidRPr="008B0C65">
        <w:t xml:space="preserve">% for FY 2016-17. </w:t>
      </w:r>
    </w:p>
    <w:p w:rsidR="00023318" w:rsidRDefault="00C34658" w:rsidP="00023318">
      <w:pPr>
        <w:pStyle w:val="Heading3"/>
        <w:tabs>
          <w:tab w:val="clear" w:pos="720"/>
        </w:tabs>
        <w:spacing w:after="240"/>
        <w:ind w:left="993" w:hanging="993"/>
      </w:pPr>
      <w:r w:rsidRPr="00C60AD1">
        <w:t>The Petitioner submitted that increase in dearness pay may be higher than the escalation index determined as per the Distribution Tariff Regulations, 2006 and requested the Commission that any variation in employee expenses due to increase in dearness pay may be considered by the Commission at the time of true-up for the relevant year based on specific submissions by the Petitioner in this regard.</w:t>
      </w:r>
    </w:p>
    <w:p w:rsidR="00023318" w:rsidRDefault="00344EC7" w:rsidP="00023318">
      <w:pPr>
        <w:pStyle w:val="Heading3"/>
        <w:tabs>
          <w:tab w:val="clear" w:pos="720"/>
        </w:tabs>
        <w:spacing w:after="240"/>
        <w:ind w:left="993" w:hanging="993"/>
      </w:pPr>
      <w:r w:rsidRPr="001C25B2">
        <w:t>The Commission has computed the normative O&amp;M expenses for FY 2016</w:t>
      </w:r>
      <w:r>
        <w:t>-17</w:t>
      </w:r>
      <w:r w:rsidRPr="001C25B2">
        <w:t xml:space="preserve"> by escalating the normative O&amp;M expenses of FY 2015</w:t>
      </w:r>
      <w:r>
        <w:t>-16</w:t>
      </w:r>
      <w:r w:rsidRPr="001C25B2">
        <w:t xml:space="preserve"> with the escalation index of </w:t>
      </w:r>
      <w:r>
        <w:t>1.3</w:t>
      </w:r>
      <w:r w:rsidRPr="001C25B2">
        <w:t>9%.</w:t>
      </w:r>
      <w:r w:rsidR="00C34658" w:rsidRPr="008B0C65">
        <w:t>. Since, escalation index of FY 2016-17 cannot be computed at this stage, escalation index of FY 2015-16</w:t>
      </w:r>
      <w:r w:rsidR="009039B0">
        <w:t xml:space="preserve"> </w:t>
      </w:r>
      <w:r w:rsidR="00C34658">
        <w:t xml:space="preserve">i.e., 1.39%, </w:t>
      </w:r>
      <w:r w:rsidR="00C34658" w:rsidRPr="008B0C65">
        <w:t xml:space="preserve">has been considered to project the normative O&amp;M expense of FY 2016-17. </w:t>
      </w:r>
      <w:r>
        <w:t>The escalation index computation has been shown in the True-up section of this Order.</w:t>
      </w:r>
    </w:p>
    <w:p w:rsidR="00023318" w:rsidRDefault="00C34658" w:rsidP="00023318">
      <w:pPr>
        <w:pStyle w:val="Heading3"/>
        <w:tabs>
          <w:tab w:val="clear" w:pos="720"/>
        </w:tabs>
        <w:spacing w:after="240"/>
        <w:ind w:left="993" w:hanging="993"/>
      </w:pPr>
      <w:r w:rsidRPr="00C60AD1">
        <w:rPr>
          <w:rFonts w:cs="Calibri"/>
        </w:rPr>
        <w:t>Further,</w:t>
      </w:r>
      <w:r w:rsidRPr="00C60AD1">
        <w:t xml:space="preserve"> in addition to the O&amp;M expenses based on inflationary indices, the Commission has also worked out incremental O&amp;M expenses for FY </w:t>
      </w:r>
      <w:r>
        <w:t xml:space="preserve">2016-17 as per </w:t>
      </w:r>
      <w:r w:rsidRPr="00A009C0">
        <w:t xml:space="preserve">the </w:t>
      </w:r>
      <w:r>
        <w:t>Distribution</w:t>
      </w:r>
      <w:r w:rsidRPr="00A009C0">
        <w:t xml:space="preserve"> Tariff Regulations, 2006</w:t>
      </w:r>
      <w:r w:rsidRPr="00C60AD1">
        <w:t xml:space="preserve"> and has further allocated the same across the individual elements of the O&amp;M expenses on the basis of the contribution of each element in the O&amp;M expenses.</w:t>
      </w:r>
    </w:p>
    <w:p w:rsidR="00023318" w:rsidRDefault="00257B91" w:rsidP="00023318">
      <w:pPr>
        <w:pStyle w:val="Heading3"/>
        <w:tabs>
          <w:tab w:val="clear" w:pos="720"/>
        </w:tabs>
        <w:spacing w:after="240"/>
        <w:ind w:left="993" w:hanging="993"/>
      </w:pPr>
      <w:r w:rsidRPr="008B0C65">
        <w:t>It is observed that the O&amp;M expenses estimated by the Petitioner are higher than the normative O&amp;M expenses computed by the Commission considering base year as FY 2007-08. Since the Licensee has to restrict its O&amp;M expenses within the normative level, the Commission has therefore, approved the normative O&amp;M expenses for FY 2016-17 computed in accordance with the Distribution Tariff Regulations, 2006.</w:t>
      </w:r>
    </w:p>
    <w:p w:rsidR="00023318" w:rsidRDefault="00C34658" w:rsidP="00023318">
      <w:pPr>
        <w:pStyle w:val="Heading3"/>
        <w:tabs>
          <w:tab w:val="clear" w:pos="720"/>
        </w:tabs>
        <w:spacing w:after="240"/>
        <w:ind w:left="993" w:hanging="993"/>
      </w:pPr>
      <w:r w:rsidRPr="008B0C65">
        <w:t xml:space="preserve">Further, capitalization of employee expenses and administrative and general expenses has been considered as 15% of the gross employee expenses and gross A&amp;G expenses respectively, which is in line to the approach adopted by </w:t>
      </w:r>
      <w:r w:rsidRPr="008B0C65">
        <w:lastRenderedPageBreak/>
        <w:t xml:space="preserve">the Commission in its earlier Tariff Orders as well as that proposed by the Petitioner for FY 2016-17.   </w:t>
      </w:r>
    </w:p>
    <w:p w:rsidR="00C34658" w:rsidRPr="006C08CE" w:rsidRDefault="00C34658" w:rsidP="006C08CE">
      <w:pPr>
        <w:pStyle w:val="Heading3"/>
        <w:tabs>
          <w:tab w:val="clear" w:pos="720"/>
        </w:tabs>
        <w:spacing w:after="240"/>
        <w:ind w:left="993" w:hanging="993"/>
      </w:pPr>
      <w:r w:rsidRPr="00C60AD1">
        <w:t xml:space="preserve">The summary of the O&amp;M expenses submitted by the Petitioner and as approved by the Commission for FY </w:t>
      </w:r>
      <w:r>
        <w:t>2016-17</w:t>
      </w:r>
      <w:r w:rsidRPr="00C60AD1">
        <w:t xml:space="preserve"> is shown in the Table below: </w:t>
      </w:r>
      <w:bookmarkStart w:id="977" w:name="_Toc395657969"/>
      <w:bookmarkStart w:id="978" w:name="_Toc396574020"/>
    </w:p>
    <w:p w:rsidR="00C34658" w:rsidRPr="00C60AD1" w:rsidRDefault="00C34658" w:rsidP="00C34658">
      <w:pPr>
        <w:spacing w:before="0"/>
        <w:jc w:val="center"/>
        <w:rPr>
          <w:rFonts w:cs="Calibri"/>
          <w:b/>
          <w:sz w:val="22"/>
          <w:szCs w:val="22"/>
          <w:lang w:val="en-US"/>
        </w:rPr>
      </w:pPr>
      <w:bookmarkStart w:id="979" w:name="_Toc419992316"/>
      <w:bookmarkStart w:id="980" w:name="_Toc453367698"/>
      <w:bookmarkStart w:id="981" w:name="_Toc457355641"/>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17</w:t>
      </w:r>
      <w:r w:rsidR="004A2D9E" w:rsidRPr="00C60AD1">
        <w:rPr>
          <w:rFonts w:cs="Calibri"/>
          <w:b/>
          <w:sz w:val="22"/>
          <w:szCs w:val="22"/>
          <w:lang w:val="en-US"/>
        </w:rPr>
        <w:fldChar w:fldCharType="end"/>
      </w:r>
      <w:r w:rsidRPr="00C60AD1">
        <w:rPr>
          <w:rFonts w:cs="Calibri"/>
          <w:b/>
          <w:sz w:val="22"/>
          <w:szCs w:val="22"/>
          <w:lang w:val="en-US"/>
        </w:rPr>
        <w:t xml:space="preserve">: O&amp;M EXPENSES FOR FY </w:t>
      </w:r>
      <w:r>
        <w:rPr>
          <w:rFonts w:cs="Calibri"/>
          <w:b/>
          <w:sz w:val="22"/>
          <w:szCs w:val="22"/>
          <w:lang w:val="en-US"/>
        </w:rPr>
        <w:t>2016-17</w:t>
      </w:r>
      <w:r w:rsidRPr="00C60AD1">
        <w:rPr>
          <w:rFonts w:cs="Calibri"/>
          <w:b/>
          <w:sz w:val="22"/>
          <w:szCs w:val="22"/>
          <w:lang w:val="en-US"/>
        </w:rPr>
        <w:t xml:space="preserve"> (Rs. Crore)</w:t>
      </w:r>
      <w:bookmarkEnd w:id="977"/>
      <w:bookmarkEnd w:id="978"/>
      <w:bookmarkEnd w:id="979"/>
      <w:bookmarkEnd w:id="980"/>
      <w:bookmarkEnd w:id="981"/>
    </w:p>
    <w:tbl>
      <w:tblPr>
        <w:tblW w:w="427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495"/>
        <w:gridCol w:w="1644"/>
        <w:gridCol w:w="1449"/>
      </w:tblGrid>
      <w:tr w:rsidR="00C34658" w:rsidRPr="00517058" w:rsidTr="00D55642">
        <w:trPr>
          <w:trHeight w:val="660"/>
          <w:tblHeader/>
          <w:jc w:val="center"/>
        </w:trPr>
        <w:tc>
          <w:tcPr>
            <w:tcW w:w="2962"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1083" w:type="pct"/>
            <w:shd w:val="clear" w:color="000000" w:fill="DBE5F1"/>
            <w:noWrap/>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955" w:type="pct"/>
            <w:shd w:val="clear" w:color="000000" w:fill="DBE5F1"/>
            <w:hideMark/>
          </w:tcPr>
          <w:p w:rsidR="00C34658" w:rsidRPr="00517058" w:rsidRDefault="00027D0D" w:rsidP="00D55642">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C34658" w:rsidRPr="00517058" w:rsidTr="006720A6">
        <w:trPr>
          <w:trHeight w:val="300"/>
          <w:jc w:val="center"/>
        </w:trPr>
        <w:tc>
          <w:tcPr>
            <w:tcW w:w="2962" w:type="pct"/>
            <w:shd w:val="clear" w:color="auto" w:fill="auto"/>
            <w:hideMark/>
          </w:tcPr>
          <w:p w:rsidR="003267CD" w:rsidRDefault="00027D0D">
            <w:pPr>
              <w:spacing w:before="0" w:line="240" w:lineRule="auto"/>
              <w:rPr>
                <w:rFonts w:asciiTheme="minorHAnsi" w:hAnsiTheme="minorHAnsi"/>
                <w:b/>
                <w:sz w:val="22"/>
                <w:szCs w:val="22"/>
              </w:rPr>
            </w:pPr>
            <w:r>
              <w:rPr>
                <w:rFonts w:asciiTheme="minorHAnsi" w:hAnsiTheme="minorHAnsi"/>
                <w:b/>
                <w:sz w:val="22"/>
                <w:szCs w:val="22"/>
              </w:rPr>
              <w:t>Employee Expenses</w:t>
            </w:r>
          </w:p>
        </w:tc>
        <w:tc>
          <w:tcPr>
            <w:tcW w:w="1083" w:type="pct"/>
            <w:tcBorders>
              <w:bottom w:val="dotted" w:sz="4" w:space="0" w:color="auto"/>
            </w:tcBorders>
            <w:shd w:val="clear" w:color="auto" w:fill="auto"/>
            <w:vAlign w:val="center"/>
            <w:hideMark/>
          </w:tcPr>
          <w:p w:rsidR="00023318" w:rsidRDefault="00023318" w:rsidP="00023318">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023318" w:rsidRDefault="00023318" w:rsidP="00023318">
            <w:pPr>
              <w:tabs>
                <w:tab w:val="left" w:pos="720"/>
              </w:tabs>
              <w:spacing w:before="0" w:line="240" w:lineRule="auto"/>
              <w:jc w:val="right"/>
              <w:outlineLvl w:val="2"/>
              <w:rPr>
                <w:rFonts w:asciiTheme="minorHAnsi" w:hAnsiTheme="minorHAnsi" w:cs="Arial"/>
                <w:bCs/>
                <w:sz w:val="22"/>
                <w:szCs w:val="22"/>
              </w:rPr>
            </w:pP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Employee Cost and Provisions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117.09</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133.08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Incremental Employee Expenses @ 2.5%</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1.68</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color w:val="000000"/>
                <w:sz w:val="22"/>
                <w:szCs w:val="22"/>
              </w:rPr>
            </w:pPr>
            <w:r>
              <w:rPr>
                <w:rFonts w:cs="Arial"/>
                <w:b/>
                <w:bCs/>
                <w:color w:val="000000"/>
                <w:sz w:val="22"/>
                <w:szCs w:val="22"/>
              </w:rPr>
              <w:t xml:space="preserve">                8.11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Gross Employee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b/>
                <w:bCs/>
                <w:color w:val="000000"/>
                <w:sz w:val="22"/>
                <w:szCs w:val="22"/>
              </w:rPr>
              <w:t>118.77</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141.19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Employee expenses capitalized</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17.82</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21.18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Net Employee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b/>
                <w:sz w:val="22"/>
                <w:szCs w:val="22"/>
              </w:rPr>
            </w:pPr>
            <w:r>
              <w:rPr>
                <w:rFonts w:asciiTheme="minorHAnsi" w:hAnsiTheme="minorHAnsi"/>
                <w:b/>
                <w:bCs/>
                <w:color w:val="000000"/>
                <w:sz w:val="22"/>
                <w:szCs w:val="22"/>
              </w:rPr>
              <w:t>100.96</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120.01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b/>
                <w:sz w:val="22"/>
                <w:szCs w:val="22"/>
              </w:rPr>
            </w:pPr>
            <w:r>
              <w:rPr>
                <w:rFonts w:asciiTheme="minorHAnsi" w:hAnsiTheme="minorHAnsi"/>
                <w:b/>
                <w:sz w:val="22"/>
                <w:szCs w:val="22"/>
              </w:rPr>
              <w:t>A&amp;G Expenses</w:t>
            </w:r>
          </w:p>
        </w:tc>
        <w:tc>
          <w:tcPr>
            <w:tcW w:w="1083" w:type="pct"/>
            <w:tcBorders>
              <w:bottom w:val="dotted" w:sz="4" w:space="0" w:color="auto"/>
            </w:tcBorders>
            <w:shd w:val="clear" w:color="auto" w:fill="auto"/>
            <w:vAlign w:val="center"/>
            <w:hideMark/>
          </w:tcPr>
          <w:p w:rsidR="009D7B95" w:rsidRPr="006720A6" w:rsidRDefault="009D7B95" w:rsidP="006720A6">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Admin &amp; Gen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60.58</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6.62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Incremental Admin &amp; Gen Expenses @ 2.5%</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0.75</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2.57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Gross Admin &amp; Gen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b/>
                <w:bCs/>
                <w:color w:val="000000"/>
                <w:sz w:val="22"/>
                <w:szCs w:val="22"/>
              </w:rPr>
              <w:t>61.33</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9.18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Admin &amp; Gen expenses capitalized</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Theme="minorHAnsi" w:hAnsiTheme="minorHAnsi"/>
                <w:color w:val="000000"/>
                <w:sz w:val="22"/>
                <w:szCs w:val="22"/>
              </w:rPr>
              <w:t>9.20</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1.38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Net Admin &amp; Gen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b/>
                <w:sz w:val="22"/>
                <w:szCs w:val="22"/>
              </w:rPr>
            </w:pPr>
            <w:r>
              <w:rPr>
                <w:rFonts w:asciiTheme="minorHAnsi" w:hAnsiTheme="minorHAnsi"/>
                <w:b/>
                <w:bCs/>
                <w:color w:val="000000"/>
                <w:sz w:val="22"/>
                <w:szCs w:val="22"/>
              </w:rPr>
              <w:t>5</w:t>
            </w:r>
            <w:r w:rsidR="00A2079C">
              <w:rPr>
                <w:rFonts w:asciiTheme="minorHAnsi" w:hAnsiTheme="minorHAnsi"/>
                <w:b/>
                <w:bCs/>
                <w:color w:val="000000"/>
                <w:sz w:val="22"/>
                <w:szCs w:val="22"/>
              </w:rPr>
              <w:t>2</w:t>
            </w:r>
            <w:r>
              <w:rPr>
                <w:rFonts w:asciiTheme="minorHAnsi" w:hAnsiTheme="minorHAnsi"/>
                <w:b/>
                <w:bCs/>
                <w:color w:val="000000"/>
                <w:sz w:val="22"/>
                <w:szCs w:val="22"/>
              </w:rPr>
              <w:t>.13</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7.81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sz w:val="22"/>
                <w:szCs w:val="22"/>
              </w:rPr>
            </w:pP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b/>
                <w:sz w:val="22"/>
                <w:szCs w:val="22"/>
              </w:rPr>
            </w:pPr>
            <w:r>
              <w:rPr>
                <w:rFonts w:asciiTheme="minorHAnsi" w:hAnsiTheme="minorHAnsi"/>
                <w:b/>
                <w:sz w:val="22"/>
                <w:szCs w:val="22"/>
              </w:rPr>
              <w:t>R&amp;M Expenses</w:t>
            </w:r>
          </w:p>
        </w:tc>
        <w:tc>
          <w:tcPr>
            <w:tcW w:w="1083" w:type="pct"/>
            <w:tcBorders>
              <w:bottom w:val="dotted" w:sz="4" w:space="0" w:color="auto"/>
            </w:tcBorders>
            <w:shd w:val="clear" w:color="auto" w:fill="auto"/>
            <w:vAlign w:val="center"/>
            <w:hideMark/>
          </w:tcPr>
          <w:p w:rsidR="009D7B95" w:rsidRPr="006720A6" w:rsidRDefault="009D7B95" w:rsidP="006720A6">
            <w:pPr>
              <w:tabs>
                <w:tab w:val="left" w:pos="720"/>
              </w:tabs>
              <w:spacing w:before="0" w:line="240" w:lineRule="auto"/>
              <w:ind w:left="993"/>
              <w:jc w:val="right"/>
              <w:outlineLvl w:val="2"/>
              <w:rPr>
                <w:rFonts w:asciiTheme="minorHAnsi" w:hAnsiTheme="minorHAnsi" w:cs="Arial"/>
                <w:bCs/>
                <w:sz w:val="22"/>
                <w:szCs w:val="22"/>
              </w:rPr>
            </w:pP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Repair &amp; Maintenance Expenditure</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color w:val="000000"/>
                <w:sz w:val="22"/>
                <w:szCs w:val="22"/>
              </w:rPr>
            </w:pPr>
            <w:r>
              <w:rPr>
                <w:rFonts w:asciiTheme="minorHAnsi" w:hAnsiTheme="minorHAnsi"/>
                <w:color w:val="000000"/>
                <w:sz w:val="22"/>
                <w:szCs w:val="22"/>
              </w:rPr>
              <w:t>52.18</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54.81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Incremental R&amp;M Expenses @ 2.5%</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color w:val="000000"/>
                <w:sz w:val="22"/>
                <w:szCs w:val="22"/>
              </w:rPr>
            </w:pPr>
            <w:r>
              <w:rPr>
                <w:rFonts w:asciiTheme="minorHAnsi" w:hAnsiTheme="minorHAnsi"/>
                <w:color w:val="000000"/>
                <w:sz w:val="22"/>
                <w:szCs w:val="22"/>
              </w:rPr>
              <w:t>0.87</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ascii="Arial" w:hAnsi="Arial" w:cs="Arial"/>
                <w:sz w:val="20"/>
                <w:szCs w:val="20"/>
              </w:rPr>
              <w:t xml:space="preserve">            1.61 </w:t>
            </w:r>
          </w:p>
        </w:tc>
      </w:tr>
      <w:tr w:rsidR="009D7B95" w:rsidRPr="00517058" w:rsidTr="006720A6">
        <w:trPr>
          <w:trHeight w:val="300"/>
          <w:jc w:val="center"/>
        </w:trPr>
        <w:tc>
          <w:tcPr>
            <w:tcW w:w="2962" w:type="pct"/>
            <w:shd w:val="clear" w:color="auto" w:fill="auto"/>
            <w:hideMark/>
          </w:tcPr>
          <w:p w:rsidR="009D7B95" w:rsidRDefault="009D7B95">
            <w:pPr>
              <w:spacing w:before="0" w:line="240" w:lineRule="auto"/>
              <w:rPr>
                <w:rFonts w:asciiTheme="minorHAnsi" w:hAnsiTheme="minorHAnsi"/>
                <w:sz w:val="22"/>
                <w:szCs w:val="22"/>
              </w:rPr>
            </w:pPr>
            <w:r>
              <w:rPr>
                <w:rFonts w:asciiTheme="minorHAnsi" w:hAnsiTheme="minorHAnsi"/>
                <w:sz w:val="22"/>
                <w:szCs w:val="22"/>
              </w:rPr>
              <w:t>Gross Repair &amp; Maintenance Expenses</w:t>
            </w:r>
          </w:p>
        </w:tc>
        <w:tc>
          <w:tcPr>
            <w:tcW w:w="1083" w:type="pct"/>
            <w:tcBorders>
              <w:bottom w:val="dotted" w:sz="4" w:space="0" w:color="auto"/>
            </w:tcBorders>
            <w:shd w:val="clear" w:color="auto" w:fill="auto"/>
            <w:vAlign w:val="center"/>
            <w:hideMark/>
          </w:tcPr>
          <w:p w:rsidR="009D7B95" w:rsidRPr="006720A6" w:rsidRDefault="009D7B95" w:rsidP="006720A6">
            <w:pPr>
              <w:spacing w:before="0" w:line="240" w:lineRule="auto"/>
              <w:jc w:val="right"/>
              <w:rPr>
                <w:rFonts w:asciiTheme="minorHAnsi" w:hAnsiTheme="minorHAnsi"/>
                <w:b/>
                <w:color w:val="000000"/>
                <w:sz w:val="22"/>
                <w:szCs w:val="22"/>
              </w:rPr>
            </w:pPr>
            <w:r>
              <w:rPr>
                <w:rFonts w:asciiTheme="minorHAnsi" w:hAnsiTheme="minorHAnsi"/>
                <w:b/>
                <w:bCs/>
                <w:color w:val="000000"/>
                <w:sz w:val="22"/>
                <w:szCs w:val="22"/>
              </w:rPr>
              <w:t>53.05</w:t>
            </w:r>
          </w:p>
        </w:tc>
        <w:tc>
          <w:tcPr>
            <w:tcW w:w="955" w:type="pct"/>
            <w:tcBorders>
              <w:bottom w:val="dotted" w:sz="4" w:space="0" w:color="auto"/>
            </w:tcBorders>
            <w:shd w:val="clear" w:color="auto" w:fill="auto"/>
            <w:noWrap/>
            <w:vAlign w:val="center"/>
            <w:hideMark/>
          </w:tcPr>
          <w:p w:rsidR="009D7B95" w:rsidRPr="006720A6" w:rsidRDefault="009D7B95" w:rsidP="006720A6">
            <w:pPr>
              <w:spacing w:before="0" w:line="240" w:lineRule="auto"/>
              <w:jc w:val="right"/>
              <w:rPr>
                <w:rFonts w:asciiTheme="minorHAnsi" w:hAnsiTheme="minorHAnsi"/>
                <w:sz w:val="22"/>
                <w:szCs w:val="22"/>
              </w:rPr>
            </w:pPr>
            <w:r>
              <w:rPr>
                <w:rFonts w:cs="Arial"/>
                <w:b/>
                <w:bCs/>
                <w:color w:val="000000"/>
                <w:sz w:val="22"/>
                <w:szCs w:val="22"/>
              </w:rPr>
              <w:t xml:space="preserve">              56.42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sz w:val="22"/>
                <w:szCs w:val="22"/>
              </w:rPr>
            </w:pPr>
          </w:p>
        </w:tc>
        <w:tc>
          <w:tcPr>
            <w:tcW w:w="1083" w:type="pct"/>
            <w:tcBorders>
              <w:bottom w:val="dotted" w:sz="4" w:space="0" w:color="auto"/>
            </w:tcBorders>
            <w:shd w:val="clear" w:color="auto" w:fill="auto"/>
            <w:vAlign w:val="center"/>
            <w:hideMark/>
          </w:tcPr>
          <w:p w:rsidR="006720A6" w:rsidRPr="006720A6" w:rsidRDefault="006720A6" w:rsidP="006720A6">
            <w:pPr>
              <w:spacing w:before="0" w:line="240" w:lineRule="auto"/>
              <w:jc w:val="right"/>
              <w:rPr>
                <w:rFonts w:asciiTheme="minorHAnsi" w:hAnsiTheme="minorHAnsi"/>
                <w:bCs/>
                <w:color w:val="000000"/>
                <w:sz w:val="22"/>
                <w:szCs w:val="22"/>
              </w:rPr>
            </w:pPr>
          </w:p>
        </w:tc>
        <w:tc>
          <w:tcPr>
            <w:tcW w:w="955" w:type="pct"/>
            <w:tcBorders>
              <w:bottom w:val="dotted" w:sz="4" w:space="0" w:color="auto"/>
            </w:tcBorders>
            <w:shd w:val="clear" w:color="auto" w:fill="auto"/>
            <w:noWrap/>
            <w:vAlign w:val="center"/>
            <w:hideMark/>
          </w:tcPr>
          <w:p w:rsidR="006720A6" w:rsidRPr="006720A6" w:rsidRDefault="006720A6" w:rsidP="006720A6">
            <w:pPr>
              <w:spacing w:before="0" w:line="240" w:lineRule="auto"/>
              <w:jc w:val="right"/>
              <w:rPr>
                <w:rFonts w:asciiTheme="minorHAnsi" w:hAnsiTheme="minorHAnsi"/>
                <w:bCs/>
                <w:color w:val="000000"/>
                <w:sz w:val="22"/>
                <w:szCs w:val="22"/>
              </w:rPr>
            </w:pPr>
            <w:r w:rsidRPr="006720A6">
              <w:rPr>
                <w:rFonts w:asciiTheme="minorHAnsi" w:hAnsiTheme="minorHAnsi"/>
                <w:b/>
                <w:bCs/>
                <w:color w:val="000000"/>
                <w:sz w:val="22"/>
                <w:szCs w:val="22"/>
              </w:rPr>
              <w:t> </w:t>
            </w:r>
          </w:p>
        </w:tc>
      </w:tr>
      <w:tr w:rsidR="006720A6" w:rsidRPr="00517058" w:rsidTr="006720A6">
        <w:trPr>
          <w:trHeight w:val="300"/>
          <w:jc w:val="center"/>
        </w:trPr>
        <w:tc>
          <w:tcPr>
            <w:tcW w:w="2962" w:type="pct"/>
            <w:shd w:val="clear" w:color="auto" w:fill="auto"/>
            <w:hideMark/>
          </w:tcPr>
          <w:p w:rsidR="006720A6" w:rsidRDefault="006720A6">
            <w:pPr>
              <w:spacing w:before="0" w:line="240" w:lineRule="auto"/>
              <w:rPr>
                <w:rFonts w:asciiTheme="minorHAnsi" w:hAnsiTheme="minorHAnsi"/>
                <w:b/>
                <w:sz w:val="22"/>
                <w:szCs w:val="22"/>
              </w:rPr>
            </w:pPr>
            <w:r>
              <w:rPr>
                <w:rFonts w:asciiTheme="minorHAnsi" w:hAnsiTheme="minorHAnsi"/>
                <w:b/>
                <w:sz w:val="22"/>
                <w:szCs w:val="22"/>
              </w:rPr>
              <w:t>Total O&amp;M Expenses</w:t>
            </w:r>
          </w:p>
        </w:tc>
        <w:tc>
          <w:tcPr>
            <w:tcW w:w="1083" w:type="pct"/>
            <w:tcBorders>
              <w:bottom w:val="dotted" w:sz="4" w:space="0" w:color="auto"/>
            </w:tcBorders>
            <w:shd w:val="clear" w:color="auto" w:fill="auto"/>
            <w:vAlign w:val="center"/>
            <w:hideMark/>
          </w:tcPr>
          <w:p w:rsidR="006720A6" w:rsidRPr="006720A6" w:rsidRDefault="009D7B95" w:rsidP="006720A6">
            <w:pPr>
              <w:spacing w:before="0" w:line="240" w:lineRule="auto"/>
              <w:jc w:val="right"/>
              <w:rPr>
                <w:rFonts w:asciiTheme="minorHAnsi" w:hAnsiTheme="minorHAnsi"/>
                <w:b/>
                <w:sz w:val="22"/>
                <w:szCs w:val="22"/>
              </w:rPr>
            </w:pPr>
            <w:r>
              <w:rPr>
                <w:rFonts w:asciiTheme="minorHAnsi" w:hAnsiTheme="minorHAnsi"/>
                <w:b/>
                <w:bCs/>
                <w:color w:val="000000"/>
                <w:sz w:val="22"/>
                <w:szCs w:val="22"/>
              </w:rPr>
              <w:t>206.14</w:t>
            </w:r>
          </w:p>
        </w:tc>
        <w:tc>
          <w:tcPr>
            <w:tcW w:w="955" w:type="pct"/>
            <w:tcBorders>
              <w:bottom w:val="dotted" w:sz="4" w:space="0" w:color="auto"/>
            </w:tcBorders>
            <w:shd w:val="clear" w:color="auto" w:fill="auto"/>
            <w:noWrap/>
            <w:vAlign w:val="center"/>
            <w:hideMark/>
          </w:tcPr>
          <w:p w:rsidR="006720A6" w:rsidRPr="006720A6" w:rsidRDefault="00023318" w:rsidP="009D7B95">
            <w:pPr>
              <w:spacing w:before="0" w:line="240" w:lineRule="auto"/>
              <w:jc w:val="right"/>
              <w:rPr>
                <w:rFonts w:asciiTheme="minorHAnsi" w:hAnsiTheme="minorHAnsi"/>
                <w:sz w:val="22"/>
                <w:szCs w:val="22"/>
              </w:rPr>
            </w:pPr>
            <w:r w:rsidRPr="00023318">
              <w:rPr>
                <w:rFonts w:asciiTheme="minorHAnsi" w:hAnsiTheme="minorHAnsi"/>
                <w:b/>
                <w:bCs/>
                <w:color w:val="000000"/>
                <w:sz w:val="22"/>
                <w:szCs w:val="22"/>
              </w:rPr>
              <w:t xml:space="preserve">            </w:t>
            </w:r>
            <w:r w:rsidR="009D7B95">
              <w:rPr>
                <w:rFonts w:asciiTheme="minorHAnsi" w:hAnsiTheme="minorHAnsi"/>
                <w:b/>
                <w:bCs/>
                <w:color w:val="000000"/>
                <w:sz w:val="22"/>
                <w:szCs w:val="22"/>
              </w:rPr>
              <w:t>184.24</w:t>
            </w:r>
          </w:p>
        </w:tc>
      </w:tr>
      <w:tr w:rsidR="006720A6" w:rsidRPr="00517058" w:rsidTr="00D55642">
        <w:trPr>
          <w:trHeight w:val="300"/>
          <w:jc w:val="center"/>
        </w:trPr>
        <w:tc>
          <w:tcPr>
            <w:tcW w:w="5000" w:type="pct"/>
            <w:gridSpan w:val="3"/>
            <w:shd w:val="clear" w:color="auto" w:fill="auto"/>
            <w:vAlign w:val="center"/>
          </w:tcPr>
          <w:p w:rsidR="006720A6" w:rsidRPr="00517058" w:rsidRDefault="006720A6" w:rsidP="00D55642">
            <w:pPr>
              <w:spacing w:before="0" w:line="240" w:lineRule="auto"/>
              <w:rPr>
                <w:rFonts w:asciiTheme="minorHAnsi" w:hAnsiTheme="minorHAnsi"/>
                <w:sz w:val="22"/>
                <w:szCs w:val="22"/>
              </w:rPr>
            </w:pPr>
            <w:r>
              <w:rPr>
                <w:rFonts w:asciiTheme="minorHAnsi" w:hAnsiTheme="minorHAnsi"/>
                <w:sz w:val="22"/>
                <w:szCs w:val="22"/>
              </w:rPr>
              <w:t>#Cumulative incremental O&amp;M Expenses allocated to Employee Expenses, R&amp;M Expenses and A&amp;G Expenses</w:t>
            </w:r>
          </w:p>
        </w:tc>
      </w:tr>
    </w:tbl>
    <w:p w:rsidR="003F2D07" w:rsidRDefault="003F2D07">
      <w:pPr>
        <w:pStyle w:val="Heading3"/>
        <w:numPr>
          <w:ilvl w:val="0"/>
          <w:numId w:val="0"/>
        </w:numPr>
        <w:tabs>
          <w:tab w:val="clear" w:pos="720"/>
        </w:tabs>
        <w:spacing w:before="0" w:after="240"/>
        <w:ind w:left="993"/>
      </w:pPr>
    </w:p>
    <w:p w:rsidR="00023318" w:rsidRDefault="00C34658" w:rsidP="00023318">
      <w:pPr>
        <w:pStyle w:val="Heading3"/>
        <w:tabs>
          <w:tab w:val="clear" w:pos="720"/>
        </w:tabs>
        <w:spacing w:before="0" w:after="240"/>
        <w:ind w:left="993" w:hanging="993"/>
      </w:pPr>
      <w:r w:rsidRPr="00C60AD1">
        <w:t xml:space="preserve">Further, it is clarified that the O&amp;M expenses thus approved would be subject to Truing-up upon finalisation of audited accounts for FY </w:t>
      </w:r>
      <w:r>
        <w:t>2016-17</w:t>
      </w:r>
      <w:r w:rsidRPr="00C60AD1">
        <w:t>.</w:t>
      </w:r>
    </w:p>
    <w:p w:rsidR="00C34658" w:rsidRDefault="00C34658" w:rsidP="00BA3941">
      <w:pPr>
        <w:pStyle w:val="Heading2"/>
        <w:numPr>
          <w:ilvl w:val="1"/>
          <w:numId w:val="14"/>
        </w:numPr>
      </w:pPr>
      <w:bookmarkStart w:id="982" w:name="_Toc356322604"/>
      <w:bookmarkStart w:id="983" w:name="_Toc357718668"/>
      <w:bookmarkStart w:id="984" w:name="_Toc396573840"/>
      <w:bookmarkStart w:id="985" w:name="_Toc419992295"/>
      <w:bookmarkStart w:id="986" w:name="_Toc453367617"/>
      <w:bookmarkStart w:id="987" w:name="_Toc457355495"/>
      <w:r w:rsidRPr="00C60AD1">
        <w:t>GFA BALANCES AND CAPITAL FORMATION ASSUMPTIONS</w:t>
      </w:r>
      <w:bookmarkEnd w:id="982"/>
      <w:bookmarkEnd w:id="983"/>
      <w:bookmarkEnd w:id="984"/>
      <w:bookmarkEnd w:id="985"/>
      <w:bookmarkEnd w:id="986"/>
      <w:bookmarkEnd w:id="987"/>
    </w:p>
    <w:p w:rsidR="00023318" w:rsidRDefault="00023318" w:rsidP="00023318">
      <w:pPr>
        <w:pStyle w:val="Heading2"/>
        <w:numPr>
          <w:ilvl w:val="0"/>
          <w:numId w:val="0"/>
        </w:numPr>
        <w:ind w:left="780"/>
      </w:pPr>
    </w:p>
    <w:p w:rsidR="00023318" w:rsidRDefault="00C34658" w:rsidP="006C08CE">
      <w:pPr>
        <w:pStyle w:val="Heading3"/>
        <w:tabs>
          <w:tab w:val="clear" w:pos="720"/>
        </w:tabs>
        <w:spacing w:after="240"/>
        <w:ind w:left="993" w:hanging="993"/>
      </w:pPr>
      <w:r w:rsidRPr="00C60AD1">
        <w:t xml:space="preserve">The Petitioner has submitted that the projected capital expenditure is proposed to be funded in a debt equity mix of 70:30, which is also in line with </w:t>
      </w:r>
      <w:r w:rsidRPr="00C60AD1">
        <w:lastRenderedPageBreak/>
        <w:t xml:space="preserve">the Distribution Tariff Regulations, 2006 and established philosophy of the Commission. The Petitioner proposed the following capital expenditure for FY </w:t>
      </w:r>
      <w:r>
        <w:t>2016-17</w:t>
      </w:r>
      <w:r w:rsidRPr="00C60AD1">
        <w:t>.</w:t>
      </w:r>
    </w:p>
    <w:p w:rsidR="00C34658" w:rsidRDefault="00C34658" w:rsidP="00C34658">
      <w:pPr>
        <w:spacing w:before="0"/>
        <w:jc w:val="center"/>
        <w:rPr>
          <w:rFonts w:cs="Calibri"/>
          <w:b/>
          <w:sz w:val="22"/>
          <w:szCs w:val="22"/>
          <w:lang w:val="en-US"/>
        </w:rPr>
      </w:pPr>
      <w:bookmarkStart w:id="988" w:name="_Toc395657970"/>
      <w:bookmarkStart w:id="989" w:name="_Toc396574021"/>
      <w:bookmarkStart w:id="990" w:name="_Toc419992317"/>
      <w:bookmarkStart w:id="991" w:name="_Toc453367699"/>
      <w:bookmarkStart w:id="992" w:name="_Toc457355642"/>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18</w:t>
      </w:r>
      <w:r w:rsidR="004A2D9E" w:rsidRPr="00C60AD1">
        <w:rPr>
          <w:rFonts w:cs="Calibri"/>
          <w:b/>
          <w:sz w:val="22"/>
          <w:szCs w:val="22"/>
          <w:lang w:val="en-US"/>
        </w:rPr>
        <w:fldChar w:fldCharType="end"/>
      </w:r>
      <w:r w:rsidRPr="00C60AD1">
        <w:rPr>
          <w:rFonts w:cs="Calibri"/>
          <w:b/>
          <w:sz w:val="22"/>
          <w:szCs w:val="22"/>
          <w:lang w:val="en-US"/>
        </w:rPr>
        <w:t xml:space="preserve">: </w:t>
      </w:r>
      <w:r w:rsidR="00027D0D" w:rsidRPr="00027D0D">
        <w:rPr>
          <w:rFonts w:cs="Calibri"/>
          <w:b/>
          <w:sz w:val="22"/>
          <w:szCs w:val="22"/>
          <w:lang w:val="en-US"/>
        </w:rPr>
        <w:t>CAPITAL INVESTMENT PLAN PROPOSED</w:t>
      </w:r>
      <w:r w:rsidRPr="00C60AD1">
        <w:rPr>
          <w:rFonts w:cs="Calibri"/>
          <w:b/>
          <w:sz w:val="22"/>
          <w:szCs w:val="22"/>
          <w:lang w:val="en-US"/>
        </w:rPr>
        <w:t xml:space="preserve"> BY THE PETITIONER FOR FY </w:t>
      </w:r>
      <w:r>
        <w:rPr>
          <w:rFonts w:cs="Calibri"/>
          <w:b/>
          <w:sz w:val="22"/>
          <w:szCs w:val="22"/>
          <w:lang w:val="en-US"/>
        </w:rPr>
        <w:t>2016-17</w:t>
      </w:r>
      <w:r w:rsidRPr="00C60AD1">
        <w:rPr>
          <w:rFonts w:cs="Calibri"/>
          <w:b/>
          <w:sz w:val="22"/>
          <w:szCs w:val="22"/>
          <w:lang w:val="en-US"/>
        </w:rPr>
        <w:t xml:space="preserve"> (RS. CRORE)</w:t>
      </w:r>
      <w:bookmarkEnd w:id="988"/>
      <w:bookmarkEnd w:id="989"/>
      <w:bookmarkEnd w:id="990"/>
      <w:bookmarkEnd w:id="991"/>
      <w:bookmarkEnd w:id="992"/>
    </w:p>
    <w:tbl>
      <w:tblPr>
        <w:tblW w:w="5586" w:type="pct"/>
        <w:tblInd w:w="-10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735"/>
        <w:gridCol w:w="1378"/>
        <w:gridCol w:w="889"/>
        <w:gridCol w:w="1050"/>
        <w:gridCol w:w="985"/>
        <w:gridCol w:w="889"/>
      </w:tblGrid>
      <w:tr w:rsidR="009D7B95" w:rsidRPr="009D7B95" w:rsidTr="005E05AA">
        <w:trPr>
          <w:trHeight w:val="300"/>
          <w:tblHeader/>
        </w:trPr>
        <w:tc>
          <w:tcPr>
            <w:tcW w:w="2385" w:type="pct"/>
            <w:vMerge w:val="restar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Description</w:t>
            </w:r>
          </w:p>
        </w:tc>
        <w:tc>
          <w:tcPr>
            <w:tcW w:w="694" w:type="pct"/>
            <w:vMerge w:val="restar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Qty</w:t>
            </w:r>
          </w:p>
        </w:tc>
        <w:tc>
          <w:tcPr>
            <w:tcW w:w="1921" w:type="pct"/>
            <w:gridSpan w:val="4"/>
            <w:tcBorders>
              <w:top w:val="dotted" w:sz="4" w:space="0" w:color="auto"/>
              <w:left w:val="dotted" w:sz="4" w:space="0" w:color="auto"/>
              <w:bottom w:val="dotted" w:sz="4" w:space="0" w:color="auto"/>
              <w:right w:val="dotted" w:sz="4" w:space="0" w:color="auto"/>
            </w:tcBorders>
            <w:shd w:val="clear" w:color="auto" w:fill="DBE5F1"/>
            <w:noWrap/>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Capital Expenditure</w:t>
            </w:r>
          </w:p>
        </w:tc>
      </w:tr>
      <w:tr w:rsidR="009D7B95" w:rsidRPr="009D7B95" w:rsidTr="005E05AA">
        <w:trPr>
          <w:trHeight w:val="855"/>
          <w:tblHeader/>
        </w:trPr>
        <w:tc>
          <w:tcPr>
            <w:tcW w:w="2385" w:type="pct"/>
            <w:vMerge/>
            <w:tcBorders>
              <w:top w:val="dotted" w:sz="4" w:space="0" w:color="auto"/>
              <w:left w:val="dotted" w:sz="4" w:space="0" w:color="auto"/>
              <w:bottom w:val="dotted" w:sz="4" w:space="0" w:color="auto"/>
              <w:right w:val="dotted" w:sz="4" w:space="0" w:color="auto"/>
            </w:tcBorders>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p>
        </w:tc>
        <w:tc>
          <w:tcPr>
            <w:tcW w:w="694" w:type="pct"/>
            <w:vMerge/>
            <w:tcBorders>
              <w:top w:val="dotted" w:sz="4" w:space="0" w:color="auto"/>
              <w:left w:val="dotted" w:sz="4" w:space="0" w:color="auto"/>
              <w:bottom w:val="dotted" w:sz="4" w:space="0" w:color="auto"/>
              <w:right w:val="dotted" w:sz="4" w:space="0" w:color="auto"/>
            </w:tcBorders>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p>
        </w:tc>
        <w:tc>
          <w:tcPr>
            <w:tcW w:w="448" w:type="pc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Loans</w:t>
            </w:r>
          </w:p>
        </w:tc>
        <w:tc>
          <w:tcPr>
            <w:tcW w:w="529" w:type="pc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Equity / Internal Accruals</w:t>
            </w:r>
          </w:p>
        </w:tc>
        <w:tc>
          <w:tcPr>
            <w:tcW w:w="496" w:type="pc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Deposit Works</w:t>
            </w:r>
          </w:p>
        </w:tc>
        <w:tc>
          <w:tcPr>
            <w:tcW w:w="447" w:type="pct"/>
            <w:tcBorders>
              <w:top w:val="dotted" w:sz="4" w:space="0" w:color="auto"/>
              <w:left w:val="dotted" w:sz="4" w:space="0" w:color="auto"/>
              <w:bottom w:val="dotted" w:sz="4" w:space="0" w:color="auto"/>
              <w:right w:val="dotted" w:sz="4" w:space="0" w:color="auto"/>
            </w:tcBorders>
            <w:shd w:val="clear" w:color="auto" w:fill="DBE5F1"/>
            <w:hideMark/>
          </w:tcPr>
          <w:p w:rsidR="00023318" w:rsidRPr="00023318" w:rsidRDefault="00023318" w:rsidP="00023318">
            <w:pPr>
              <w:spacing w:before="0" w:line="240" w:lineRule="auto"/>
              <w:jc w:val="center"/>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Total</w:t>
            </w:r>
          </w:p>
        </w:tc>
      </w:tr>
      <w:tr w:rsidR="009D7B95" w:rsidRPr="009D7B95" w:rsidTr="005E05AA">
        <w:trPr>
          <w:trHeight w:val="6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Capacity Enhancement/Construction of 33/11 kV Sub-stations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0.28</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0.12</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0.40</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Damaged 33kV Breakers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5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0.09</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0.04</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0.12</w:t>
            </w:r>
          </w:p>
        </w:tc>
      </w:tr>
      <w:tr w:rsidR="009D7B95" w:rsidRPr="009D7B95" w:rsidTr="005E05AA">
        <w:trPr>
          <w:trHeight w:val="6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Damaged 11kV Incoming/Outgoing/Bus-Couplers with Breakers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0.12</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0.05</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0.18</w:t>
            </w:r>
          </w:p>
        </w:tc>
      </w:tr>
      <w:tr w:rsidR="009D7B95" w:rsidRPr="009D7B95" w:rsidTr="005E05AA">
        <w:trPr>
          <w:trHeight w:val="6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Installation of 250 KVA and 400 KVA transformers</w:t>
            </w:r>
          </w:p>
        </w:tc>
        <w:tc>
          <w:tcPr>
            <w:tcW w:w="694"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13 - 400 KVA; 64 - 250 KVA</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0.94</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0.40</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1.34</w:t>
            </w:r>
          </w:p>
        </w:tc>
      </w:tr>
      <w:tr w:rsidR="009D7B95" w:rsidRPr="009D7B95" w:rsidTr="005E05AA">
        <w:trPr>
          <w:trHeight w:val="6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Capacity enhancement of distribution transformers from 250KVA to 400 KVA</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34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0.31</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0.45</w:t>
            </w:r>
          </w:p>
        </w:tc>
      </w:tr>
      <w:tr w:rsidR="009D7B95" w:rsidRPr="009D7B95" w:rsidTr="005E05AA">
        <w:trPr>
          <w:trHeight w:val="152"/>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Installation of Aerial Bunch Conductor</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250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4.29</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1.84</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6.13</w:t>
            </w:r>
          </w:p>
        </w:tc>
      </w:tr>
      <w:tr w:rsidR="009D7B95" w:rsidRPr="009D7B95" w:rsidTr="005E05AA">
        <w:trPr>
          <w:trHeight w:val="7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Old Conductors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19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0.29</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Old Poles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770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0.31</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0.44</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33kV Line</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11.45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1.53</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0.66</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2.18</w:t>
            </w:r>
          </w:p>
        </w:tc>
      </w:tr>
      <w:tr w:rsidR="009D7B95" w:rsidRPr="009D7B95" w:rsidTr="005E05AA">
        <w:trPr>
          <w:trHeight w:val="242"/>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Construction of 33 KV  Overhead Line</w:t>
            </w:r>
          </w:p>
        </w:tc>
        <w:tc>
          <w:tcPr>
            <w:tcW w:w="694"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4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0.29</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Construction of 33 kV underground line</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10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2.64</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3.77</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Construction of 11 kV Overhead line</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17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0.47</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0.20</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0.68</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of 11Kv cables/underground cables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27.5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1.24</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0.53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1.77</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Plinth works and Fencing Works of Transformers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140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0.30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0.13</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0.43</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Guarding of 33kV and 11kV S/S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20 Kms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0.11</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0.05</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0.15</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Replacement &amp; Installation of Meters</w:t>
            </w:r>
          </w:p>
        </w:tc>
        <w:tc>
          <w:tcPr>
            <w:tcW w:w="694" w:type="pct"/>
            <w:tcBorders>
              <w:top w:val="dotted" w:sz="4" w:space="0" w:color="auto"/>
              <w:left w:val="dotted" w:sz="4" w:space="0" w:color="auto"/>
              <w:bottom w:val="dotted" w:sz="4" w:space="0" w:color="auto"/>
              <w:right w:val="dotted" w:sz="4" w:space="0" w:color="auto"/>
            </w:tcBorders>
            <w:shd w:val="clear" w:color="auto" w:fill="FFFFFF"/>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42000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1.50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0.64</w:t>
            </w:r>
          </w:p>
        </w:tc>
        <w:tc>
          <w:tcPr>
            <w:tcW w:w="496" w:type="pct"/>
            <w:tcBorders>
              <w:top w:val="dotted" w:sz="4" w:space="0" w:color="auto"/>
              <w:left w:val="dotted" w:sz="4" w:space="0" w:color="auto"/>
              <w:bottom w:val="dotted" w:sz="4" w:space="0" w:color="auto"/>
              <w:right w:val="dotted" w:sz="4" w:space="0" w:color="auto"/>
            </w:tcBorders>
            <w:shd w:val="clear" w:color="auto" w:fill="FFFFFF"/>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2.15</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vAlign w:val="center"/>
            <w:hideMark/>
          </w:tcPr>
          <w:p w:rsidR="00023318" w:rsidRPr="00023318" w:rsidRDefault="00023318" w:rsidP="00023318">
            <w:pPr>
              <w:spacing w:before="0" w:line="240" w:lineRule="auto"/>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Installation of 3 phase meters</w:t>
            </w:r>
          </w:p>
        </w:tc>
        <w:tc>
          <w:tcPr>
            <w:tcW w:w="694" w:type="pct"/>
            <w:tcBorders>
              <w:top w:val="dotted" w:sz="4" w:space="0" w:color="auto"/>
              <w:left w:val="dotted" w:sz="4" w:space="0" w:color="auto"/>
              <w:bottom w:val="dotted" w:sz="4" w:space="0" w:color="auto"/>
              <w:right w:val="dotted" w:sz="4" w:space="0" w:color="auto"/>
            </w:tcBorders>
            <w:shd w:val="clear" w:color="auto" w:fill="FFFFFF"/>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3500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0.50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0.22</w:t>
            </w:r>
          </w:p>
        </w:tc>
        <w:tc>
          <w:tcPr>
            <w:tcW w:w="496" w:type="pct"/>
            <w:tcBorders>
              <w:top w:val="dotted" w:sz="4" w:space="0" w:color="auto"/>
              <w:left w:val="dotted" w:sz="4" w:space="0" w:color="auto"/>
              <w:bottom w:val="dotted" w:sz="4" w:space="0" w:color="auto"/>
              <w:right w:val="dotted" w:sz="4" w:space="0" w:color="auto"/>
            </w:tcBorders>
            <w:shd w:val="clear" w:color="auto" w:fill="FFFFFF"/>
            <w:noWrap/>
            <w:vAlign w:val="center"/>
            <w:hideMark/>
          </w:tcPr>
          <w:p w:rsidR="00023318" w:rsidRPr="00023318" w:rsidRDefault="00023318" w:rsidP="00023318">
            <w:pPr>
              <w:spacing w:before="0" w:line="240" w:lineRule="auto"/>
              <w:jc w:val="right"/>
              <w:rPr>
                <w:rFonts w:asciiTheme="minorHAnsi" w:hAnsiTheme="minorHAnsi" w:cs="Calibri"/>
                <w:b/>
                <w:bCs/>
                <w:color w:val="000000"/>
                <w:sz w:val="22"/>
                <w:szCs w:val="22"/>
                <w:lang w:val="en-IN" w:eastAsia="en-IN"/>
              </w:rPr>
            </w:pPr>
            <w:r w:rsidRPr="00023318">
              <w:rPr>
                <w:rFonts w:asciiTheme="minorHAnsi" w:hAnsiTheme="minorHAnsi" w:cs="Calibri"/>
                <w:b/>
                <w:bCs/>
                <w:color w:val="000000"/>
                <w:sz w:val="22"/>
                <w:szCs w:val="22"/>
                <w:lang w:val="en-IN" w:eastAsia="en-IN"/>
              </w:rPr>
              <w:t>0.00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0.72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Checking of Meters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50000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0.50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0.21</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0.72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Double Metering of Consumers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b/>
                <w:bCs/>
                <w:sz w:val="22"/>
                <w:szCs w:val="22"/>
                <w:lang w:val="en-IN" w:eastAsia="en-IN"/>
              </w:rPr>
            </w:pPr>
            <w:r w:rsidRPr="00023318">
              <w:rPr>
                <w:rFonts w:asciiTheme="minorHAnsi" w:hAnsiTheme="minorHAnsi" w:cs="Calibri"/>
                <w:b/>
                <w:bCs/>
                <w:sz w:val="22"/>
                <w:szCs w:val="22"/>
                <w:lang w:val="en-IN" w:eastAsia="en-IN"/>
              </w:rPr>
              <w:t>(a) LT Meters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1000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0.50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0.21</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0.72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(b) HT Meters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171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0.36</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0.15</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0.52</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Purchase and Installation of L.P.R</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1500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0.04</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0.14</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Investment on the new Online Billing Centers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5 Nos</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0.04</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0.14</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Business Plan</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sz w:val="22"/>
                <w:szCs w:val="22"/>
              </w:rPr>
            </w:pP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71.75</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30.75</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102.50</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Underground Cable Works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sz w:val="22"/>
                <w:szCs w:val="22"/>
              </w:rPr>
            </w:pP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50.40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21.60</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72.00</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System Improvement</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NA</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0.82</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0.35</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1.18</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sz w:val="22"/>
                <w:szCs w:val="22"/>
                <w:lang w:val="en-IN" w:eastAsia="en-IN"/>
              </w:rPr>
            </w:pPr>
            <w:r w:rsidRPr="00023318">
              <w:rPr>
                <w:rFonts w:asciiTheme="minorHAnsi" w:hAnsiTheme="minorHAnsi" w:cs="Calibri"/>
                <w:sz w:val="22"/>
                <w:szCs w:val="22"/>
                <w:lang w:val="en-IN" w:eastAsia="en-IN"/>
              </w:rPr>
              <w:lastRenderedPageBreak/>
              <w:t>Deposit Works</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NA</w:t>
            </w: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0</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4.44</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sz w:val="22"/>
                <w:szCs w:val="22"/>
                <w:lang w:val="en-IN" w:eastAsia="en-IN"/>
              </w:rPr>
            </w:pPr>
            <w:r w:rsidRPr="00023318">
              <w:rPr>
                <w:rFonts w:asciiTheme="minorHAnsi" w:hAnsiTheme="minorHAnsi" w:cs="Calibri"/>
                <w:sz w:val="22"/>
                <w:szCs w:val="22"/>
                <w:lang w:val="en-IN" w:eastAsia="en-IN"/>
              </w:rPr>
              <w:t>4.44</w:t>
            </w:r>
          </w:p>
        </w:tc>
      </w:tr>
      <w:tr w:rsidR="009D7B95" w:rsidRPr="009D7B95" w:rsidTr="005E05AA">
        <w:trPr>
          <w:trHeight w:val="300"/>
        </w:trPr>
        <w:tc>
          <w:tcPr>
            <w:tcW w:w="2385"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rPr>
                <w:rFonts w:asciiTheme="minorHAnsi" w:hAnsiTheme="minorHAnsi" w:cs="Calibri"/>
                <w:b/>
                <w:sz w:val="22"/>
                <w:szCs w:val="22"/>
                <w:lang w:val="en-IN" w:eastAsia="en-IN"/>
              </w:rPr>
            </w:pPr>
            <w:r w:rsidRPr="00023318">
              <w:rPr>
                <w:rFonts w:asciiTheme="minorHAnsi" w:hAnsiTheme="minorHAnsi" w:cs="Calibri"/>
                <w:b/>
                <w:sz w:val="22"/>
                <w:szCs w:val="22"/>
                <w:lang w:val="en-IN" w:eastAsia="en-IN"/>
              </w:rPr>
              <w:t>Total</w:t>
            </w:r>
          </w:p>
        </w:tc>
        <w:tc>
          <w:tcPr>
            <w:tcW w:w="694"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sz w:val="22"/>
                <w:szCs w:val="22"/>
              </w:rPr>
            </w:pPr>
          </w:p>
        </w:tc>
        <w:tc>
          <w:tcPr>
            <w:tcW w:w="448"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b/>
                <w:sz w:val="22"/>
                <w:szCs w:val="22"/>
                <w:lang w:val="en-IN" w:eastAsia="en-IN"/>
              </w:rPr>
            </w:pPr>
            <w:r w:rsidRPr="00023318">
              <w:rPr>
                <w:rFonts w:asciiTheme="minorHAnsi" w:hAnsiTheme="minorHAnsi" w:cs="Calibri"/>
                <w:b/>
                <w:sz w:val="22"/>
                <w:szCs w:val="22"/>
                <w:lang w:val="en-IN" w:eastAsia="en-IN"/>
              </w:rPr>
              <w:t>139.76</w:t>
            </w:r>
          </w:p>
        </w:tc>
        <w:tc>
          <w:tcPr>
            <w:tcW w:w="529"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b/>
                <w:sz w:val="22"/>
                <w:szCs w:val="22"/>
                <w:lang w:val="en-IN" w:eastAsia="en-IN"/>
              </w:rPr>
            </w:pPr>
            <w:r w:rsidRPr="00023318">
              <w:rPr>
                <w:rFonts w:asciiTheme="minorHAnsi" w:hAnsiTheme="minorHAnsi" w:cs="Calibri"/>
                <w:b/>
                <w:sz w:val="22"/>
                <w:szCs w:val="22"/>
                <w:lang w:val="en-IN" w:eastAsia="en-IN"/>
              </w:rPr>
              <w:t>59.90</w:t>
            </w:r>
          </w:p>
        </w:tc>
        <w:tc>
          <w:tcPr>
            <w:tcW w:w="496"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b/>
                <w:sz w:val="22"/>
                <w:szCs w:val="22"/>
                <w:lang w:val="en-IN" w:eastAsia="en-IN"/>
              </w:rPr>
            </w:pPr>
            <w:r w:rsidRPr="00023318">
              <w:rPr>
                <w:rFonts w:asciiTheme="minorHAnsi" w:hAnsiTheme="minorHAnsi" w:cs="Calibri"/>
                <w:b/>
                <w:sz w:val="22"/>
                <w:szCs w:val="22"/>
                <w:lang w:val="en-IN" w:eastAsia="en-IN"/>
              </w:rPr>
              <w:t>4.44</w:t>
            </w:r>
          </w:p>
        </w:tc>
        <w:tc>
          <w:tcPr>
            <w:tcW w:w="447" w:type="pct"/>
            <w:tcBorders>
              <w:top w:val="dotted" w:sz="4" w:space="0" w:color="auto"/>
              <w:left w:val="dotted" w:sz="4" w:space="0" w:color="auto"/>
              <w:bottom w:val="dotted" w:sz="4" w:space="0" w:color="auto"/>
              <w:right w:val="dotted" w:sz="4" w:space="0" w:color="auto"/>
            </w:tcBorders>
            <w:noWrap/>
            <w:vAlign w:val="center"/>
            <w:hideMark/>
          </w:tcPr>
          <w:p w:rsidR="00023318" w:rsidRPr="00023318" w:rsidRDefault="00023318" w:rsidP="00023318">
            <w:pPr>
              <w:spacing w:before="0" w:line="240" w:lineRule="auto"/>
              <w:jc w:val="right"/>
              <w:rPr>
                <w:rFonts w:asciiTheme="minorHAnsi" w:hAnsiTheme="minorHAnsi" w:cs="Calibri"/>
                <w:b/>
                <w:sz w:val="22"/>
                <w:szCs w:val="22"/>
                <w:lang w:val="en-IN" w:eastAsia="en-IN"/>
              </w:rPr>
            </w:pPr>
            <w:r w:rsidRPr="00023318">
              <w:rPr>
                <w:rFonts w:asciiTheme="minorHAnsi" w:hAnsiTheme="minorHAnsi" w:cs="Calibri"/>
                <w:b/>
                <w:sz w:val="22"/>
                <w:szCs w:val="22"/>
                <w:lang w:val="en-IN" w:eastAsia="en-IN"/>
              </w:rPr>
              <w:t>204.09</w:t>
            </w:r>
          </w:p>
        </w:tc>
      </w:tr>
    </w:tbl>
    <w:p w:rsidR="00023318" w:rsidRDefault="00023318" w:rsidP="00023318">
      <w:pPr>
        <w:spacing w:before="0"/>
        <w:rPr>
          <w:rFonts w:cs="Calibri"/>
          <w:b/>
          <w:sz w:val="22"/>
          <w:szCs w:val="22"/>
          <w:lang w:val="en-US"/>
        </w:rPr>
      </w:pPr>
    </w:p>
    <w:p w:rsidR="00023318" w:rsidRDefault="00C34658" w:rsidP="00023318">
      <w:pPr>
        <w:pStyle w:val="Heading3"/>
        <w:tabs>
          <w:tab w:val="clear" w:pos="720"/>
        </w:tabs>
        <w:spacing w:before="0"/>
        <w:ind w:left="993" w:hanging="993"/>
      </w:pPr>
      <w:r w:rsidRPr="00C60AD1">
        <w:t xml:space="preserve">The Petitioner submitted that the following assumptions were used for projecting GFA and CWIP for FY </w:t>
      </w:r>
      <w:r>
        <w:t>2016-17</w:t>
      </w:r>
      <w:r w:rsidRPr="00C60AD1">
        <w:t>:</w:t>
      </w:r>
    </w:p>
    <w:p w:rsidR="003267CD" w:rsidRDefault="003267CD">
      <w:pPr>
        <w:pStyle w:val="Heading3"/>
        <w:numPr>
          <w:ilvl w:val="0"/>
          <w:numId w:val="0"/>
        </w:numPr>
        <w:tabs>
          <w:tab w:val="clear" w:pos="720"/>
        </w:tabs>
        <w:spacing w:before="0"/>
        <w:ind w:left="993"/>
      </w:pPr>
    </w:p>
    <w:p w:rsidR="00C34658" w:rsidRPr="001E77B8" w:rsidRDefault="00C34658" w:rsidP="00EC6AAC">
      <w:pPr>
        <w:pStyle w:val="ListParagraph"/>
        <w:numPr>
          <w:ilvl w:val="0"/>
          <w:numId w:val="59"/>
        </w:numPr>
        <w:spacing w:before="0" w:after="120"/>
        <w:rPr>
          <w:rFonts w:cs="Calibri"/>
        </w:rPr>
      </w:pPr>
      <w:r w:rsidRPr="008B0C65">
        <w:rPr>
          <w:rFonts w:cs="Calibri"/>
        </w:rPr>
        <w:t>The opening GFA and CWIP for FY 2015-16 have been taken as per the closing figures from provisional annual accounts of FY 2014-15.</w:t>
      </w:r>
    </w:p>
    <w:p w:rsidR="00C34658" w:rsidRPr="001E77B8" w:rsidRDefault="00C34658" w:rsidP="00EC6AAC">
      <w:pPr>
        <w:pStyle w:val="ListParagraph"/>
        <w:numPr>
          <w:ilvl w:val="0"/>
          <w:numId w:val="59"/>
        </w:numPr>
        <w:spacing w:before="0" w:after="120"/>
        <w:rPr>
          <w:rFonts w:cs="Calibri"/>
        </w:rPr>
      </w:pPr>
      <w:r w:rsidRPr="008B0C65">
        <w:rPr>
          <w:rFonts w:cs="Calibri"/>
        </w:rPr>
        <w:t>40% of the opening CWIP and 40% of investment made during the year, expenses capitalized &amp; interest capitalized (40% of total investment) has been assumed to get capitalized during the year.</w:t>
      </w:r>
    </w:p>
    <w:p w:rsidR="00C34658" w:rsidRPr="001E77B8" w:rsidRDefault="00C34658" w:rsidP="00EC6AAC">
      <w:pPr>
        <w:pStyle w:val="ListParagraph"/>
        <w:numPr>
          <w:ilvl w:val="0"/>
          <w:numId w:val="59"/>
        </w:numPr>
        <w:spacing w:before="0" w:after="120"/>
        <w:rPr>
          <w:rFonts w:cs="Calibri"/>
        </w:rPr>
      </w:pPr>
      <w:r w:rsidRPr="008B0C65">
        <w:rPr>
          <w:rFonts w:cs="Calibri"/>
        </w:rPr>
        <w:t>Investment through “deposit work “has been taken for capital formation. However depreciation there</w:t>
      </w:r>
      <w:r w:rsidR="009D7B95">
        <w:rPr>
          <w:rFonts w:cs="Calibri"/>
        </w:rPr>
        <w:t xml:space="preserve"> </w:t>
      </w:r>
      <w:r w:rsidRPr="008B0C65">
        <w:rPr>
          <w:rFonts w:cs="Calibri"/>
        </w:rPr>
        <w:t xml:space="preserve">on has not been charged to the ARR in line with the policy adopted by </w:t>
      </w:r>
      <w:r>
        <w:rPr>
          <w:rFonts w:cs="Calibri"/>
        </w:rPr>
        <w:t>the</w:t>
      </w:r>
      <w:r w:rsidRPr="008B0C65">
        <w:rPr>
          <w:rFonts w:cs="Calibri"/>
        </w:rPr>
        <w:t xml:space="preserve"> Commission in its </w:t>
      </w:r>
      <w:r>
        <w:rPr>
          <w:rFonts w:cs="Calibri"/>
        </w:rPr>
        <w:t>previous</w:t>
      </w:r>
      <w:r w:rsidRPr="008B0C65">
        <w:rPr>
          <w:rFonts w:cs="Calibri"/>
        </w:rPr>
        <w:t xml:space="preserve"> Tariff Orders.</w:t>
      </w:r>
    </w:p>
    <w:p w:rsidR="00023318" w:rsidRDefault="00772FCA" w:rsidP="00023318">
      <w:pPr>
        <w:pStyle w:val="Heading3"/>
        <w:tabs>
          <w:tab w:val="clear" w:pos="720"/>
        </w:tabs>
        <w:spacing w:after="240"/>
        <w:ind w:left="993" w:hanging="993"/>
      </w:pPr>
      <w:r w:rsidRPr="00772FCA">
        <w:t>The capital investment for FY 201</w:t>
      </w:r>
      <w:r w:rsidR="00270329" w:rsidRPr="00270329">
        <w:t>6</w:t>
      </w:r>
      <w:r w:rsidR="000745B1">
        <w:t>-17</w:t>
      </w:r>
      <w:r w:rsidRPr="00772FCA">
        <w:t xml:space="preserve"> has been pegged at Rs. </w:t>
      </w:r>
      <w:r w:rsidR="006118FD" w:rsidRPr="006118FD">
        <w:t>204.09</w:t>
      </w:r>
      <w:r w:rsidR="00023318" w:rsidRPr="00023318">
        <w:t xml:space="preserve"> Crore out of which, deposit works have been envisaged at Rs. 4.44 Crore.</w:t>
      </w:r>
    </w:p>
    <w:p w:rsidR="00023318" w:rsidRDefault="00C34658" w:rsidP="00023318">
      <w:pPr>
        <w:pStyle w:val="Heading3"/>
        <w:tabs>
          <w:tab w:val="clear" w:pos="720"/>
        </w:tabs>
        <w:spacing w:after="240"/>
        <w:ind w:left="993" w:hanging="993"/>
      </w:pPr>
      <w:r w:rsidRPr="008B0C65">
        <w:t>The capital investment plan (net of deposit works) has been projected to be funded in the ratio of 70:30 (debt to equity).</w:t>
      </w:r>
    </w:p>
    <w:p w:rsidR="00023318" w:rsidRDefault="00C34658" w:rsidP="00023318">
      <w:pPr>
        <w:pStyle w:val="Heading3"/>
        <w:tabs>
          <w:tab w:val="clear" w:pos="720"/>
        </w:tabs>
        <w:spacing w:after="240"/>
        <w:ind w:left="993" w:hanging="993"/>
      </w:pPr>
      <w:r w:rsidRPr="00C60AD1">
        <w:t>With a view to approve realistic levels of gross fixed asset (GFA) balance, and consequent tariff components such as depreciation, interest on loan and return on equity, the Commission has referred to the gross fixed asset balances, capital additions, capital deletions, capital work in progress balances, etc., up to FY 2014</w:t>
      </w:r>
      <w:r>
        <w:t>-15</w:t>
      </w:r>
      <w:r w:rsidRPr="00C60AD1">
        <w:t xml:space="preserve"> as per the provisional accounts for FY 2014</w:t>
      </w:r>
      <w:r>
        <w:t>-15</w:t>
      </w:r>
      <w:r w:rsidRPr="00C60AD1">
        <w:t xml:space="preserve"> as also considered by the Licensee in its Petition.</w:t>
      </w:r>
    </w:p>
    <w:p w:rsidR="00023318" w:rsidRDefault="00C34658" w:rsidP="00023318">
      <w:pPr>
        <w:pStyle w:val="Heading3"/>
        <w:tabs>
          <w:tab w:val="clear" w:pos="720"/>
        </w:tabs>
        <w:spacing w:after="240"/>
        <w:ind w:left="993" w:hanging="993"/>
        <w:rPr>
          <w:bCs w:val="0"/>
        </w:rPr>
      </w:pPr>
      <w:r w:rsidRPr="00C60AD1">
        <w:t xml:space="preserve">The Commission has finalised the philosophy for capital investments and capital additions in the Tariff Order dated </w:t>
      </w:r>
      <w:r w:rsidRPr="00C60AD1">
        <w:rPr>
          <w:bCs w:val="0"/>
        </w:rPr>
        <w:t>May</w:t>
      </w:r>
      <w:r>
        <w:rPr>
          <w:bCs w:val="0"/>
        </w:rPr>
        <w:t xml:space="preserve"> 31</w:t>
      </w:r>
      <w:r w:rsidRPr="00C60AD1">
        <w:rPr>
          <w:bCs w:val="0"/>
        </w:rPr>
        <w:t>, 2013 as below:</w:t>
      </w:r>
    </w:p>
    <w:p w:rsidR="00C34658" w:rsidRDefault="00C34658" w:rsidP="00C34658">
      <w:pPr>
        <w:pStyle w:val="Heading4"/>
        <w:numPr>
          <w:ilvl w:val="0"/>
          <w:numId w:val="0"/>
        </w:numPr>
        <w:spacing w:before="0"/>
        <w:ind w:left="993"/>
        <w:rPr>
          <w:bCs w:val="0"/>
          <w:i/>
        </w:rPr>
      </w:pPr>
      <w:r w:rsidRPr="00C60AD1">
        <w:rPr>
          <w:i/>
        </w:rPr>
        <w:t>“...The Commission has observed that the capital investment claimed by the Licensee is not in strict accordan</w:t>
      </w:r>
      <w:r w:rsidRPr="00C60AD1">
        <w:rPr>
          <w:bCs w:val="0"/>
          <w:i/>
        </w:rPr>
        <w:t>ce with the Distribution Tariff Regulations. In order to reprimand the Licensee, the Commission disallows 30% of the capital investment claimed in the ARR / Tariff Petition....”</w:t>
      </w:r>
    </w:p>
    <w:p w:rsidR="00C34658" w:rsidRPr="00C60AD1" w:rsidRDefault="00C34658" w:rsidP="00C34658">
      <w:pPr>
        <w:pStyle w:val="Heading4"/>
        <w:numPr>
          <w:ilvl w:val="0"/>
          <w:numId w:val="0"/>
        </w:numPr>
        <w:spacing w:before="0"/>
        <w:ind w:left="993"/>
        <w:rPr>
          <w:bCs w:val="0"/>
          <w:i/>
        </w:rPr>
      </w:pPr>
    </w:p>
    <w:p w:rsidR="00023318" w:rsidRDefault="00C34658" w:rsidP="00023318">
      <w:pPr>
        <w:pStyle w:val="Heading3"/>
        <w:tabs>
          <w:tab w:val="clear" w:pos="720"/>
        </w:tabs>
        <w:spacing w:after="240"/>
        <w:ind w:left="993" w:hanging="993"/>
      </w:pPr>
      <w:r w:rsidRPr="00C60AD1">
        <w:t xml:space="preserve">Regulation 4.5 of Distribution Tariff Regulation, 2006 stipulates as below: </w:t>
      </w:r>
    </w:p>
    <w:p w:rsidR="00C34658" w:rsidRPr="00C60AD1" w:rsidRDefault="00C34658" w:rsidP="00C34658">
      <w:pPr>
        <w:rPr>
          <w:b/>
        </w:rPr>
      </w:pPr>
      <w:r w:rsidRPr="00C60AD1">
        <w:rPr>
          <w:rFonts w:eastAsiaTheme="minorEastAsia"/>
        </w:rPr>
        <w:tab/>
      </w:r>
      <w:r w:rsidRPr="00C60AD1">
        <w:rPr>
          <w:rFonts w:eastAsiaTheme="minorEastAsia"/>
          <w:b/>
        </w:rPr>
        <w:t>“4.5 Capital Investment Plan:</w:t>
      </w:r>
    </w:p>
    <w:p w:rsidR="00C34658" w:rsidRPr="00C60AD1" w:rsidRDefault="00C34658" w:rsidP="00C34658">
      <w:pPr>
        <w:pStyle w:val="ListParagraph"/>
        <w:ind w:left="1260"/>
        <w:rPr>
          <w:i/>
        </w:rPr>
      </w:pPr>
      <w:r w:rsidRPr="00C60AD1">
        <w:rPr>
          <w:i/>
        </w:rPr>
        <w:t xml:space="preserve">1. The licensee shall in its ARR/Tariff filing identify projects for the ensuing financial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&amp; system reliability, metering, communication, computerization, etc. </w:t>
      </w:r>
    </w:p>
    <w:p w:rsidR="00C34658" w:rsidRPr="00C60AD1" w:rsidRDefault="00C34658" w:rsidP="00C34658">
      <w:pPr>
        <w:pStyle w:val="ListParagraph"/>
        <w:ind w:left="1260"/>
        <w:rPr>
          <w:i/>
        </w:rPr>
      </w:pPr>
      <w:r w:rsidRPr="00C60AD1">
        <w:rPr>
          <w:i/>
        </w:rPr>
        <w:t>2. The Commission shall consider and approve the licensee’s capital investment plan, subject to prudence check. The costs corresponding to the approved investment plan of the licensee for a given year shall be considered for determining its annual revenue requirement. Provided that prior approval would not be required in cases where the normal distribution projects cost is below 1 Crs.</w:t>
      </w:r>
    </w:p>
    <w:p w:rsidR="00C34658" w:rsidRPr="00C60AD1" w:rsidRDefault="00C34658" w:rsidP="00C34658">
      <w:pPr>
        <w:pStyle w:val="ListParagraph"/>
        <w:ind w:left="1260"/>
        <w:rPr>
          <w:i/>
        </w:rPr>
      </w:pPr>
      <w:r w:rsidRPr="00C60AD1">
        <w:rPr>
          <w:i/>
        </w:rPr>
        <w:t>3. The detailed capital investment plan shall separately show ongoing projects that will spill into the year under review, and new projects that will commence but may be completed within or beyond the tariff period. For the new projects, the filing must provide the justification as stipulated under investment guidelines of the Commission.</w:t>
      </w:r>
    </w:p>
    <w:p w:rsidR="00C34658" w:rsidRPr="00C60AD1" w:rsidRDefault="00C34658" w:rsidP="00C34658">
      <w:pPr>
        <w:pStyle w:val="ListParagraph"/>
        <w:ind w:left="1260"/>
        <w:rPr>
          <w:i/>
        </w:rPr>
      </w:pPr>
      <w:r w:rsidRPr="00C60AD1">
        <w:rPr>
          <w:i/>
        </w:rPr>
        <w:t>...........</w:t>
      </w:r>
    </w:p>
    <w:p w:rsidR="00C34658" w:rsidRPr="00C60AD1" w:rsidRDefault="00C34658" w:rsidP="00C34658">
      <w:pPr>
        <w:pStyle w:val="ListParagraph"/>
        <w:ind w:left="1260"/>
        <w:rPr>
          <w:i/>
        </w:rPr>
      </w:pPr>
      <w:r w:rsidRPr="00C60AD1">
        <w:rPr>
          <w:i/>
        </w:rPr>
        <w:t>7. The Licensee shall provide Project Completion Report in respect of those projects for which prior approval has been sought from the Commission, as and when they achieve the Commercial Operation.</w:t>
      </w:r>
    </w:p>
    <w:p w:rsidR="00C34658" w:rsidRPr="00C60AD1" w:rsidRDefault="00C34658" w:rsidP="00C34658">
      <w:pPr>
        <w:pStyle w:val="ListParagraph"/>
        <w:ind w:left="1260"/>
        <w:rPr>
          <w:i/>
        </w:rPr>
      </w:pPr>
      <w:r w:rsidRPr="00C60AD1">
        <w:rPr>
          <w:i/>
        </w:rPr>
        <w:t xml:space="preserve">8. Capitalisation of works by the Licensee will be linked to the physical completion of the works. </w:t>
      </w:r>
      <w:r w:rsidRPr="00C60AD1">
        <w:rPr>
          <w:b/>
          <w:i/>
        </w:rPr>
        <w:t xml:space="preserve">The Commission will not accept any capitalisation that does not have work completion certificates and the work is put to beneficial use of consumers. </w:t>
      </w:r>
    </w:p>
    <w:p w:rsidR="00C34658" w:rsidRPr="00C60AD1" w:rsidRDefault="00C34658" w:rsidP="00C34658">
      <w:pPr>
        <w:pStyle w:val="ListParagraph"/>
        <w:ind w:left="1260"/>
        <w:rPr>
          <w:i/>
        </w:rPr>
      </w:pPr>
      <w:r w:rsidRPr="00C60AD1">
        <w:rPr>
          <w:i/>
        </w:rPr>
        <w:t>9. The Licensee will maintain asset registers at each operating circle/ division that will capture all necessary details on the asset, including the cost incurred, date of commissioning, location of asset, and all other technical details.”</w:t>
      </w:r>
      <w:r w:rsidR="00A822B1">
        <w:rPr>
          <w:i/>
        </w:rPr>
        <w:t xml:space="preserve"> </w:t>
      </w:r>
      <w:r w:rsidR="00A822B1" w:rsidRPr="00C60AD1">
        <w:rPr>
          <w:b/>
          <w:i/>
        </w:rPr>
        <w:t>(Emphasis added)</w:t>
      </w:r>
    </w:p>
    <w:p w:rsidR="00023318" w:rsidRDefault="00C34658" w:rsidP="00023318">
      <w:pPr>
        <w:pStyle w:val="Heading3"/>
        <w:tabs>
          <w:tab w:val="clear" w:pos="720"/>
        </w:tabs>
        <w:spacing w:after="240"/>
        <w:ind w:left="993" w:hanging="993"/>
      </w:pPr>
      <w:r w:rsidRPr="00C60AD1">
        <w:lastRenderedPageBreak/>
        <w:t xml:space="preserve">For FY </w:t>
      </w:r>
      <w:r>
        <w:t>2016-17</w:t>
      </w:r>
      <w:r w:rsidRPr="00C60AD1">
        <w:t xml:space="preserve"> also, the Commission observed that the capital investment claimed by the Licensee is not in strict accordance with the Distribution Tariff Regulations, 2006 as reproduced above and hence, based on the philosophy adopted by the Commission in its Order dated </w:t>
      </w:r>
      <w:r w:rsidR="00E00E94">
        <w:t>June 18, 2015</w:t>
      </w:r>
      <w:r w:rsidRPr="00C60AD1">
        <w:t>, approves 70% of capital investment proposed by the Petitioner.</w:t>
      </w:r>
    </w:p>
    <w:p w:rsidR="00023318" w:rsidRDefault="00C34658" w:rsidP="00023318">
      <w:pPr>
        <w:pStyle w:val="Heading3"/>
        <w:tabs>
          <w:tab w:val="clear" w:pos="720"/>
        </w:tabs>
        <w:spacing w:after="240"/>
        <w:ind w:left="993" w:hanging="993"/>
      </w:pPr>
      <w:r w:rsidRPr="00C60AD1">
        <w:t xml:space="preserve">The capitalisation of expenses and interest has been considered as detailed in the sections dealing with O&amp;M expenses and Interest on long term loans. Further, in line with the methodology adopted by the Commission in its Order dated </w:t>
      </w:r>
      <w:r w:rsidR="00E00E94">
        <w:t>June 18, 2015</w:t>
      </w:r>
      <w:r w:rsidRPr="00C60AD1">
        <w:t xml:space="preserve">, 40% of the total investments including opening CWIP, expenses and interest capitalisation during the year have been projected to be capitalised in FY </w:t>
      </w:r>
      <w:r>
        <w:t>2016-17</w:t>
      </w:r>
      <w:r w:rsidRPr="00C60AD1">
        <w:t>.</w:t>
      </w:r>
    </w:p>
    <w:p w:rsidR="00023318" w:rsidRDefault="00C34658" w:rsidP="00023318">
      <w:pPr>
        <w:pStyle w:val="Heading3"/>
        <w:tabs>
          <w:tab w:val="clear" w:pos="720"/>
        </w:tabs>
        <w:spacing w:after="240"/>
        <w:ind w:left="993" w:hanging="993"/>
      </w:pPr>
      <w:r w:rsidRPr="00C60AD1">
        <w:t xml:space="preserve">Accordingly, the details of Capitalisation and Work-in-progress up to FY </w:t>
      </w:r>
      <w:r>
        <w:t>2016-17</w:t>
      </w:r>
      <w:r w:rsidRPr="00C60AD1">
        <w:t xml:space="preserve"> are shown in the Table below:</w:t>
      </w:r>
    </w:p>
    <w:p w:rsidR="00C34658" w:rsidRPr="00C60AD1" w:rsidRDefault="00C34658" w:rsidP="00C34658">
      <w:pPr>
        <w:spacing w:before="0"/>
        <w:jc w:val="center"/>
        <w:rPr>
          <w:rFonts w:cs="Calibri"/>
          <w:b/>
          <w:sz w:val="22"/>
          <w:szCs w:val="22"/>
          <w:lang w:val="en-US"/>
        </w:rPr>
      </w:pPr>
      <w:bookmarkStart w:id="993" w:name="_Toc338310710"/>
      <w:bookmarkStart w:id="994" w:name="_Toc338419540"/>
      <w:bookmarkStart w:id="995" w:name="_Toc357718747"/>
      <w:bookmarkStart w:id="996" w:name="_Toc396574022"/>
      <w:bookmarkStart w:id="997" w:name="_Toc419992318"/>
      <w:bookmarkStart w:id="998" w:name="_Toc453367700"/>
      <w:bookmarkStart w:id="999" w:name="_Toc457355643"/>
      <w:r w:rsidRPr="00C60AD1">
        <w:rPr>
          <w:rFonts w:cs="Calibri"/>
          <w:b/>
          <w:sz w:val="22"/>
          <w:szCs w:val="22"/>
          <w:lang w:val="en-US"/>
        </w:rPr>
        <w:t xml:space="preserve">TABLE </w:t>
      </w:r>
      <w:r w:rsidR="004A2D9E" w:rsidRPr="00C60AD1">
        <w:rPr>
          <w:rFonts w:cs="Calibri"/>
          <w:b/>
          <w:sz w:val="22"/>
          <w:szCs w:val="22"/>
          <w:lang w:val="en-US"/>
        </w:rPr>
        <w:fldChar w:fldCharType="begin"/>
      </w:r>
      <w:r w:rsidRPr="00C60AD1">
        <w:rPr>
          <w:rFonts w:cs="Calibri"/>
          <w:b/>
          <w:sz w:val="22"/>
          <w:szCs w:val="22"/>
          <w:lang w:val="en-US"/>
        </w:rPr>
        <w:instrText xml:space="preserve"> STYLEREF 1 \s </w:instrText>
      </w:r>
      <w:r w:rsidR="004A2D9E" w:rsidRPr="00C60AD1">
        <w:rPr>
          <w:rFonts w:cs="Calibri"/>
          <w:b/>
          <w:sz w:val="22"/>
          <w:szCs w:val="22"/>
          <w:lang w:val="en-US"/>
        </w:rPr>
        <w:fldChar w:fldCharType="separate"/>
      </w:r>
      <w:r w:rsidR="0011185B">
        <w:rPr>
          <w:rFonts w:cs="Calibri"/>
          <w:b/>
          <w:noProof/>
          <w:sz w:val="22"/>
          <w:szCs w:val="22"/>
          <w:lang w:val="en-US"/>
        </w:rPr>
        <w:t>5</w:t>
      </w:r>
      <w:r w:rsidR="004A2D9E" w:rsidRPr="00C60AD1">
        <w:rPr>
          <w:rFonts w:cs="Calibri"/>
          <w:b/>
          <w:sz w:val="22"/>
          <w:szCs w:val="22"/>
          <w:lang w:val="en-US"/>
        </w:rPr>
        <w:fldChar w:fldCharType="end"/>
      </w:r>
      <w:r w:rsidRPr="00C60AD1">
        <w:rPr>
          <w:rFonts w:cs="Calibri"/>
          <w:b/>
          <w:sz w:val="22"/>
          <w:szCs w:val="22"/>
          <w:lang w:val="en-US"/>
        </w:rPr>
        <w:noBreakHyphen/>
      </w:r>
      <w:r w:rsidR="004A2D9E" w:rsidRPr="00C60AD1">
        <w:rPr>
          <w:rFonts w:cs="Calibri"/>
          <w:b/>
          <w:sz w:val="22"/>
          <w:szCs w:val="22"/>
          <w:lang w:val="en-US"/>
        </w:rPr>
        <w:fldChar w:fldCharType="begin"/>
      </w:r>
      <w:r w:rsidRPr="00C60AD1">
        <w:rPr>
          <w:rFonts w:cs="Calibri"/>
          <w:b/>
          <w:sz w:val="22"/>
          <w:szCs w:val="22"/>
          <w:lang w:val="en-US"/>
        </w:rPr>
        <w:instrText xml:space="preserve"> SEQ Table \* ARABIC \s 1 </w:instrText>
      </w:r>
      <w:r w:rsidR="004A2D9E" w:rsidRPr="00C60AD1">
        <w:rPr>
          <w:rFonts w:cs="Calibri"/>
          <w:b/>
          <w:sz w:val="22"/>
          <w:szCs w:val="22"/>
          <w:lang w:val="en-US"/>
        </w:rPr>
        <w:fldChar w:fldCharType="separate"/>
      </w:r>
      <w:r w:rsidR="0011185B">
        <w:rPr>
          <w:rFonts w:cs="Calibri"/>
          <w:b/>
          <w:noProof/>
          <w:sz w:val="22"/>
          <w:szCs w:val="22"/>
          <w:lang w:val="en-US"/>
        </w:rPr>
        <w:t>19</w:t>
      </w:r>
      <w:r w:rsidR="004A2D9E" w:rsidRPr="00C60AD1">
        <w:rPr>
          <w:rFonts w:cs="Calibri"/>
          <w:b/>
          <w:sz w:val="22"/>
          <w:szCs w:val="22"/>
          <w:lang w:val="en-US"/>
        </w:rPr>
        <w:fldChar w:fldCharType="end"/>
      </w:r>
      <w:r w:rsidRPr="00C60AD1">
        <w:rPr>
          <w:rFonts w:cs="Calibri"/>
          <w:b/>
          <w:sz w:val="22"/>
          <w:szCs w:val="22"/>
          <w:lang w:val="en-US"/>
        </w:rPr>
        <w:t>:</w:t>
      </w:r>
      <w:bookmarkStart w:id="1000" w:name="_Toc395657971"/>
      <w:r w:rsidRPr="00C60AD1">
        <w:rPr>
          <w:rFonts w:cs="Calibri"/>
          <w:b/>
          <w:sz w:val="22"/>
          <w:szCs w:val="22"/>
          <w:lang w:val="en-US"/>
        </w:rPr>
        <w:t xml:space="preserve"> CAPITALISATION &amp; WIP UP TO FY </w:t>
      </w:r>
      <w:r>
        <w:rPr>
          <w:rFonts w:cs="Calibri"/>
          <w:b/>
          <w:sz w:val="22"/>
          <w:szCs w:val="22"/>
          <w:lang w:val="en-US"/>
        </w:rPr>
        <w:t>2016-17</w:t>
      </w:r>
      <w:r w:rsidRPr="00C60AD1">
        <w:rPr>
          <w:rFonts w:cs="Calibri"/>
          <w:b/>
          <w:sz w:val="22"/>
          <w:szCs w:val="22"/>
          <w:lang w:val="en-US"/>
        </w:rPr>
        <w:t xml:space="preserve"> (Rs. Crore)</w:t>
      </w:r>
      <w:bookmarkEnd w:id="993"/>
      <w:bookmarkEnd w:id="994"/>
      <w:bookmarkEnd w:id="995"/>
      <w:bookmarkEnd w:id="996"/>
      <w:bookmarkEnd w:id="997"/>
      <w:bookmarkEnd w:id="998"/>
      <w:bookmarkEnd w:id="999"/>
      <w:bookmarkEnd w:id="1000"/>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076"/>
        <w:gridCol w:w="1702"/>
        <w:gridCol w:w="1701"/>
        <w:gridCol w:w="1406"/>
      </w:tblGrid>
      <w:tr w:rsidR="00C34658" w:rsidRPr="007C689B" w:rsidTr="007C689B">
        <w:trPr>
          <w:trHeight w:val="600"/>
          <w:tblHeader/>
          <w:jc w:val="center"/>
        </w:trPr>
        <w:tc>
          <w:tcPr>
            <w:tcW w:w="2294"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Particulars</w:t>
            </w:r>
          </w:p>
        </w:tc>
        <w:tc>
          <w:tcPr>
            <w:tcW w:w="958"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Derivation</w:t>
            </w:r>
          </w:p>
        </w:tc>
        <w:tc>
          <w:tcPr>
            <w:tcW w:w="957" w:type="pct"/>
            <w:shd w:val="clear" w:color="000000" w:fill="DBE5F1"/>
            <w:noWrap/>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ARR Petition</w:t>
            </w:r>
          </w:p>
        </w:tc>
        <w:tc>
          <w:tcPr>
            <w:tcW w:w="791" w:type="pct"/>
            <w:shd w:val="clear" w:color="000000" w:fill="DBE5F1"/>
            <w:hideMark/>
          </w:tcPr>
          <w:p w:rsidR="003267CD" w:rsidRDefault="00027D0D">
            <w:pPr>
              <w:spacing w:before="0" w:line="240" w:lineRule="auto"/>
              <w:jc w:val="center"/>
              <w:rPr>
                <w:rFonts w:asciiTheme="minorHAnsi" w:hAnsiTheme="minorHAnsi"/>
                <w:b/>
                <w:sz w:val="22"/>
              </w:rPr>
            </w:pPr>
            <w:r w:rsidRPr="00027D0D">
              <w:rPr>
                <w:rFonts w:asciiTheme="minorHAnsi" w:hAnsiTheme="minorHAnsi"/>
                <w:b/>
                <w:sz w:val="22"/>
              </w:rPr>
              <w:t>FY 2016-17</w:t>
            </w:r>
            <w:r w:rsidRPr="00027D0D">
              <w:rPr>
                <w:rFonts w:asciiTheme="minorHAnsi" w:hAnsiTheme="minorHAnsi"/>
                <w:b/>
                <w:sz w:val="22"/>
              </w:rPr>
              <w:br/>
              <w:t>Approved</w:t>
            </w:r>
          </w:p>
        </w:tc>
      </w:tr>
      <w:tr w:rsidR="009D7B95" w:rsidRPr="007C689B" w:rsidTr="009D7B95">
        <w:trPr>
          <w:trHeight w:val="269"/>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Opening WIP  as on 1</w:t>
            </w:r>
            <w:r w:rsidRPr="00027D0D">
              <w:rPr>
                <w:rFonts w:asciiTheme="minorHAnsi" w:hAnsiTheme="minorHAnsi"/>
                <w:sz w:val="22"/>
                <w:vertAlign w:val="superscript"/>
              </w:rPr>
              <w:t>st</w:t>
            </w:r>
            <w:r w:rsidRPr="00027D0D">
              <w:rPr>
                <w:rFonts w:asciiTheme="minorHAnsi" w:hAnsiTheme="minorHAnsi"/>
                <w:sz w:val="22"/>
              </w:rPr>
              <w:t xml:space="preserve"> April</w:t>
            </w:r>
          </w:p>
        </w:tc>
        <w:tc>
          <w:tcPr>
            <w:tcW w:w="958" w:type="pct"/>
            <w:shd w:val="clear" w:color="auto" w:fill="auto"/>
            <w:noWrap/>
            <w:vAlign w:val="center"/>
            <w:hideMark/>
          </w:tcPr>
          <w:p w:rsidR="009D7B95" w:rsidRPr="007132A6" w:rsidRDefault="009D7B95"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166.76</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115.84</w:t>
            </w:r>
          </w:p>
        </w:tc>
      </w:tr>
      <w:tr w:rsidR="009D7B95" w:rsidRPr="007C689B" w:rsidTr="009D7B95">
        <w:trPr>
          <w:trHeight w:val="305"/>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Investments</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sz w:val="22"/>
                <w:szCs w:val="18"/>
              </w:rPr>
            </w:pPr>
            <w:r w:rsidRPr="00027D0D">
              <w:rPr>
                <w:rFonts w:asciiTheme="minorHAnsi" w:hAnsiTheme="minorHAnsi"/>
                <w:sz w:val="22"/>
              </w:rPr>
              <w:t>B</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204.27</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142.99</w:t>
            </w:r>
          </w:p>
        </w:tc>
      </w:tr>
      <w:tr w:rsidR="009D7B95" w:rsidRPr="007C689B" w:rsidTr="009D7B95">
        <w:trPr>
          <w:trHeight w:val="350"/>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Employee Expenses Capitalisation</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sz w:val="22"/>
                <w:szCs w:val="18"/>
              </w:rPr>
            </w:pPr>
            <w:r w:rsidRPr="00027D0D">
              <w:rPr>
                <w:rFonts w:asciiTheme="minorHAnsi" w:hAnsiTheme="minorHAnsi"/>
                <w:sz w:val="22"/>
              </w:rPr>
              <w:t>C</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17.82</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21.18</w:t>
            </w:r>
          </w:p>
        </w:tc>
      </w:tr>
      <w:tr w:rsidR="009D7B95" w:rsidRPr="007C689B" w:rsidTr="009D7B95">
        <w:trPr>
          <w:trHeight w:val="341"/>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A&amp;G Expenses Capitalisation</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sz w:val="22"/>
                <w:szCs w:val="18"/>
              </w:rPr>
            </w:pPr>
            <w:r w:rsidRPr="00027D0D">
              <w:rPr>
                <w:rFonts w:asciiTheme="minorHAnsi" w:hAnsiTheme="minorHAnsi"/>
                <w:sz w:val="22"/>
              </w:rPr>
              <w:t>D</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9.20</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1.38</w:t>
            </w:r>
          </w:p>
        </w:tc>
      </w:tr>
      <w:tr w:rsidR="009D7B95" w:rsidRPr="007C689B" w:rsidTr="009D7B95">
        <w:trPr>
          <w:trHeight w:val="600"/>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Interest Capitalisation on Interest on long term loans</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sz w:val="22"/>
                <w:szCs w:val="18"/>
              </w:rPr>
            </w:pPr>
            <w:r w:rsidRPr="00027D0D">
              <w:rPr>
                <w:rFonts w:asciiTheme="minorHAnsi" w:hAnsiTheme="minorHAnsi"/>
                <w:sz w:val="22"/>
              </w:rPr>
              <w:t>E</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4.27</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sz w:val="22"/>
                <w:szCs w:val="22"/>
              </w:rPr>
              <w:t>2.44</w:t>
            </w:r>
          </w:p>
        </w:tc>
      </w:tr>
      <w:tr w:rsidR="009D7B95" w:rsidRPr="007C689B" w:rsidTr="009D7B95">
        <w:trPr>
          <w:trHeight w:val="359"/>
          <w:jc w:val="center"/>
        </w:trPr>
        <w:tc>
          <w:tcPr>
            <w:tcW w:w="2294" w:type="pct"/>
            <w:shd w:val="clear" w:color="auto" w:fill="auto"/>
            <w:vAlign w:val="center"/>
            <w:hideMark/>
          </w:tcPr>
          <w:p w:rsidR="009D7B95" w:rsidRDefault="009D7B95">
            <w:pPr>
              <w:spacing w:before="0" w:line="240" w:lineRule="auto"/>
              <w:rPr>
                <w:rFonts w:asciiTheme="minorHAnsi" w:hAnsiTheme="minorHAnsi"/>
                <w:b/>
                <w:sz w:val="22"/>
              </w:rPr>
            </w:pPr>
            <w:r w:rsidRPr="00027D0D">
              <w:rPr>
                <w:rFonts w:asciiTheme="minorHAnsi" w:hAnsiTheme="minorHAnsi"/>
                <w:b/>
                <w:sz w:val="22"/>
              </w:rPr>
              <w:t>Total Investments</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b/>
                <w:sz w:val="22"/>
              </w:rPr>
            </w:pPr>
            <w:r w:rsidRPr="00027D0D">
              <w:rPr>
                <w:rFonts w:asciiTheme="minorHAnsi" w:hAnsiTheme="minorHAnsi"/>
                <w:b/>
                <w:sz w:val="22"/>
              </w:rPr>
              <w:t>F= A+B+C+D+E</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b/>
                <w:bCs/>
                <w:sz w:val="22"/>
                <w:szCs w:val="22"/>
              </w:rPr>
              <w:t>402.31</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b/>
                <w:bCs/>
                <w:sz w:val="22"/>
                <w:szCs w:val="22"/>
              </w:rPr>
              <w:t>283.83</w:t>
            </w:r>
          </w:p>
        </w:tc>
      </w:tr>
      <w:tr w:rsidR="009D7B95" w:rsidRPr="007C689B" w:rsidTr="009D7B95">
        <w:trPr>
          <w:trHeight w:val="350"/>
          <w:jc w:val="center"/>
        </w:trPr>
        <w:tc>
          <w:tcPr>
            <w:tcW w:w="2294" w:type="pct"/>
            <w:shd w:val="clear" w:color="auto" w:fill="auto"/>
            <w:vAlign w:val="center"/>
            <w:hideMark/>
          </w:tcPr>
          <w:p w:rsidR="009D7B95" w:rsidRDefault="009D7B95">
            <w:pPr>
              <w:spacing w:before="0" w:line="240" w:lineRule="auto"/>
              <w:rPr>
                <w:rFonts w:asciiTheme="minorHAnsi" w:hAnsiTheme="minorHAnsi"/>
                <w:sz w:val="22"/>
                <w:szCs w:val="18"/>
              </w:rPr>
            </w:pPr>
            <w:r w:rsidRPr="00027D0D">
              <w:rPr>
                <w:rFonts w:asciiTheme="minorHAnsi" w:hAnsiTheme="minorHAnsi"/>
                <w:sz w:val="22"/>
              </w:rPr>
              <w:t>Transferred to GFA (Total Capitalisation)</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sz w:val="22"/>
                <w:szCs w:val="18"/>
              </w:rPr>
            </w:pPr>
            <w:r w:rsidRPr="00027D0D">
              <w:rPr>
                <w:rFonts w:asciiTheme="minorHAnsi" w:hAnsiTheme="minorHAnsi"/>
                <w:sz w:val="22"/>
              </w:rPr>
              <w:t>G=F*40%</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color w:val="000000"/>
                <w:sz w:val="22"/>
                <w:szCs w:val="22"/>
              </w:rPr>
              <w:t>160.92</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color w:val="000000"/>
                <w:sz w:val="22"/>
                <w:szCs w:val="22"/>
              </w:rPr>
              <w:t>113.53</w:t>
            </w:r>
          </w:p>
        </w:tc>
      </w:tr>
      <w:tr w:rsidR="009D7B95" w:rsidRPr="007C689B" w:rsidTr="009D7B95">
        <w:trPr>
          <w:trHeight w:val="341"/>
          <w:jc w:val="center"/>
        </w:trPr>
        <w:tc>
          <w:tcPr>
            <w:tcW w:w="2294" w:type="pct"/>
            <w:shd w:val="clear" w:color="auto" w:fill="auto"/>
            <w:vAlign w:val="center"/>
            <w:hideMark/>
          </w:tcPr>
          <w:p w:rsidR="009D7B95" w:rsidRDefault="009D7B95">
            <w:pPr>
              <w:spacing w:before="0" w:line="240" w:lineRule="auto"/>
              <w:rPr>
                <w:rFonts w:asciiTheme="minorHAnsi" w:hAnsiTheme="minorHAnsi"/>
                <w:b/>
                <w:sz w:val="22"/>
              </w:rPr>
            </w:pPr>
            <w:r w:rsidRPr="00027D0D">
              <w:rPr>
                <w:rFonts w:asciiTheme="minorHAnsi" w:hAnsiTheme="minorHAnsi"/>
                <w:b/>
                <w:sz w:val="22"/>
              </w:rPr>
              <w:t>Closing WIP</w:t>
            </w:r>
          </w:p>
        </w:tc>
        <w:tc>
          <w:tcPr>
            <w:tcW w:w="958" w:type="pct"/>
            <w:shd w:val="clear" w:color="auto" w:fill="auto"/>
            <w:noWrap/>
            <w:vAlign w:val="center"/>
            <w:hideMark/>
          </w:tcPr>
          <w:p w:rsidR="009D7B95" w:rsidRPr="007C689B" w:rsidRDefault="009D7B95" w:rsidP="00D55642">
            <w:pPr>
              <w:spacing w:before="0" w:line="240" w:lineRule="auto"/>
              <w:jc w:val="center"/>
              <w:rPr>
                <w:rFonts w:asciiTheme="minorHAnsi" w:hAnsiTheme="minorHAnsi"/>
                <w:b/>
                <w:sz w:val="22"/>
              </w:rPr>
            </w:pPr>
            <w:r w:rsidRPr="00027D0D">
              <w:rPr>
                <w:rFonts w:asciiTheme="minorHAnsi" w:hAnsiTheme="minorHAnsi"/>
                <w:b/>
                <w:sz w:val="22"/>
              </w:rPr>
              <w:t>H = F-G</w:t>
            </w:r>
          </w:p>
        </w:tc>
        <w:tc>
          <w:tcPr>
            <w:tcW w:w="957" w:type="pct"/>
            <w:shd w:val="clear" w:color="auto" w:fill="auto"/>
            <w:noWrap/>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b/>
                <w:bCs/>
                <w:color w:val="000000"/>
                <w:sz w:val="22"/>
                <w:szCs w:val="22"/>
              </w:rPr>
              <w:t>241.39</w:t>
            </w:r>
          </w:p>
        </w:tc>
        <w:tc>
          <w:tcPr>
            <w:tcW w:w="791" w:type="pct"/>
            <w:shd w:val="clear" w:color="auto" w:fill="auto"/>
            <w:vAlign w:val="center"/>
            <w:hideMark/>
          </w:tcPr>
          <w:p w:rsidR="009D7B95" w:rsidRPr="009D7B95" w:rsidRDefault="00023318" w:rsidP="009D7B95">
            <w:pPr>
              <w:spacing w:before="0" w:line="240" w:lineRule="auto"/>
              <w:jc w:val="right"/>
              <w:rPr>
                <w:rFonts w:asciiTheme="minorHAnsi" w:hAnsiTheme="minorHAnsi"/>
                <w:sz w:val="22"/>
              </w:rPr>
            </w:pPr>
            <w:r w:rsidRPr="00023318">
              <w:rPr>
                <w:rFonts w:asciiTheme="minorHAnsi" w:hAnsiTheme="minorHAnsi" w:cs="Arial"/>
                <w:b/>
                <w:bCs/>
                <w:color w:val="000000"/>
                <w:sz w:val="22"/>
                <w:szCs w:val="22"/>
              </w:rPr>
              <w:t>170.30</w:t>
            </w:r>
          </w:p>
        </w:tc>
      </w:tr>
    </w:tbl>
    <w:p w:rsidR="00C34658" w:rsidRPr="00C60AD1" w:rsidRDefault="00C34658" w:rsidP="00C34658">
      <w:pPr>
        <w:keepNext/>
        <w:spacing w:before="0"/>
        <w:outlineLvl w:val="1"/>
        <w:rPr>
          <w:rFonts w:cs="Calibri"/>
          <w:b/>
          <w:bCs/>
          <w:color w:val="000000"/>
        </w:rPr>
      </w:pPr>
      <w:bookmarkStart w:id="1001" w:name="_Toc357274230"/>
      <w:bookmarkStart w:id="1002" w:name="_Toc357718669"/>
      <w:bookmarkStart w:id="1003" w:name="_Toc356322605"/>
    </w:p>
    <w:p w:rsidR="00C34658" w:rsidRPr="00C60AD1" w:rsidRDefault="00C34658" w:rsidP="00BA3941">
      <w:pPr>
        <w:pStyle w:val="Heading2"/>
        <w:numPr>
          <w:ilvl w:val="1"/>
          <w:numId w:val="14"/>
        </w:numPr>
      </w:pPr>
      <w:bookmarkStart w:id="1004" w:name="_Toc396573841"/>
      <w:bookmarkStart w:id="1005" w:name="_Toc419992296"/>
      <w:bookmarkStart w:id="1006" w:name="_Toc453367618"/>
      <w:bookmarkStart w:id="1007" w:name="_Toc457355496"/>
      <w:r w:rsidRPr="00C60AD1">
        <w:t>FINANCING OF THE CAPITAL INVESTMENT</w:t>
      </w:r>
      <w:bookmarkEnd w:id="1001"/>
      <w:bookmarkEnd w:id="1002"/>
      <w:bookmarkEnd w:id="1004"/>
      <w:bookmarkEnd w:id="1005"/>
      <w:bookmarkEnd w:id="1006"/>
      <w:bookmarkEnd w:id="1007"/>
    </w:p>
    <w:p w:rsidR="00023318" w:rsidRDefault="00C34658" w:rsidP="00023318">
      <w:pPr>
        <w:pStyle w:val="Heading3"/>
        <w:tabs>
          <w:tab w:val="clear" w:pos="720"/>
        </w:tabs>
        <w:spacing w:after="240"/>
        <w:ind w:left="993" w:hanging="993"/>
      </w:pPr>
      <w:r w:rsidRPr="00C60AD1">
        <w:t>The</w:t>
      </w:r>
      <w:r w:rsidRPr="00C60AD1">
        <w:rPr>
          <w:rFonts w:cs="Calibri"/>
        </w:rPr>
        <w:t xml:space="preserve"> Petitioner submitted that it has considered a normative ratio of 70:30. Considering this approach, 70% of the capital expenditure undertaken in any year has been considered to be financed through loan and balance 30% has been considered to be financed through equity contributions. The portion of capital expenditure financed throug</w:t>
      </w:r>
      <w:r w:rsidRPr="00C60AD1">
        <w:t xml:space="preserve">h consumer contribution, capital subsidies and grants has been separated as the depreciation and interest thereon would not be charged to the beneficiaries. </w:t>
      </w:r>
    </w:p>
    <w:p w:rsidR="00023318" w:rsidRDefault="00C34658" w:rsidP="00023318">
      <w:pPr>
        <w:pStyle w:val="Heading3"/>
        <w:tabs>
          <w:tab w:val="clear" w:pos="720"/>
        </w:tabs>
        <w:spacing w:after="240"/>
        <w:ind w:left="993" w:hanging="993"/>
        <w:rPr>
          <w:rFonts w:cs="Calibri"/>
        </w:rPr>
      </w:pPr>
      <w:r w:rsidRPr="008B0C65">
        <w:lastRenderedPageBreak/>
        <w:t>The Petitioner further submitted that the amounts received as consumer contributions, capita</w:t>
      </w:r>
      <w:r w:rsidRPr="008B0C65">
        <w:rPr>
          <w:rFonts w:cs="Calibri"/>
        </w:rPr>
        <w:t xml:space="preserve">l </w:t>
      </w:r>
      <w:r w:rsidRPr="008B0C65">
        <w:t>subsidies</w:t>
      </w:r>
      <w:r w:rsidRPr="008B0C65">
        <w:rPr>
          <w:rFonts w:cs="Calibri"/>
        </w:rPr>
        <w:t xml:space="preserve"> and grants are traced from the provisional accounts for FY 2014-15. Further, the consumer contributions, capital subsidies and grants for FY 2015-16 and 2016-17 have been considered to be in the same ratio to the total investments, as received by it in FY 2014-15.</w:t>
      </w:r>
    </w:p>
    <w:p w:rsidR="00023318" w:rsidRDefault="00977E3B" w:rsidP="00023318">
      <w:pPr>
        <w:pStyle w:val="Heading3"/>
        <w:tabs>
          <w:tab w:val="clear" w:pos="720"/>
        </w:tabs>
        <w:spacing w:after="240"/>
        <w:ind w:left="993" w:hanging="993"/>
      </w:pPr>
      <w:r w:rsidRPr="001C25B2">
        <w:t>The Petitioner has adopted a normative approach with a gearing of 70:30 which is in line with the methodology adopted by the Commission in the previous Orders. Accordingly, on similar lines,</w:t>
      </w:r>
      <w:r>
        <w:t xml:space="preserve"> t</w:t>
      </w:r>
      <w:r w:rsidR="00C34658" w:rsidRPr="008B0C65">
        <w:t>he Commission</w:t>
      </w:r>
      <w:r>
        <w:t xml:space="preserve"> </w:t>
      </w:r>
      <w:r w:rsidR="00C34658" w:rsidRPr="008B0C65">
        <w:t>has re-worked the portion of capital expenditure financed through consumer contribution</w:t>
      </w:r>
      <w:r w:rsidR="00D22A98">
        <w:t xml:space="preserve">, </w:t>
      </w:r>
      <w:r w:rsidR="00C34658" w:rsidRPr="008B0C65">
        <w:t>capital grants and subsidies. The Trued-up closing balance of consumer contribution, capital grants and subsidies of FY 2013-14 based on the audited accounts has been considered and subsequent additions in FY 2014-15 as per the provisional accounts have been considered to arrive at the opening amount of consumer contribution, capital grants and subsidies</w:t>
      </w:r>
      <w:r w:rsidR="00C34658" w:rsidRPr="00A1175B">
        <w:t>.</w:t>
      </w:r>
    </w:p>
    <w:p w:rsidR="00023318" w:rsidRDefault="00C34658" w:rsidP="00023318">
      <w:pPr>
        <w:pStyle w:val="Heading3"/>
        <w:tabs>
          <w:tab w:val="clear" w:pos="720"/>
        </w:tabs>
        <w:spacing w:before="0" w:after="240"/>
        <w:ind w:left="993" w:hanging="993"/>
      </w:pPr>
      <w:r w:rsidRPr="008B0C65">
        <w:t>Since, the Commission has reduced the 30% of capital investment claimed by the Petitioner, the same treatment has been given to the additions to the consumer contribution, capital grants and subsidies and accordingly the Commission has allowed only 70% of the total additions in consumer contribution, capital grants and subsidies claimed by the Petitioner in the ARR / Tariff Petition for FY 2016-17.</w:t>
      </w:r>
    </w:p>
    <w:p w:rsidR="00023318" w:rsidRDefault="00C34658" w:rsidP="00023318">
      <w:pPr>
        <w:pStyle w:val="Heading3"/>
        <w:tabs>
          <w:tab w:val="clear" w:pos="720"/>
        </w:tabs>
        <w:spacing w:after="240"/>
        <w:ind w:left="993" w:hanging="993"/>
      </w:pPr>
      <w:r w:rsidRPr="00C60AD1">
        <w:t xml:space="preserve">The Table below summarises the amounts considered towards consumer contributions, capital grants and subsidies up to FY </w:t>
      </w:r>
      <w:r>
        <w:t>2016-17</w:t>
      </w:r>
      <w:r w:rsidRPr="00C60AD1">
        <w:t>:</w:t>
      </w:r>
    </w:p>
    <w:p w:rsidR="00C34658" w:rsidRPr="006C08CE" w:rsidRDefault="00C34658" w:rsidP="00C34658">
      <w:pPr>
        <w:jc w:val="center"/>
        <w:rPr>
          <w:rFonts w:cstheme="minorHAnsi"/>
          <w:b/>
          <w:sz w:val="22"/>
        </w:rPr>
      </w:pPr>
      <w:bookmarkStart w:id="1008" w:name="_Toc356913133"/>
      <w:bookmarkStart w:id="1009" w:name="_Toc357274497"/>
      <w:bookmarkStart w:id="1010" w:name="_Toc357718748"/>
      <w:bookmarkStart w:id="1011" w:name="_Toc395657972"/>
      <w:bookmarkStart w:id="1012" w:name="_Toc396574023"/>
      <w:bookmarkStart w:id="1013" w:name="_Toc419992319"/>
      <w:bookmarkStart w:id="1014" w:name="_Toc453367701"/>
      <w:bookmarkStart w:id="1015" w:name="_Toc457355644"/>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20</w:t>
      </w:r>
      <w:r w:rsidR="004A2D9E" w:rsidRPr="006C08CE">
        <w:rPr>
          <w:rFonts w:cstheme="minorHAnsi"/>
          <w:b/>
          <w:sz w:val="22"/>
        </w:rPr>
        <w:fldChar w:fldCharType="end"/>
      </w:r>
      <w:r w:rsidRPr="006C08CE">
        <w:rPr>
          <w:rFonts w:cstheme="minorHAnsi"/>
          <w:b/>
          <w:sz w:val="22"/>
        </w:rPr>
        <w:t>: CONSUMER CONTRIBUTIONS, CAPITAL GRANTS AND SUBSIDIES CONSIDERED UP TO FY 2016-17 (Rs. Crore)</w:t>
      </w:r>
      <w:bookmarkEnd w:id="1008"/>
      <w:bookmarkEnd w:id="1009"/>
      <w:bookmarkEnd w:id="1010"/>
      <w:bookmarkEnd w:id="1011"/>
      <w:bookmarkEnd w:id="1012"/>
      <w:bookmarkEnd w:id="1013"/>
      <w:bookmarkEnd w:id="1014"/>
      <w:bookmarkEnd w:id="1015"/>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248"/>
        <w:gridCol w:w="1349"/>
        <w:gridCol w:w="1621"/>
        <w:gridCol w:w="1667"/>
      </w:tblGrid>
      <w:tr w:rsidR="00C34658" w:rsidRPr="00DF182F" w:rsidTr="00DF182F">
        <w:trPr>
          <w:trHeight w:val="600"/>
          <w:tblHeader/>
          <w:jc w:val="center"/>
        </w:trPr>
        <w:tc>
          <w:tcPr>
            <w:tcW w:w="239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759"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912"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938"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4705AC" w:rsidRPr="00DF182F" w:rsidTr="004705AC">
        <w:trPr>
          <w:cantSplit/>
          <w:trHeight w:val="854"/>
          <w:jc w:val="center"/>
        </w:trPr>
        <w:tc>
          <w:tcPr>
            <w:tcW w:w="2391" w:type="pct"/>
            <w:shd w:val="clear" w:color="auto" w:fill="auto"/>
            <w:vAlign w:val="center"/>
            <w:hideMark/>
          </w:tcPr>
          <w:p w:rsidR="004705AC" w:rsidRDefault="004705AC" w:rsidP="007132A6">
            <w:pPr>
              <w:spacing w:before="0" w:line="240" w:lineRule="auto"/>
              <w:rPr>
                <w:rFonts w:asciiTheme="minorHAnsi" w:hAnsiTheme="minorHAnsi"/>
                <w:b/>
                <w:sz w:val="22"/>
                <w:szCs w:val="22"/>
              </w:rPr>
            </w:pPr>
            <w:r w:rsidRPr="00027D0D">
              <w:rPr>
                <w:rFonts w:asciiTheme="minorHAnsi" w:hAnsiTheme="minorHAnsi"/>
                <w:sz w:val="22"/>
                <w:szCs w:val="22"/>
              </w:rPr>
              <w:t>Opening Balance of Consumer Contributions, Grants and Subsidies towards Cost of Capital Assets</w:t>
            </w:r>
          </w:p>
        </w:tc>
        <w:tc>
          <w:tcPr>
            <w:tcW w:w="759"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12" w:type="pct"/>
            <w:shd w:val="clear" w:color="auto" w:fill="auto"/>
            <w:noWrap/>
            <w:vAlign w:val="center"/>
            <w:hideMark/>
          </w:tcPr>
          <w:p w:rsidR="004705AC" w:rsidRPr="003E5900" w:rsidRDefault="004705AC" w:rsidP="007132A6">
            <w:pPr>
              <w:spacing w:before="0" w:line="240" w:lineRule="auto"/>
              <w:jc w:val="right"/>
              <w:rPr>
                <w:rFonts w:asciiTheme="minorHAnsi" w:hAnsiTheme="minorHAnsi"/>
                <w:b/>
                <w:sz w:val="22"/>
                <w:szCs w:val="22"/>
              </w:rPr>
            </w:pPr>
            <w:r>
              <w:rPr>
                <w:rFonts w:asciiTheme="minorHAnsi" w:hAnsiTheme="minorHAnsi"/>
                <w:sz w:val="22"/>
                <w:szCs w:val="22"/>
              </w:rPr>
              <w:t>154.37</w:t>
            </w:r>
          </w:p>
        </w:tc>
        <w:tc>
          <w:tcPr>
            <w:tcW w:w="93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201.02 </w:t>
            </w:r>
          </w:p>
        </w:tc>
      </w:tr>
      <w:tr w:rsidR="004705AC" w:rsidRPr="00DF182F" w:rsidTr="004705AC">
        <w:trPr>
          <w:trHeight w:val="323"/>
          <w:jc w:val="center"/>
        </w:trPr>
        <w:tc>
          <w:tcPr>
            <w:tcW w:w="2391" w:type="pct"/>
            <w:shd w:val="clear" w:color="auto" w:fill="auto"/>
            <w:vAlign w:val="center"/>
            <w:hideMark/>
          </w:tcPr>
          <w:p w:rsidR="004705AC" w:rsidRDefault="004705AC" w:rsidP="007132A6">
            <w:pPr>
              <w:spacing w:before="0" w:line="240" w:lineRule="auto"/>
              <w:rPr>
                <w:rFonts w:asciiTheme="minorHAnsi" w:hAnsiTheme="minorHAnsi"/>
                <w:b/>
                <w:sz w:val="22"/>
                <w:szCs w:val="22"/>
              </w:rPr>
            </w:pPr>
            <w:r w:rsidRPr="00027D0D">
              <w:rPr>
                <w:rFonts w:asciiTheme="minorHAnsi" w:hAnsiTheme="minorHAnsi"/>
                <w:sz w:val="22"/>
                <w:szCs w:val="22"/>
              </w:rPr>
              <w:t>Additions during the year</w:t>
            </w:r>
          </w:p>
        </w:tc>
        <w:tc>
          <w:tcPr>
            <w:tcW w:w="759"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rPr>
            </w:pPr>
            <w:r w:rsidRPr="007132A6">
              <w:rPr>
                <w:rFonts w:asciiTheme="minorHAnsi" w:hAnsiTheme="minorHAnsi"/>
                <w:sz w:val="22"/>
              </w:rPr>
              <w:t>B</w:t>
            </w:r>
          </w:p>
        </w:tc>
        <w:tc>
          <w:tcPr>
            <w:tcW w:w="912" w:type="pct"/>
            <w:shd w:val="clear" w:color="auto" w:fill="auto"/>
            <w:noWrap/>
            <w:vAlign w:val="center"/>
            <w:hideMark/>
          </w:tcPr>
          <w:p w:rsidR="004705AC" w:rsidRPr="003E5900" w:rsidRDefault="004705AC" w:rsidP="007132A6">
            <w:pPr>
              <w:spacing w:before="0" w:line="240" w:lineRule="auto"/>
              <w:jc w:val="right"/>
              <w:rPr>
                <w:rFonts w:asciiTheme="minorHAnsi" w:hAnsiTheme="minorHAnsi"/>
                <w:b/>
                <w:sz w:val="22"/>
                <w:szCs w:val="22"/>
              </w:rPr>
            </w:pPr>
            <w:r>
              <w:rPr>
                <w:rFonts w:asciiTheme="minorHAnsi" w:hAnsiTheme="minorHAnsi"/>
                <w:color w:val="000000"/>
                <w:sz w:val="22"/>
                <w:szCs w:val="22"/>
              </w:rPr>
              <w:t>20.00</w:t>
            </w:r>
          </w:p>
        </w:tc>
        <w:tc>
          <w:tcPr>
            <w:tcW w:w="93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14.00 </w:t>
            </w:r>
          </w:p>
        </w:tc>
      </w:tr>
      <w:tr w:rsidR="004705AC" w:rsidRPr="00DF182F" w:rsidTr="004705AC">
        <w:trPr>
          <w:trHeight w:val="323"/>
          <w:jc w:val="center"/>
        </w:trPr>
        <w:tc>
          <w:tcPr>
            <w:tcW w:w="2391" w:type="pct"/>
            <w:shd w:val="clear" w:color="auto" w:fill="auto"/>
            <w:vAlign w:val="center"/>
            <w:hideMark/>
          </w:tcPr>
          <w:p w:rsidR="004705AC" w:rsidRDefault="004705AC" w:rsidP="007132A6">
            <w:pPr>
              <w:spacing w:before="0" w:line="240" w:lineRule="auto"/>
              <w:rPr>
                <w:rFonts w:asciiTheme="minorHAnsi" w:hAnsiTheme="minorHAnsi"/>
                <w:b/>
                <w:sz w:val="22"/>
                <w:szCs w:val="22"/>
              </w:rPr>
            </w:pPr>
            <w:r w:rsidRPr="00027D0D">
              <w:rPr>
                <w:rFonts w:asciiTheme="minorHAnsi" w:hAnsiTheme="minorHAnsi"/>
                <w:sz w:val="22"/>
                <w:szCs w:val="22"/>
              </w:rPr>
              <w:t>Less: Amortization (Depreciation on assets created out of Consumer Contribution)</w:t>
            </w:r>
          </w:p>
        </w:tc>
        <w:tc>
          <w:tcPr>
            <w:tcW w:w="759"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rPr>
            </w:pPr>
            <w:r w:rsidRPr="007132A6">
              <w:rPr>
                <w:rFonts w:asciiTheme="minorHAnsi" w:hAnsiTheme="minorHAnsi"/>
                <w:sz w:val="22"/>
              </w:rPr>
              <w:t>C</w:t>
            </w:r>
          </w:p>
        </w:tc>
        <w:tc>
          <w:tcPr>
            <w:tcW w:w="912" w:type="pct"/>
            <w:shd w:val="clear" w:color="auto" w:fill="auto"/>
            <w:noWrap/>
            <w:vAlign w:val="center"/>
            <w:hideMark/>
          </w:tcPr>
          <w:p w:rsidR="004705AC" w:rsidRPr="003E5900" w:rsidRDefault="004705AC" w:rsidP="007132A6">
            <w:pPr>
              <w:spacing w:before="0" w:line="240" w:lineRule="auto"/>
              <w:jc w:val="right"/>
              <w:rPr>
                <w:rFonts w:asciiTheme="minorHAnsi" w:hAnsiTheme="minorHAnsi"/>
                <w:b/>
                <w:sz w:val="22"/>
                <w:szCs w:val="22"/>
              </w:rPr>
            </w:pPr>
            <w:r>
              <w:rPr>
                <w:rFonts w:asciiTheme="minorHAnsi" w:hAnsiTheme="minorHAnsi"/>
                <w:color w:val="000000"/>
                <w:sz w:val="22"/>
                <w:szCs w:val="22"/>
              </w:rPr>
              <w:t>17.51</w:t>
            </w:r>
          </w:p>
        </w:tc>
        <w:tc>
          <w:tcPr>
            <w:tcW w:w="93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16.29 </w:t>
            </w:r>
          </w:p>
        </w:tc>
      </w:tr>
      <w:tr w:rsidR="004705AC" w:rsidRPr="00DF182F" w:rsidTr="004705AC">
        <w:trPr>
          <w:trHeight w:val="323"/>
          <w:jc w:val="center"/>
        </w:trPr>
        <w:tc>
          <w:tcPr>
            <w:tcW w:w="2391" w:type="pct"/>
            <w:shd w:val="clear" w:color="auto" w:fill="auto"/>
            <w:vAlign w:val="center"/>
            <w:hideMark/>
          </w:tcPr>
          <w:p w:rsidR="004705AC" w:rsidRDefault="004705AC" w:rsidP="007132A6">
            <w:pPr>
              <w:spacing w:before="0" w:line="240" w:lineRule="auto"/>
              <w:rPr>
                <w:rFonts w:asciiTheme="minorHAnsi" w:hAnsiTheme="minorHAnsi"/>
                <w:b/>
                <w:sz w:val="22"/>
                <w:szCs w:val="22"/>
              </w:rPr>
            </w:pPr>
            <w:r w:rsidRPr="00027D0D">
              <w:rPr>
                <w:rFonts w:asciiTheme="minorHAnsi" w:hAnsiTheme="minorHAnsi"/>
                <w:sz w:val="22"/>
                <w:szCs w:val="22"/>
              </w:rPr>
              <w:t>Closing Balance</w:t>
            </w:r>
          </w:p>
        </w:tc>
        <w:tc>
          <w:tcPr>
            <w:tcW w:w="759"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rPr>
            </w:pPr>
            <w:r w:rsidRPr="007132A6">
              <w:rPr>
                <w:rFonts w:asciiTheme="minorHAnsi" w:hAnsiTheme="minorHAnsi"/>
                <w:sz w:val="22"/>
              </w:rPr>
              <w:t>D=A+B-C</w:t>
            </w:r>
          </w:p>
        </w:tc>
        <w:tc>
          <w:tcPr>
            <w:tcW w:w="912" w:type="pct"/>
            <w:shd w:val="clear" w:color="auto" w:fill="auto"/>
            <w:noWrap/>
            <w:vAlign w:val="center"/>
            <w:hideMark/>
          </w:tcPr>
          <w:p w:rsidR="004705AC" w:rsidRPr="003E5900" w:rsidRDefault="004705AC" w:rsidP="007132A6">
            <w:pPr>
              <w:spacing w:before="0" w:line="240" w:lineRule="auto"/>
              <w:jc w:val="right"/>
              <w:rPr>
                <w:rFonts w:asciiTheme="minorHAnsi" w:hAnsiTheme="minorHAnsi"/>
                <w:b/>
                <w:sz w:val="22"/>
                <w:szCs w:val="22"/>
              </w:rPr>
            </w:pPr>
            <w:r>
              <w:rPr>
                <w:rFonts w:asciiTheme="minorHAnsi" w:hAnsiTheme="minorHAnsi"/>
                <w:b/>
                <w:bCs/>
                <w:color w:val="000000"/>
                <w:sz w:val="22"/>
                <w:szCs w:val="22"/>
              </w:rPr>
              <w:t>156.86</w:t>
            </w:r>
          </w:p>
        </w:tc>
        <w:tc>
          <w:tcPr>
            <w:tcW w:w="93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198.73 </w:t>
            </w:r>
          </w:p>
        </w:tc>
      </w:tr>
    </w:tbl>
    <w:p w:rsidR="00023318" w:rsidRDefault="00023318" w:rsidP="00023318">
      <w:pPr>
        <w:pStyle w:val="Heading3"/>
        <w:numPr>
          <w:ilvl w:val="0"/>
          <w:numId w:val="0"/>
        </w:numPr>
        <w:tabs>
          <w:tab w:val="clear" w:pos="720"/>
        </w:tabs>
        <w:spacing w:before="0" w:after="240"/>
      </w:pPr>
    </w:p>
    <w:p w:rsidR="00023318" w:rsidRDefault="00C34658" w:rsidP="00023318">
      <w:pPr>
        <w:pStyle w:val="Heading3"/>
        <w:tabs>
          <w:tab w:val="clear" w:pos="720"/>
        </w:tabs>
        <w:spacing w:before="0" w:after="240"/>
        <w:ind w:left="993" w:hanging="993"/>
      </w:pPr>
      <w:r w:rsidRPr="00C60AD1">
        <w:lastRenderedPageBreak/>
        <w:t>Thus, the financing of the capital investment as considered by the Commission is shown in the Table below:</w:t>
      </w:r>
    </w:p>
    <w:p w:rsidR="00C34658" w:rsidRPr="006C08CE" w:rsidRDefault="00C34658" w:rsidP="00C34658">
      <w:pPr>
        <w:jc w:val="center"/>
        <w:rPr>
          <w:rFonts w:cstheme="minorHAnsi"/>
          <w:b/>
          <w:sz w:val="22"/>
        </w:rPr>
      </w:pPr>
      <w:bookmarkStart w:id="1016" w:name="_Toc357274498"/>
      <w:bookmarkStart w:id="1017" w:name="_Toc357718749"/>
      <w:bookmarkStart w:id="1018" w:name="_Toc395657973"/>
      <w:bookmarkStart w:id="1019" w:name="_Toc396574024"/>
      <w:bookmarkStart w:id="1020" w:name="_Toc419992320"/>
      <w:bookmarkStart w:id="1021" w:name="_Toc453367702"/>
      <w:bookmarkStart w:id="1022" w:name="_Toc457355645"/>
      <w:bookmarkStart w:id="1023" w:name="_Toc356913135"/>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21</w:t>
      </w:r>
      <w:r w:rsidR="004A2D9E" w:rsidRPr="006C08CE">
        <w:rPr>
          <w:rFonts w:cstheme="minorHAnsi"/>
          <w:b/>
          <w:sz w:val="22"/>
        </w:rPr>
        <w:fldChar w:fldCharType="end"/>
      </w:r>
      <w:r w:rsidRPr="006C08CE">
        <w:rPr>
          <w:rFonts w:cstheme="minorHAnsi"/>
          <w:b/>
          <w:sz w:val="22"/>
        </w:rPr>
        <w:t xml:space="preserve">: FINANCING OF THE CAPITAL INVESTMENTS UP TO FY </w:t>
      </w:r>
      <w:bookmarkEnd w:id="1016"/>
      <w:r w:rsidRPr="006C08CE">
        <w:rPr>
          <w:rFonts w:cstheme="minorHAnsi"/>
          <w:b/>
          <w:sz w:val="22"/>
        </w:rPr>
        <w:t>2016-17 (Rs. Crore)</w:t>
      </w:r>
      <w:bookmarkEnd w:id="1017"/>
      <w:bookmarkEnd w:id="1018"/>
      <w:bookmarkEnd w:id="1019"/>
      <w:bookmarkEnd w:id="1020"/>
      <w:bookmarkEnd w:id="1021"/>
      <w:bookmarkEnd w:id="1022"/>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708"/>
        <w:gridCol w:w="1619"/>
        <w:gridCol w:w="1621"/>
        <w:gridCol w:w="1937"/>
      </w:tblGrid>
      <w:tr w:rsidR="00C34658" w:rsidRPr="00DF182F" w:rsidTr="00DF182F">
        <w:trPr>
          <w:trHeight w:val="600"/>
          <w:tblHeader/>
        </w:trPr>
        <w:tc>
          <w:tcPr>
            <w:tcW w:w="2087"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91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912"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1090"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4705AC" w:rsidRPr="00DF182F" w:rsidTr="004705AC">
        <w:trPr>
          <w:trHeight w:val="251"/>
        </w:trPr>
        <w:tc>
          <w:tcPr>
            <w:tcW w:w="2087" w:type="pct"/>
            <w:shd w:val="clear" w:color="auto" w:fill="auto"/>
            <w:hideMark/>
          </w:tcPr>
          <w:p w:rsidR="004705AC" w:rsidRDefault="004705AC" w:rsidP="007132A6">
            <w:pPr>
              <w:tabs>
                <w:tab w:val="left" w:pos="2361"/>
              </w:tabs>
              <w:spacing w:before="0" w:line="240" w:lineRule="auto"/>
              <w:rPr>
                <w:rFonts w:asciiTheme="minorHAnsi" w:hAnsiTheme="minorHAnsi"/>
                <w:b/>
                <w:sz w:val="22"/>
                <w:szCs w:val="22"/>
              </w:rPr>
            </w:pPr>
            <w:r w:rsidRPr="00027D0D">
              <w:rPr>
                <w:rFonts w:asciiTheme="minorHAnsi" w:hAnsiTheme="minorHAnsi"/>
                <w:sz w:val="22"/>
                <w:szCs w:val="22"/>
              </w:rPr>
              <w:t>Investment</w:t>
            </w:r>
            <w:r>
              <w:rPr>
                <w:rFonts w:asciiTheme="minorHAnsi" w:hAnsiTheme="minorHAnsi"/>
                <w:sz w:val="22"/>
                <w:szCs w:val="22"/>
              </w:rPr>
              <w:tab/>
            </w:r>
          </w:p>
        </w:tc>
        <w:tc>
          <w:tcPr>
            <w:tcW w:w="911"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rPr>
            </w:pPr>
            <w:r w:rsidRPr="007132A6">
              <w:rPr>
                <w:rFonts w:asciiTheme="minorHAnsi" w:hAnsiTheme="minorHAnsi"/>
                <w:sz w:val="22"/>
              </w:rPr>
              <w:t>A</w:t>
            </w:r>
          </w:p>
        </w:tc>
        <w:tc>
          <w:tcPr>
            <w:tcW w:w="912" w:type="pct"/>
            <w:shd w:val="clear" w:color="auto" w:fill="auto"/>
            <w:noWrap/>
            <w:vAlign w:val="center"/>
            <w:hideMark/>
          </w:tcPr>
          <w:p w:rsidR="004705AC" w:rsidRPr="008762EF" w:rsidRDefault="004705AC" w:rsidP="007132A6">
            <w:pPr>
              <w:spacing w:before="0" w:line="240" w:lineRule="auto"/>
              <w:jc w:val="right"/>
              <w:rPr>
                <w:rFonts w:asciiTheme="minorHAnsi" w:hAnsiTheme="minorHAnsi"/>
                <w:b/>
                <w:sz w:val="22"/>
                <w:szCs w:val="22"/>
              </w:rPr>
            </w:pPr>
            <w:r>
              <w:rPr>
                <w:rFonts w:asciiTheme="minorHAnsi" w:hAnsiTheme="minorHAnsi"/>
                <w:color w:val="000000"/>
                <w:sz w:val="22"/>
                <w:szCs w:val="22"/>
              </w:rPr>
              <w:t>204.27</w:t>
            </w:r>
          </w:p>
        </w:tc>
        <w:tc>
          <w:tcPr>
            <w:tcW w:w="1090"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142.99 </w:t>
            </w:r>
          </w:p>
        </w:tc>
      </w:tr>
      <w:tr w:rsidR="004705AC" w:rsidRPr="00DF182F" w:rsidTr="004705AC">
        <w:trPr>
          <w:trHeight w:val="251"/>
        </w:trPr>
        <w:tc>
          <w:tcPr>
            <w:tcW w:w="2087" w:type="pct"/>
            <w:shd w:val="clear" w:color="auto" w:fill="auto"/>
            <w:hideMark/>
          </w:tcPr>
          <w:p w:rsidR="004705AC" w:rsidRDefault="004705AC" w:rsidP="007132A6">
            <w:pPr>
              <w:spacing w:before="0" w:line="240" w:lineRule="auto"/>
              <w:rPr>
                <w:rFonts w:asciiTheme="minorHAnsi" w:hAnsiTheme="minorHAnsi"/>
                <w:b/>
                <w:sz w:val="22"/>
                <w:szCs w:val="22"/>
              </w:rPr>
            </w:pPr>
            <w:r w:rsidRPr="00027D0D">
              <w:rPr>
                <w:rFonts w:asciiTheme="minorHAnsi" w:hAnsiTheme="minorHAnsi"/>
                <w:sz w:val="22"/>
                <w:szCs w:val="22"/>
              </w:rPr>
              <w:t xml:space="preserve">Less: </w:t>
            </w:r>
          </w:p>
        </w:tc>
        <w:tc>
          <w:tcPr>
            <w:tcW w:w="911" w:type="pct"/>
            <w:shd w:val="clear" w:color="auto" w:fill="auto"/>
            <w:vAlign w:val="center"/>
            <w:hideMark/>
          </w:tcPr>
          <w:p w:rsidR="004705AC" w:rsidRDefault="004705AC" w:rsidP="007132A6">
            <w:pPr>
              <w:tabs>
                <w:tab w:val="left" w:pos="720"/>
              </w:tabs>
              <w:spacing w:before="0" w:line="240" w:lineRule="auto"/>
              <w:ind w:left="993"/>
              <w:jc w:val="center"/>
              <w:outlineLvl w:val="2"/>
              <w:rPr>
                <w:rFonts w:asciiTheme="minorHAnsi" w:hAnsiTheme="minorHAnsi" w:cs="Arial"/>
                <w:b/>
                <w:bCs/>
                <w:sz w:val="22"/>
                <w:szCs w:val="22"/>
              </w:rPr>
            </w:pPr>
          </w:p>
        </w:tc>
        <w:tc>
          <w:tcPr>
            <w:tcW w:w="912" w:type="pct"/>
            <w:shd w:val="clear" w:color="auto" w:fill="auto"/>
            <w:noWrap/>
            <w:vAlign w:val="center"/>
            <w:hideMark/>
          </w:tcPr>
          <w:p w:rsidR="004705AC" w:rsidRPr="008762EF" w:rsidRDefault="004705AC" w:rsidP="00D55642">
            <w:pPr>
              <w:spacing w:before="0" w:line="240" w:lineRule="auto"/>
              <w:jc w:val="right"/>
              <w:rPr>
                <w:rFonts w:asciiTheme="minorHAnsi" w:hAnsiTheme="minorHAnsi"/>
                <w:b/>
                <w:sz w:val="22"/>
                <w:szCs w:val="22"/>
              </w:rPr>
            </w:pPr>
          </w:p>
        </w:tc>
        <w:tc>
          <w:tcPr>
            <w:tcW w:w="1090" w:type="pct"/>
            <w:shd w:val="clear" w:color="auto" w:fill="auto"/>
            <w:vAlign w:val="center"/>
            <w:hideMark/>
          </w:tcPr>
          <w:p w:rsidR="004705AC" w:rsidRPr="004705AC" w:rsidRDefault="004705AC" w:rsidP="004705AC">
            <w:pPr>
              <w:spacing w:before="0" w:line="240" w:lineRule="auto"/>
              <w:jc w:val="right"/>
              <w:rPr>
                <w:rFonts w:asciiTheme="minorHAnsi" w:hAnsiTheme="minorHAnsi"/>
                <w:b/>
                <w:sz w:val="22"/>
                <w:szCs w:val="22"/>
              </w:rPr>
            </w:pPr>
          </w:p>
        </w:tc>
      </w:tr>
      <w:tr w:rsidR="004705AC" w:rsidRPr="00DF182F" w:rsidTr="004705AC">
        <w:trPr>
          <w:trHeight w:val="251"/>
        </w:trPr>
        <w:tc>
          <w:tcPr>
            <w:tcW w:w="2087" w:type="pct"/>
            <w:shd w:val="clear" w:color="auto" w:fill="auto"/>
            <w:hideMark/>
          </w:tcPr>
          <w:p w:rsidR="004705AC" w:rsidRDefault="004705AC">
            <w:pPr>
              <w:spacing w:before="0" w:line="240" w:lineRule="auto"/>
              <w:rPr>
                <w:rFonts w:asciiTheme="minorHAnsi" w:hAnsiTheme="minorHAnsi"/>
                <w:b/>
                <w:sz w:val="22"/>
                <w:szCs w:val="22"/>
              </w:rPr>
            </w:pPr>
            <w:r w:rsidRPr="00027D0D">
              <w:rPr>
                <w:rFonts w:asciiTheme="minorHAnsi" w:hAnsiTheme="minorHAnsi"/>
                <w:sz w:val="22"/>
                <w:szCs w:val="22"/>
              </w:rPr>
              <w:t>Consumer Contribution and Capital Assets Subsidy</w:t>
            </w:r>
          </w:p>
        </w:tc>
        <w:tc>
          <w:tcPr>
            <w:tcW w:w="911" w:type="pct"/>
            <w:shd w:val="clear" w:color="auto" w:fill="auto"/>
            <w:vAlign w:val="center"/>
            <w:hideMark/>
          </w:tcPr>
          <w:p w:rsidR="004705AC" w:rsidRPr="00DF182F" w:rsidRDefault="004705AC" w:rsidP="003D2C91">
            <w:pPr>
              <w:spacing w:before="0" w:line="240" w:lineRule="auto"/>
              <w:jc w:val="center"/>
              <w:rPr>
                <w:rFonts w:asciiTheme="minorHAnsi" w:hAnsiTheme="minorHAnsi"/>
                <w:b/>
                <w:sz w:val="22"/>
                <w:szCs w:val="22"/>
              </w:rPr>
            </w:pPr>
            <w:r w:rsidRPr="00027D0D">
              <w:rPr>
                <w:rFonts w:asciiTheme="minorHAnsi" w:hAnsiTheme="minorHAnsi"/>
                <w:sz w:val="22"/>
                <w:szCs w:val="22"/>
              </w:rPr>
              <w:t>B</w:t>
            </w:r>
          </w:p>
        </w:tc>
        <w:tc>
          <w:tcPr>
            <w:tcW w:w="912" w:type="pct"/>
            <w:shd w:val="clear" w:color="auto" w:fill="auto"/>
            <w:noWrap/>
            <w:vAlign w:val="center"/>
            <w:hideMark/>
          </w:tcPr>
          <w:p w:rsidR="004705AC" w:rsidRPr="008762EF" w:rsidRDefault="004705AC" w:rsidP="00D55642">
            <w:pPr>
              <w:spacing w:before="0" w:line="240" w:lineRule="auto"/>
              <w:jc w:val="right"/>
              <w:rPr>
                <w:rFonts w:asciiTheme="minorHAnsi" w:hAnsiTheme="minorHAnsi"/>
                <w:b/>
                <w:sz w:val="22"/>
                <w:szCs w:val="22"/>
              </w:rPr>
            </w:pPr>
            <w:r>
              <w:rPr>
                <w:rFonts w:asciiTheme="minorHAnsi" w:hAnsiTheme="minorHAnsi"/>
                <w:color w:val="000000"/>
                <w:sz w:val="22"/>
                <w:szCs w:val="22"/>
              </w:rPr>
              <w:t>20.00</w:t>
            </w:r>
          </w:p>
        </w:tc>
        <w:tc>
          <w:tcPr>
            <w:tcW w:w="1090"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14.00 </w:t>
            </w:r>
          </w:p>
        </w:tc>
      </w:tr>
      <w:tr w:rsidR="004705AC" w:rsidRPr="00DF182F" w:rsidTr="004705AC">
        <w:trPr>
          <w:trHeight w:val="251"/>
        </w:trPr>
        <w:tc>
          <w:tcPr>
            <w:tcW w:w="2087" w:type="pct"/>
            <w:shd w:val="clear" w:color="auto" w:fill="auto"/>
            <w:hideMark/>
          </w:tcPr>
          <w:p w:rsidR="004705AC" w:rsidRDefault="004705AC">
            <w:pPr>
              <w:spacing w:before="0" w:line="240" w:lineRule="auto"/>
              <w:rPr>
                <w:rFonts w:asciiTheme="minorHAnsi" w:hAnsiTheme="minorHAnsi"/>
                <w:b/>
                <w:sz w:val="22"/>
                <w:szCs w:val="22"/>
              </w:rPr>
            </w:pPr>
            <w:r w:rsidRPr="00027D0D">
              <w:rPr>
                <w:rFonts w:asciiTheme="minorHAnsi" w:hAnsiTheme="minorHAnsi"/>
                <w:sz w:val="22"/>
                <w:szCs w:val="22"/>
              </w:rPr>
              <w:t>Total</w:t>
            </w:r>
          </w:p>
        </w:tc>
        <w:tc>
          <w:tcPr>
            <w:tcW w:w="911" w:type="pct"/>
            <w:shd w:val="clear" w:color="auto" w:fill="auto"/>
            <w:vAlign w:val="center"/>
            <w:hideMark/>
          </w:tcPr>
          <w:p w:rsidR="004705AC" w:rsidRPr="00DF182F" w:rsidRDefault="004705AC" w:rsidP="003D2C91">
            <w:pPr>
              <w:spacing w:before="0" w:line="240" w:lineRule="auto"/>
              <w:jc w:val="center"/>
              <w:rPr>
                <w:rFonts w:asciiTheme="minorHAnsi" w:hAnsiTheme="minorHAnsi"/>
                <w:b/>
                <w:sz w:val="22"/>
                <w:szCs w:val="22"/>
              </w:rPr>
            </w:pPr>
            <w:r w:rsidRPr="00027D0D">
              <w:rPr>
                <w:rFonts w:asciiTheme="minorHAnsi" w:hAnsiTheme="minorHAnsi"/>
                <w:sz w:val="22"/>
                <w:szCs w:val="22"/>
              </w:rPr>
              <w:t>C = A- B</w:t>
            </w:r>
          </w:p>
        </w:tc>
        <w:tc>
          <w:tcPr>
            <w:tcW w:w="912" w:type="pct"/>
            <w:shd w:val="clear" w:color="auto" w:fill="auto"/>
            <w:noWrap/>
            <w:vAlign w:val="center"/>
            <w:hideMark/>
          </w:tcPr>
          <w:p w:rsidR="004705AC" w:rsidRPr="008762EF" w:rsidRDefault="004705AC" w:rsidP="008762EF">
            <w:pPr>
              <w:spacing w:before="0" w:line="240" w:lineRule="auto"/>
              <w:jc w:val="right"/>
              <w:rPr>
                <w:rFonts w:asciiTheme="minorHAnsi" w:hAnsiTheme="minorHAnsi"/>
                <w:b/>
                <w:sz w:val="22"/>
                <w:szCs w:val="22"/>
              </w:rPr>
            </w:pPr>
            <w:r>
              <w:rPr>
                <w:rFonts w:asciiTheme="minorHAnsi" w:hAnsiTheme="minorHAnsi"/>
                <w:b/>
                <w:bCs/>
                <w:color w:val="000000"/>
                <w:sz w:val="22"/>
                <w:szCs w:val="22"/>
              </w:rPr>
              <w:t>184.27</w:t>
            </w:r>
          </w:p>
        </w:tc>
        <w:tc>
          <w:tcPr>
            <w:tcW w:w="1090"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128.99 </w:t>
            </w:r>
          </w:p>
        </w:tc>
      </w:tr>
      <w:tr w:rsidR="004705AC" w:rsidRPr="00DF182F" w:rsidTr="004705AC">
        <w:trPr>
          <w:trHeight w:val="251"/>
        </w:trPr>
        <w:tc>
          <w:tcPr>
            <w:tcW w:w="2087" w:type="pct"/>
            <w:shd w:val="clear" w:color="auto" w:fill="auto"/>
            <w:hideMark/>
          </w:tcPr>
          <w:p w:rsidR="004705AC" w:rsidRDefault="004705AC">
            <w:pPr>
              <w:spacing w:before="0" w:line="240" w:lineRule="auto"/>
              <w:rPr>
                <w:rFonts w:asciiTheme="minorHAnsi" w:hAnsiTheme="minorHAnsi"/>
                <w:b/>
                <w:sz w:val="22"/>
                <w:szCs w:val="22"/>
              </w:rPr>
            </w:pPr>
            <w:r w:rsidRPr="00027D0D">
              <w:rPr>
                <w:rFonts w:asciiTheme="minorHAnsi" w:hAnsiTheme="minorHAnsi"/>
                <w:sz w:val="22"/>
                <w:szCs w:val="22"/>
              </w:rPr>
              <w:t>Investment funded by debt and equity</w:t>
            </w:r>
          </w:p>
        </w:tc>
        <w:tc>
          <w:tcPr>
            <w:tcW w:w="911" w:type="pct"/>
            <w:shd w:val="clear" w:color="auto" w:fill="auto"/>
            <w:vAlign w:val="center"/>
            <w:hideMark/>
          </w:tcPr>
          <w:p w:rsidR="004705AC" w:rsidRDefault="004705AC" w:rsidP="007132A6">
            <w:pPr>
              <w:tabs>
                <w:tab w:val="left" w:pos="720"/>
              </w:tabs>
              <w:spacing w:before="0" w:line="240" w:lineRule="auto"/>
              <w:ind w:left="993"/>
              <w:jc w:val="center"/>
              <w:outlineLvl w:val="2"/>
              <w:rPr>
                <w:rFonts w:asciiTheme="minorHAnsi" w:hAnsiTheme="minorHAnsi" w:cs="Arial"/>
                <w:b/>
                <w:bCs/>
                <w:sz w:val="22"/>
                <w:szCs w:val="22"/>
              </w:rPr>
            </w:pPr>
          </w:p>
        </w:tc>
        <w:tc>
          <w:tcPr>
            <w:tcW w:w="912" w:type="pct"/>
            <w:shd w:val="clear" w:color="auto" w:fill="auto"/>
            <w:noWrap/>
            <w:vAlign w:val="center"/>
            <w:hideMark/>
          </w:tcPr>
          <w:p w:rsidR="004705AC" w:rsidRPr="008762EF" w:rsidRDefault="004705AC" w:rsidP="00D55642">
            <w:pPr>
              <w:spacing w:before="0" w:line="240" w:lineRule="auto"/>
              <w:jc w:val="right"/>
              <w:rPr>
                <w:rFonts w:asciiTheme="minorHAnsi" w:hAnsiTheme="minorHAnsi"/>
                <w:b/>
                <w:sz w:val="22"/>
                <w:szCs w:val="22"/>
              </w:rPr>
            </w:pPr>
          </w:p>
        </w:tc>
        <w:tc>
          <w:tcPr>
            <w:tcW w:w="1090" w:type="pct"/>
            <w:shd w:val="clear" w:color="auto" w:fill="auto"/>
            <w:vAlign w:val="center"/>
            <w:hideMark/>
          </w:tcPr>
          <w:p w:rsidR="004705AC" w:rsidRPr="004705AC" w:rsidRDefault="004705AC" w:rsidP="004705AC">
            <w:pPr>
              <w:spacing w:before="0" w:line="240" w:lineRule="auto"/>
              <w:jc w:val="right"/>
              <w:rPr>
                <w:rFonts w:asciiTheme="minorHAnsi" w:hAnsiTheme="minorHAnsi"/>
                <w:b/>
                <w:sz w:val="22"/>
                <w:szCs w:val="22"/>
              </w:rPr>
            </w:pPr>
          </w:p>
        </w:tc>
      </w:tr>
      <w:tr w:rsidR="004705AC" w:rsidRPr="00DF182F" w:rsidTr="004705AC">
        <w:trPr>
          <w:trHeight w:val="251"/>
        </w:trPr>
        <w:tc>
          <w:tcPr>
            <w:tcW w:w="2087" w:type="pct"/>
            <w:shd w:val="clear" w:color="auto" w:fill="auto"/>
            <w:hideMark/>
          </w:tcPr>
          <w:p w:rsidR="004705AC" w:rsidRDefault="004705AC">
            <w:pPr>
              <w:spacing w:before="0" w:line="240" w:lineRule="auto"/>
              <w:rPr>
                <w:rFonts w:asciiTheme="minorHAnsi" w:hAnsiTheme="minorHAnsi"/>
                <w:b/>
                <w:sz w:val="22"/>
                <w:szCs w:val="22"/>
              </w:rPr>
            </w:pPr>
            <w:r w:rsidRPr="00027D0D">
              <w:rPr>
                <w:rFonts w:asciiTheme="minorHAnsi" w:hAnsiTheme="minorHAnsi"/>
                <w:sz w:val="22"/>
                <w:szCs w:val="22"/>
              </w:rPr>
              <w:t xml:space="preserve">Debt Funded </w:t>
            </w:r>
          </w:p>
        </w:tc>
        <w:tc>
          <w:tcPr>
            <w:tcW w:w="911" w:type="pct"/>
            <w:shd w:val="clear" w:color="auto" w:fill="auto"/>
            <w:vAlign w:val="center"/>
            <w:hideMark/>
          </w:tcPr>
          <w:p w:rsidR="004705AC" w:rsidRPr="00DF182F" w:rsidRDefault="004705AC" w:rsidP="003D2C91">
            <w:pPr>
              <w:spacing w:before="0" w:line="240" w:lineRule="auto"/>
              <w:jc w:val="center"/>
              <w:rPr>
                <w:rFonts w:asciiTheme="minorHAnsi" w:hAnsiTheme="minorHAnsi"/>
                <w:b/>
                <w:sz w:val="22"/>
                <w:szCs w:val="22"/>
              </w:rPr>
            </w:pPr>
            <w:r w:rsidRPr="00027D0D">
              <w:rPr>
                <w:rFonts w:asciiTheme="minorHAnsi" w:hAnsiTheme="minorHAnsi"/>
                <w:sz w:val="22"/>
                <w:szCs w:val="22"/>
              </w:rPr>
              <w:t>70%</w:t>
            </w:r>
          </w:p>
        </w:tc>
        <w:tc>
          <w:tcPr>
            <w:tcW w:w="912" w:type="pct"/>
            <w:shd w:val="clear" w:color="auto" w:fill="auto"/>
            <w:noWrap/>
            <w:vAlign w:val="center"/>
            <w:hideMark/>
          </w:tcPr>
          <w:p w:rsidR="004705AC" w:rsidRPr="008762EF" w:rsidRDefault="004705AC" w:rsidP="00D55642">
            <w:pPr>
              <w:spacing w:before="0" w:line="240" w:lineRule="auto"/>
              <w:jc w:val="right"/>
              <w:rPr>
                <w:rFonts w:asciiTheme="minorHAnsi" w:hAnsiTheme="minorHAnsi"/>
                <w:b/>
                <w:sz w:val="22"/>
                <w:szCs w:val="22"/>
              </w:rPr>
            </w:pPr>
            <w:r>
              <w:rPr>
                <w:rFonts w:asciiTheme="minorHAnsi" w:hAnsiTheme="minorHAnsi"/>
                <w:color w:val="000000"/>
                <w:sz w:val="22"/>
                <w:szCs w:val="22"/>
              </w:rPr>
              <w:t>128.99</w:t>
            </w:r>
          </w:p>
        </w:tc>
        <w:tc>
          <w:tcPr>
            <w:tcW w:w="1090"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90.29 </w:t>
            </w:r>
          </w:p>
        </w:tc>
      </w:tr>
      <w:tr w:rsidR="004705AC" w:rsidRPr="00DF182F" w:rsidTr="004705AC">
        <w:trPr>
          <w:trHeight w:val="251"/>
        </w:trPr>
        <w:tc>
          <w:tcPr>
            <w:tcW w:w="2087" w:type="pct"/>
            <w:shd w:val="clear" w:color="auto" w:fill="auto"/>
            <w:hideMark/>
          </w:tcPr>
          <w:p w:rsidR="004705AC" w:rsidRDefault="004705AC">
            <w:pPr>
              <w:spacing w:before="0" w:line="240" w:lineRule="auto"/>
              <w:rPr>
                <w:rFonts w:asciiTheme="minorHAnsi" w:hAnsiTheme="minorHAnsi"/>
                <w:b/>
                <w:sz w:val="22"/>
                <w:szCs w:val="22"/>
              </w:rPr>
            </w:pPr>
            <w:r w:rsidRPr="00027D0D">
              <w:rPr>
                <w:rFonts w:asciiTheme="minorHAnsi" w:hAnsiTheme="minorHAnsi"/>
                <w:sz w:val="22"/>
                <w:szCs w:val="22"/>
              </w:rPr>
              <w:t>Equity Funded</w:t>
            </w:r>
          </w:p>
        </w:tc>
        <w:tc>
          <w:tcPr>
            <w:tcW w:w="911" w:type="pct"/>
            <w:shd w:val="clear" w:color="auto" w:fill="auto"/>
            <w:vAlign w:val="bottom"/>
            <w:hideMark/>
          </w:tcPr>
          <w:p w:rsidR="004705AC" w:rsidRPr="00DF182F" w:rsidRDefault="004705AC" w:rsidP="00D55642">
            <w:pPr>
              <w:spacing w:before="0" w:line="240" w:lineRule="auto"/>
              <w:jc w:val="center"/>
              <w:rPr>
                <w:rFonts w:asciiTheme="minorHAnsi" w:hAnsiTheme="minorHAnsi"/>
                <w:b/>
                <w:sz w:val="22"/>
                <w:szCs w:val="22"/>
              </w:rPr>
            </w:pPr>
            <w:r w:rsidRPr="00027D0D">
              <w:rPr>
                <w:rFonts w:asciiTheme="minorHAnsi" w:hAnsiTheme="minorHAnsi"/>
                <w:sz w:val="22"/>
                <w:szCs w:val="22"/>
              </w:rPr>
              <w:t>30%</w:t>
            </w:r>
          </w:p>
        </w:tc>
        <w:tc>
          <w:tcPr>
            <w:tcW w:w="912" w:type="pct"/>
            <w:shd w:val="clear" w:color="auto" w:fill="auto"/>
            <w:noWrap/>
            <w:vAlign w:val="center"/>
            <w:hideMark/>
          </w:tcPr>
          <w:p w:rsidR="004705AC" w:rsidRPr="008762EF" w:rsidRDefault="004705AC" w:rsidP="00D55642">
            <w:pPr>
              <w:spacing w:before="0" w:line="240" w:lineRule="auto"/>
              <w:jc w:val="right"/>
              <w:rPr>
                <w:rFonts w:asciiTheme="minorHAnsi" w:hAnsiTheme="minorHAnsi"/>
                <w:b/>
                <w:sz w:val="22"/>
                <w:szCs w:val="22"/>
              </w:rPr>
            </w:pPr>
            <w:r>
              <w:rPr>
                <w:rFonts w:asciiTheme="minorHAnsi" w:hAnsiTheme="minorHAnsi"/>
                <w:color w:val="000000"/>
                <w:sz w:val="22"/>
                <w:szCs w:val="22"/>
              </w:rPr>
              <w:t>55.28</w:t>
            </w:r>
          </w:p>
        </w:tc>
        <w:tc>
          <w:tcPr>
            <w:tcW w:w="1090"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sz w:val="22"/>
                <w:szCs w:val="22"/>
              </w:rPr>
              <w:t xml:space="preserve">38.70 </w:t>
            </w:r>
          </w:p>
        </w:tc>
      </w:tr>
    </w:tbl>
    <w:p w:rsidR="00023318" w:rsidRDefault="00023318" w:rsidP="00023318">
      <w:pPr>
        <w:tabs>
          <w:tab w:val="left" w:pos="720"/>
        </w:tabs>
        <w:spacing w:before="0"/>
        <w:ind w:left="720"/>
        <w:outlineLvl w:val="2"/>
        <w:rPr>
          <w:rFonts w:cs="Calibri"/>
          <w:b/>
          <w:bCs/>
          <w:szCs w:val="26"/>
        </w:rPr>
      </w:pPr>
    </w:p>
    <w:p w:rsidR="00023318" w:rsidRPr="006C08CE" w:rsidRDefault="004705AC" w:rsidP="00023318">
      <w:pPr>
        <w:pStyle w:val="Heading3"/>
        <w:tabs>
          <w:tab w:val="clear" w:pos="720"/>
        </w:tabs>
        <w:spacing w:before="0" w:after="240"/>
        <w:ind w:left="993" w:hanging="993"/>
        <w:rPr>
          <w:bCs w:val="0"/>
        </w:rPr>
      </w:pPr>
      <w:r>
        <w:t xml:space="preserve">The Commission approves consumer </w:t>
      </w:r>
      <w:r w:rsidRPr="004705AC">
        <w:t>contributions</w:t>
      </w:r>
      <w:r>
        <w:t>, capital subsidies and grants to the tune of Rs. 14.00 Crore in FY 2016-17. Thus, balance Rs. 128.99 Crore have been considered to be funded through debt and equity. Considering a debt equity ratio of 70:30, Rs. 90.29 Crore or 70% of the capital investment is approved to be funded through debt and balance 30% equivalent to Rs. 38.70 Crore through equity.</w:t>
      </w:r>
    </w:p>
    <w:p w:rsidR="006C08CE" w:rsidRPr="00023318" w:rsidRDefault="006C08CE" w:rsidP="006C08CE">
      <w:pPr>
        <w:pStyle w:val="Heading3"/>
        <w:numPr>
          <w:ilvl w:val="0"/>
          <w:numId w:val="0"/>
        </w:numPr>
        <w:tabs>
          <w:tab w:val="clear" w:pos="720"/>
        </w:tabs>
        <w:spacing w:before="0"/>
        <w:ind w:left="993"/>
        <w:rPr>
          <w:bCs w:val="0"/>
        </w:rPr>
      </w:pPr>
    </w:p>
    <w:p w:rsidR="00C34658" w:rsidRPr="00C60AD1" w:rsidRDefault="00C34658" w:rsidP="006C08CE">
      <w:pPr>
        <w:pStyle w:val="Heading2"/>
        <w:numPr>
          <w:ilvl w:val="1"/>
          <w:numId w:val="14"/>
        </w:numPr>
        <w:spacing w:before="0"/>
      </w:pPr>
      <w:bookmarkStart w:id="1024" w:name="_Toc357718670"/>
      <w:bookmarkStart w:id="1025" w:name="_Toc396573842"/>
      <w:bookmarkStart w:id="1026" w:name="_Toc419992297"/>
      <w:bookmarkStart w:id="1027" w:name="_Toc453367619"/>
      <w:bookmarkStart w:id="1028" w:name="_Toc457355497"/>
      <w:bookmarkEnd w:id="1023"/>
      <w:r w:rsidRPr="00C60AD1">
        <w:t>DEPRECIATION EXPENSE</w:t>
      </w:r>
      <w:bookmarkEnd w:id="1003"/>
      <w:bookmarkEnd w:id="1024"/>
      <w:bookmarkEnd w:id="1025"/>
      <w:bookmarkEnd w:id="1026"/>
      <w:bookmarkEnd w:id="1027"/>
      <w:bookmarkEnd w:id="1028"/>
    </w:p>
    <w:p w:rsidR="00023318" w:rsidRDefault="00C34658" w:rsidP="00023318">
      <w:pPr>
        <w:pStyle w:val="Heading3"/>
        <w:tabs>
          <w:tab w:val="clear" w:pos="720"/>
        </w:tabs>
        <w:spacing w:after="240"/>
        <w:ind w:left="993" w:hanging="993"/>
      </w:pPr>
      <w:r w:rsidRPr="00C60AD1">
        <w:t>The Petiti</w:t>
      </w:r>
      <w:r w:rsidRPr="00C60AD1">
        <w:rPr>
          <w:rFonts w:cs="Calibri"/>
        </w:rPr>
        <w:t>oner submitte</w:t>
      </w:r>
      <w:r w:rsidRPr="00C60AD1">
        <w:t xml:space="preserve">d that Regulation 4.9 of the Distribution Tariff Regulations, 2006 specifies for: </w:t>
      </w:r>
    </w:p>
    <w:p w:rsidR="00C34658" w:rsidRPr="00C60AD1" w:rsidRDefault="00C34658" w:rsidP="00BA3941">
      <w:pPr>
        <w:pStyle w:val="ListParagraph"/>
        <w:numPr>
          <w:ilvl w:val="0"/>
          <w:numId w:val="18"/>
        </w:numPr>
        <w:ind w:left="1530"/>
      </w:pPr>
      <w:r w:rsidRPr="00C60AD1">
        <w:t xml:space="preserve">full year depreciation on the opening balance of GFA </w:t>
      </w:r>
    </w:p>
    <w:p w:rsidR="00C34658" w:rsidRPr="00C60AD1" w:rsidRDefault="00C34658" w:rsidP="00BA3941">
      <w:pPr>
        <w:pStyle w:val="ListParagraph"/>
        <w:numPr>
          <w:ilvl w:val="0"/>
          <w:numId w:val="18"/>
        </w:numPr>
        <w:ind w:left="1530"/>
      </w:pPr>
      <w:r w:rsidRPr="00C60AD1">
        <w:t>pro-rata depreciation on the additions made to the GFA balance during the financial year</w:t>
      </w:r>
    </w:p>
    <w:p w:rsidR="00023318" w:rsidRDefault="00C34658" w:rsidP="00023318">
      <w:pPr>
        <w:pStyle w:val="Heading3"/>
        <w:tabs>
          <w:tab w:val="clear" w:pos="720"/>
        </w:tabs>
        <w:spacing w:after="240"/>
        <w:ind w:left="993" w:hanging="993"/>
      </w:pPr>
      <w:r w:rsidRPr="00C60AD1">
        <w:t xml:space="preserve">The </w:t>
      </w:r>
      <w:r w:rsidRPr="00301E10">
        <w:t xml:space="preserve">Petitioner submitted that for the purpose of computing the allowable depreciation, </w:t>
      </w:r>
      <w:r w:rsidR="004705AC" w:rsidRPr="004705AC">
        <w:t xml:space="preserve">it has considered the GFA base as per audited accounts for FY </w:t>
      </w:r>
      <w:r w:rsidR="004705AC">
        <w:t>2013-14</w:t>
      </w:r>
      <w:r w:rsidR="004705AC" w:rsidRPr="004705AC">
        <w:t xml:space="preserve"> and subsequently added the yearly capitalizations for FY </w:t>
      </w:r>
      <w:r w:rsidR="004705AC">
        <w:t>2014-15, 2015-16 and 2016-17</w:t>
      </w:r>
      <w:r w:rsidR="004705AC" w:rsidRPr="004705AC">
        <w:t xml:space="preserve">. </w:t>
      </w:r>
      <w:r w:rsidRPr="00301E10">
        <w:t>The</w:t>
      </w:r>
      <w:r w:rsidRPr="00C60AD1">
        <w:t xml:space="preserve"> Petitioner submitted that it has computed the depreciation only on the depreciable asset base and has excluded the non-depreciable assets such as land, land rights, etc.</w:t>
      </w:r>
    </w:p>
    <w:p w:rsidR="00023318" w:rsidRDefault="00C34658" w:rsidP="00023318">
      <w:pPr>
        <w:pStyle w:val="Heading3"/>
        <w:tabs>
          <w:tab w:val="clear" w:pos="720"/>
        </w:tabs>
        <w:spacing w:after="240"/>
        <w:ind w:left="993" w:hanging="993"/>
      </w:pPr>
      <w:r w:rsidRPr="00C60AD1">
        <w:t xml:space="preserve">The Petitioner further submitted that the </w:t>
      </w:r>
      <w:r>
        <w:t>“</w:t>
      </w:r>
      <w:r w:rsidRPr="00C60AD1">
        <w:t>Annexure</w:t>
      </w:r>
      <w:r>
        <w:t>:</w:t>
      </w:r>
      <w:r w:rsidRPr="00C60AD1">
        <w:t xml:space="preserve"> B</w:t>
      </w:r>
      <w:r>
        <w:t>”</w:t>
      </w:r>
      <w:r w:rsidRPr="00C60AD1">
        <w:t xml:space="preserve"> to the Distribution Tariff Regulations, 2006 specifies the depreciation rate to be charged on each </w:t>
      </w:r>
      <w:r w:rsidRPr="00C60AD1">
        <w:lastRenderedPageBreak/>
        <w:t xml:space="preserve">class of asset. Accordingly, the Petitioner has computed deprecation at a weighted average rate of 7.84%. Considering this philosophy, Petitioner has claimed the gross depreciation for FY </w:t>
      </w:r>
      <w:r>
        <w:t>2016-17</w:t>
      </w:r>
      <w:r w:rsidRPr="00C60AD1">
        <w:t xml:space="preserve"> as Rs. </w:t>
      </w:r>
      <w:r w:rsidR="004705AC">
        <w:t>64.90</w:t>
      </w:r>
      <w:r w:rsidR="0085193A">
        <w:t xml:space="preserve"> </w:t>
      </w:r>
      <w:r w:rsidRPr="00C60AD1">
        <w:t>Crore.</w:t>
      </w:r>
    </w:p>
    <w:p w:rsidR="00023318" w:rsidRDefault="00C34658" w:rsidP="00023318">
      <w:pPr>
        <w:pStyle w:val="Heading3"/>
        <w:tabs>
          <w:tab w:val="clear" w:pos="720"/>
        </w:tabs>
        <w:spacing w:after="240"/>
        <w:ind w:left="993" w:hanging="993"/>
      </w:pPr>
      <w:r w:rsidRPr="00C60AD1">
        <w:t>The Petitioner submitted that it has projected the depreciation on assets created out of consumer contributions, capital grants and subsidies for FY 201</w:t>
      </w:r>
      <w:r>
        <w:t>5</w:t>
      </w:r>
      <w:r w:rsidRPr="00C60AD1">
        <w:t>-1</w:t>
      </w:r>
      <w:r>
        <w:t>6</w:t>
      </w:r>
      <w:r w:rsidRPr="00C60AD1">
        <w:t xml:space="preserve"> and FY </w:t>
      </w:r>
      <w:r>
        <w:t>2016-17</w:t>
      </w:r>
      <w:r w:rsidRPr="00C60AD1">
        <w:t xml:space="preserve"> in the same ratio as per provisional accounts of FY 201</w:t>
      </w:r>
      <w:r>
        <w:t>4</w:t>
      </w:r>
      <w:r w:rsidRPr="00C60AD1">
        <w:t>-1</w:t>
      </w:r>
      <w:r>
        <w:t>5</w:t>
      </w:r>
      <w:r w:rsidRPr="00C60AD1">
        <w:t>.</w:t>
      </w:r>
    </w:p>
    <w:p w:rsidR="00023318" w:rsidRDefault="00C34658" w:rsidP="00023318">
      <w:pPr>
        <w:pStyle w:val="Heading3"/>
        <w:tabs>
          <w:tab w:val="clear" w:pos="720"/>
        </w:tabs>
        <w:spacing w:after="240"/>
        <w:ind w:left="993" w:hanging="993"/>
      </w:pPr>
      <w:r w:rsidRPr="00C60AD1">
        <w:t xml:space="preserve">The Petitioner submitted that it has reduced the equivalent depreciation amounting to Rs. </w:t>
      </w:r>
      <w:r w:rsidR="004705AC">
        <w:t>17.51</w:t>
      </w:r>
      <w:r w:rsidR="0085193A">
        <w:t xml:space="preserve"> </w:t>
      </w:r>
      <w:r w:rsidRPr="00C60AD1">
        <w:t xml:space="preserve">Crore in FY </w:t>
      </w:r>
      <w:r>
        <w:t>2016-17</w:t>
      </w:r>
      <w:r w:rsidRPr="00C60AD1">
        <w:t xml:space="preserve"> in respect of depreciation on </w:t>
      </w:r>
      <w:r w:rsidR="007132A6" w:rsidRPr="007132A6">
        <w:t>assets</w:t>
      </w:r>
      <w:r w:rsidRPr="004E29DE">
        <w:t xml:space="preserve"> </w:t>
      </w:r>
      <w:r w:rsidRPr="00C60AD1">
        <w:t xml:space="preserve">created out of consumer contributions, capital grants and subsidies. Thus, the net depreciation claimed by the Petitioner for FY </w:t>
      </w:r>
      <w:r>
        <w:t>2016-17</w:t>
      </w:r>
      <w:r w:rsidRPr="00C60AD1">
        <w:t xml:space="preserve"> is Rs. </w:t>
      </w:r>
      <w:r w:rsidR="004705AC">
        <w:t>47.38</w:t>
      </w:r>
      <w:r w:rsidRPr="00C60AD1">
        <w:t xml:space="preserve"> Crore. </w:t>
      </w:r>
      <w:bookmarkStart w:id="1029" w:name="_Ref325536075"/>
      <w:bookmarkStart w:id="1030" w:name="_Toc338310712"/>
      <w:bookmarkStart w:id="1031" w:name="_Toc338419542"/>
      <w:bookmarkStart w:id="1032" w:name="_Toc357718750"/>
    </w:p>
    <w:p w:rsidR="00023318" w:rsidRDefault="00C34658" w:rsidP="00023318">
      <w:pPr>
        <w:pStyle w:val="Heading3"/>
        <w:tabs>
          <w:tab w:val="clear" w:pos="720"/>
        </w:tabs>
        <w:spacing w:after="240"/>
        <w:ind w:left="993" w:hanging="993"/>
      </w:pPr>
      <w:r w:rsidRPr="00C60AD1">
        <w:t>Regulation 4.9 of the Distribution Tariff Regulations, 2006 specifies as under:</w:t>
      </w:r>
    </w:p>
    <w:p w:rsidR="00C34658" w:rsidRPr="00C60AD1" w:rsidRDefault="00C34658" w:rsidP="00C34658">
      <w:pPr>
        <w:pStyle w:val="Heading3"/>
        <w:numPr>
          <w:ilvl w:val="0"/>
          <w:numId w:val="0"/>
        </w:numPr>
        <w:tabs>
          <w:tab w:val="clear" w:pos="720"/>
          <w:tab w:val="left" w:pos="1620"/>
        </w:tabs>
        <w:ind w:left="1710"/>
        <w:rPr>
          <w:i/>
        </w:rPr>
      </w:pPr>
      <w:r w:rsidRPr="00C60AD1">
        <w:rPr>
          <w:i/>
        </w:rPr>
        <w:t>“4.9 Depreciation:</w:t>
      </w:r>
    </w:p>
    <w:p w:rsidR="00C34658" w:rsidRPr="00C60AD1" w:rsidRDefault="00C34658" w:rsidP="00C34658">
      <w:pPr>
        <w:pStyle w:val="Heading3"/>
        <w:numPr>
          <w:ilvl w:val="0"/>
          <w:numId w:val="0"/>
        </w:numPr>
        <w:tabs>
          <w:tab w:val="clear" w:pos="720"/>
          <w:tab w:val="left" w:pos="1620"/>
        </w:tabs>
        <w:ind w:left="1710"/>
        <w:rPr>
          <w:i/>
        </w:rPr>
      </w:pPr>
      <w:r w:rsidRPr="00C60AD1">
        <w:rPr>
          <w:i/>
        </w:rPr>
        <w:t>1. For the purposes of tariff, depreciation shall be computed in the following manner, namely:</w:t>
      </w:r>
    </w:p>
    <w:p w:rsidR="00C34658" w:rsidRPr="00C60AD1" w:rsidRDefault="00C34658" w:rsidP="00C34658">
      <w:pPr>
        <w:pStyle w:val="Heading3"/>
        <w:numPr>
          <w:ilvl w:val="0"/>
          <w:numId w:val="0"/>
        </w:numPr>
        <w:tabs>
          <w:tab w:val="clear" w:pos="720"/>
          <w:tab w:val="left" w:pos="1620"/>
        </w:tabs>
        <w:ind w:left="1710"/>
        <w:rPr>
          <w:i/>
        </w:rPr>
      </w:pPr>
      <w:r w:rsidRPr="00C60AD1">
        <w:rPr>
          <w:i/>
        </w:rPr>
        <w:t>a. The value base for the purpose of depreciation shall be the historical cost as provided in the Fixed Assets Register, excluding consumer contribution or capital subsidy/grant utilized for capitalization of the assets.</w:t>
      </w:r>
    </w:p>
    <w:p w:rsidR="00C34658" w:rsidRPr="00C60AD1" w:rsidRDefault="00C34658" w:rsidP="00C34658">
      <w:pPr>
        <w:pStyle w:val="Heading3"/>
        <w:numPr>
          <w:ilvl w:val="0"/>
          <w:numId w:val="0"/>
        </w:numPr>
        <w:tabs>
          <w:tab w:val="clear" w:pos="720"/>
          <w:tab w:val="left" w:pos="1620"/>
        </w:tabs>
        <w:ind w:left="1710"/>
        <w:rPr>
          <w:i/>
        </w:rPr>
      </w:pPr>
      <w:r w:rsidRPr="00C60AD1">
        <w:rPr>
          <w:i/>
        </w:rPr>
        <w:t>b. Depreciation shall be calculated annually at the rates specified in the Annexure - B.</w:t>
      </w:r>
    </w:p>
    <w:p w:rsidR="00C34658" w:rsidRPr="00C60AD1" w:rsidRDefault="00C34658" w:rsidP="00C34658">
      <w:pPr>
        <w:pStyle w:val="Heading3"/>
        <w:numPr>
          <w:ilvl w:val="0"/>
          <w:numId w:val="0"/>
        </w:numPr>
        <w:tabs>
          <w:tab w:val="clear" w:pos="720"/>
          <w:tab w:val="left" w:pos="1620"/>
        </w:tabs>
        <w:ind w:left="1710"/>
        <w:rPr>
          <w:i/>
        </w:rPr>
      </w:pPr>
      <w:r w:rsidRPr="00C60AD1">
        <w:rPr>
          <w:i/>
        </w:rPr>
        <w:t>c. The residual value of the asset shall be considered as 10% and depreciation shall be allowed up to maximum of 90% of the historical capital cost of the asset. Land is not a depreciable asset and its cost shall be excluded from the capital cost while computing 90% of the historical cost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d. On repayment of entire loan, the remaining depreciable value shall be spread over the balance useful life of the asset.</w:t>
      </w:r>
    </w:p>
    <w:p w:rsidR="00C34658" w:rsidRPr="00C60AD1" w:rsidRDefault="00C34658" w:rsidP="00C34658">
      <w:pPr>
        <w:pStyle w:val="Heading3"/>
        <w:numPr>
          <w:ilvl w:val="0"/>
          <w:numId w:val="0"/>
        </w:numPr>
        <w:tabs>
          <w:tab w:val="clear" w:pos="720"/>
          <w:tab w:val="left" w:pos="1620"/>
        </w:tabs>
        <w:ind w:left="1710"/>
        <w:rPr>
          <w:i/>
        </w:rPr>
      </w:pPr>
      <w:r w:rsidRPr="00C60AD1">
        <w:rPr>
          <w:i/>
        </w:rPr>
        <w:t>e. Depreciation shall be chargeable from the first year of operation. In case of operation of the asset for part of the year, depreciation shall be charged on pro-rata basis.</w:t>
      </w:r>
    </w:p>
    <w:p w:rsidR="00C34658" w:rsidRPr="00C60AD1" w:rsidRDefault="00C34658" w:rsidP="00C34658">
      <w:pPr>
        <w:pStyle w:val="Heading3"/>
        <w:numPr>
          <w:ilvl w:val="0"/>
          <w:numId w:val="0"/>
        </w:numPr>
        <w:tabs>
          <w:tab w:val="clear" w:pos="720"/>
          <w:tab w:val="left" w:pos="1620"/>
        </w:tabs>
        <w:ind w:left="1710"/>
      </w:pPr>
      <w:r w:rsidRPr="00C60AD1">
        <w:rPr>
          <w:i/>
        </w:rPr>
        <w:lastRenderedPageBreak/>
        <w:t>Provided that where the Fixed Assets Register is not maintained, the Commission shall allow only as much depreciation as it may consider appropriate.”</w:t>
      </w:r>
    </w:p>
    <w:p w:rsidR="00023318" w:rsidRDefault="00C34658" w:rsidP="00023318">
      <w:pPr>
        <w:pStyle w:val="Heading3"/>
        <w:tabs>
          <w:tab w:val="clear" w:pos="720"/>
        </w:tabs>
        <w:spacing w:after="240"/>
        <w:ind w:left="993" w:hanging="993"/>
      </w:pPr>
      <w:r w:rsidRPr="00C60AD1">
        <w:t xml:space="preserve">The Commission in its deficiency note asked Petitioner to submit the basis of considering the weighted average depreciation rate of 7.84% for computing the depreciation for FY </w:t>
      </w:r>
      <w:r>
        <w:t>2016-17</w:t>
      </w:r>
      <w:r w:rsidRPr="00C60AD1">
        <w:t xml:space="preserve">. The Petitioner in its reply submitted that the Distribution Tariff Regulations, 2006 provides for a depreciation rate of 7.84% in respect of lines and distribution system. The Petitioner further submitted that in the Tariff Order for </w:t>
      </w:r>
      <w:r>
        <w:t>FY 2015-16</w:t>
      </w:r>
      <w:r w:rsidRPr="00C60AD1">
        <w:t xml:space="preserve">, the Commission had considered a weighted average depreciation rate of 7.84%, and hence, it has considered the same for FY </w:t>
      </w:r>
      <w:r>
        <w:t>2016-17</w:t>
      </w:r>
      <w:r w:rsidRPr="00C60AD1">
        <w:t xml:space="preserve">. </w:t>
      </w:r>
    </w:p>
    <w:p w:rsidR="00023318" w:rsidRDefault="00C34658" w:rsidP="00023318">
      <w:pPr>
        <w:pStyle w:val="Heading3"/>
        <w:tabs>
          <w:tab w:val="clear" w:pos="720"/>
        </w:tabs>
        <w:spacing w:after="240"/>
        <w:ind w:left="993" w:hanging="993"/>
      </w:pPr>
      <w:r w:rsidRPr="008B0C65">
        <w:t xml:space="preserve">The depreciation rate as applicable for different class of assets have to be applied for computing the depreciation as per the Annexure–B of Distribution Tariff Regulations, 2006. However, as the Petitioner has not been able to submit the class wise details of its assets, </w:t>
      </w:r>
      <w:r w:rsidRPr="005A72F6">
        <w:t xml:space="preserve">the Commission has computed deprecation for FY 2016-17 at a weighted average rate of 7.84% as considered by the Commission in its Order dated </w:t>
      </w:r>
      <w:r w:rsidRPr="00FA7B1E">
        <w:t>June</w:t>
      </w:r>
      <w:r w:rsidRPr="005A72F6">
        <w:t>1</w:t>
      </w:r>
      <w:r w:rsidRPr="00FA7B1E">
        <w:t>8</w:t>
      </w:r>
      <w:r w:rsidRPr="005A72F6">
        <w:t>, 201</w:t>
      </w:r>
      <w:r w:rsidRPr="00FA7B1E">
        <w:t>5</w:t>
      </w:r>
      <w:r w:rsidRPr="005A72F6">
        <w:t xml:space="preserve"> and also claimed by the Petitioner.</w:t>
      </w:r>
    </w:p>
    <w:p w:rsidR="00023318" w:rsidRDefault="00C34658" w:rsidP="00023318">
      <w:pPr>
        <w:pStyle w:val="Heading3"/>
        <w:tabs>
          <w:tab w:val="clear" w:pos="720"/>
        </w:tabs>
        <w:spacing w:after="240"/>
        <w:ind w:left="993" w:hanging="993"/>
      </w:pPr>
      <w:r w:rsidRPr="008B0C65">
        <w:t>For the purpose of computing depreciation, the Commission has considered the GFA base as per audited accounts up to FY 2013-14 and has subsequently added the yearly capitalisations for FY 2014-15 as per the provisional accounts to arrive at the opening balance of the GFA for FY 2015-16. Opening and Closing GFA for FY 2016-17 has been estimated based on the capitalisation considered by the Commission for FY 2015-16 and FY 2016-17.</w:t>
      </w:r>
    </w:p>
    <w:p w:rsidR="00023318" w:rsidRDefault="00C34658" w:rsidP="00023318">
      <w:pPr>
        <w:pStyle w:val="Heading3"/>
        <w:tabs>
          <w:tab w:val="clear" w:pos="720"/>
        </w:tabs>
        <w:spacing w:after="240"/>
        <w:ind w:left="993" w:hanging="993"/>
      </w:pPr>
      <w:r w:rsidRPr="008B0C65">
        <w:t>The Commission has computed the depreciation only on the depreciable asset base and has excluded the non-depreciable assets such as land, land rights, etc</w:t>
      </w:r>
      <w:r w:rsidRPr="0081428E">
        <w:t>.</w:t>
      </w:r>
    </w:p>
    <w:p w:rsidR="00023318" w:rsidRDefault="00C34658" w:rsidP="00023318">
      <w:pPr>
        <w:pStyle w:val="Heading3"/>
        <w:tabs>
          <w:tab w:val="clear" w:pos="720"/>
        </w:tabs>
        <w:spacing w:after="240"/>
        <w:ind w:left="993" w:hanging="993"/>
      </w:pPr>
      <w:r w:rsidRPr="00C60AD1">
        <w:t xml:space="preserve">Considering the above philosophy and total capitalization approved by the Commission for FY </w:t>
      </w:r>
      <w:r>
        <w:t>2016-17</w:t>
      </w:r>
      <w:r w:rsidRPr="00C60AD1">
        <w:t>, the GFA base approved by the Commission is given in the Table below:</w:t>
      </w:r>
    </w:p>
    <w:p w:rsidR="00C34658" w:rsidRPr="006C08CE" w:rsidRDefault="00C34658" w:rsidP="00C34658">
      <w:pPr>
        <w:jc w:val="center"/>
        <w:rPr>
          <w:rFonts w:cstheme="minorHAnsi"/>
          <w:b/>
          <w:sz w:val="22"/>
        </w:rPr>
      </w:pPr>
      <w:bookmarkStart w:id="1033" w:name="_Toc395657974"/>
      <w:bookmarkStart w:id="1034" w:name="_Toc396574025"/>
      <w:bookmarkStart w:id="1035" w:name="_Toc419992321"/>
      <w:bookmarkStart w:id="1036" w:name="_Toc453367703"/>
      <w:bookmarkStart w:id="1037" w:name="_Toc457355646"/>
      <w:bookmarkEnd w:id="1029"/>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22</w:t>
      </w:r>
      <w:r w:rsidR="004A2D9E" w:rsidRPr="006C08CE">
        <w:rPr>
          <w:rFonts w:cstheme="minorHAnsi"/>
          <w:b/>
          <w:sz w:val="22"/>
        </w:rPr>
        <w:fldChar w:fldCharType="end"/>
      </w:r>
      <w:r w:rsidRPr="006C08CE">
        <w:rPr>
          <w:rFonts w:cstheme="minorHAnsi"/>
          <w:b/>
          <w:sz w:val="22"/>
        </w:rPr>
        <w:t>: GROSS FIXED ASSETS FOR FY 2016-17 (Rs. Crore)</w:t>
      </w:r>
      <w:bookmarkEnd w:id="1030"/>
      <w:bookmarkEnd w:id="1031"/>
      <w:bookmarkEnd w:id="1032"/>
      <w:bookmarkEnd w:id="1033"/>
      <w:bookmarkEnd w:id="1034"/>
      <w:bookmarkEnd w:id="1035"/>
      <w:bookmarkEnd w:id="1036"/>
      <w:bookmarkEnd w:id="1037"/>
    </w:p>
    <w:tbl>
      <w:tblPr>
        <w:tblW w:w="484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698"/>
        <w:gridCol w:w="1353"/>
        <w:gridCol w:w="1168"/>
        <w:gridCol w:w="1396"/>
      </w:tblGrid>
      <w:tr w:rsidR="00771D79" w:rsidRPr="0081428E" w:rsidTr="00771D79">
        <w:trPr>
          <w:trHeight w:val="600"/>
          <w:tblHeader/>
        </w:trPr>
        <w:tc>
          <w:tcPr>
            <w:tcW w:w="2727" w:type="pct"/>
            <w:shd w:val="clear" w:color="000000" w:fill="DBE5F1"/>
            <w:hideMark/>
          </w:tcPr>
          <w:p w:rsidR="00771D79" w:rsidRDefault="00771D79">
            <w:pPr>
              <w:spacing w:before="0" w:line="240" w:lineRule="auto"/>
              <w:jc w:val="center"/>
              <w:rPr>
                <w:rFonts w:asciiTheme="minorHAnsi" w:hAnsiTheme="minorHAnsi"/>
                <w:b/>
                <w:sz w:val="22"/>
                <w:szCs w:val="22"/>
              </w:rPr>
            </w:pPr>
            <w:r w:rsidRPr="0081428E">
              <w:rPr>
                <w:rFonts w:asciiTheme="minorHAnsi" w:hAnsiTheme="minorHAnsi"/>
                <w:b/>
                <w:sz w:val="22"/>
                <w:szCs w:val="22"/>
              </w:rPr>
              <w:t>Particulars</w:t>
            </w:r>
          </w:p>
        </w:tc>
        <w:tc>
          <w:tcPr>
            <w:tcW w:w="785" w:type="pct"/>
            <w:shd w:val="clear" w:color="000000" w:fill="DBE5F1"/>
          </w:tcPr>
          <w:p w:rsidR="00771D79" w:rsidRPr="0081428E" w:rsidRDefault="00771D79">
            <w:pPr>
              <w:spacing w:before="0" w:line="240" w:lineRule="auto"/>
              <w:jc w:val="center"/>
              <w:rPr>
                <w:rFonts w:asciiTheme="minorHAnsi" w:hAnsiTheme="minorHAnsi"/>
                <w:b/>
                <w:color w:val="000000"/>
                <w:sz w:val="22"/>
                <w:szCs w:val="22"/>
              </w:rPr>
            </w:pPr>
            <w:r>
              <w:rPr>
                <w:rFonts w:asciiTheme="minorHAnsi" w:hAnsiTheme="minorHAnsi"/>
                <w:b/>
                <w:color w:val="000000"/>
                <w:sz w:val="22"/>
                <w:szCs w:val="22"/>
              </w:rPr>
              <w:t>Derivation</w:t>
            </w:r>
          </w:p>
        </w:tc>
        <w:tc>
          <w:tcPr>
            <w:tcW w:w="678" w:type="pct"/>
            <w:shd w:val="clear" w:color="000000" w:fill="DBE5F1"/>
            <w:noWrap/>
            <w:hideMark/>
          </w:tcPr>
          <w:p w:rsidR="00771D79" w:rsidRDefault="00771D79">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ARR Petition</w:t>
            </w:r>
          </w:p>
        </w:tc>
        <w:tc>
          <w:tcPr>
            <w:tcW w:w="811" w:type="pct"/>
            <w:shd w:val="clear" w:color="000000" w:fill="DBE5F1"/>
            <w:hideMark/>
          </w:tcPr>
          <w:p w:rsidR="00771D79" w:rsidRDefault="00771D79">
            <w:pPr>
              <w:spacing w:before="0" w:line="240" w:lineRule="auto"/>
              <w:jc w:val="center"/>
              <w:rPr>
                <w:rFonts w:asciiTheme="minorHAnsi" w:hAnsiTheme="minorHAnsi"/>
                <w:b/>
                <w:color w:val="000000"/>
                <w:sz w:val="22"/>
                <w:szCs w:val="22"/>
              </w:rPr>
            </w:pPr>
            <w:r w:rsidRPr="0081428E">
              <w:rPr>
                <w:rFonts w:asciiTheme="minorHAnsi" w:hAnsiTheme="minorHAnsi"/>
                <w:b/>
                <w:color w:val="000000"/>
                <w:sz w:val="22"/>
                <w:szCs w:val="22"/>
              </w:rPr>
              <w:t>FY 2016-17</w:t>
            </w:r>
            <w:r w:rsidRPr="0081428E">
              <w:rPr>
                <w:rFonts w:asciiTheme="minorHAnsi" w:hAnsiTheme="minorHAnsi"/>
                <w:b/>
                <w:color w:val="000000"/>
                <w:sz w:val="22"/>
                <w:szCs w:val="22"/>
              </w:rPr>
              <w:br/>
              <w:t>Approved</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color w:val="333399"/>
                <w:kern w:val="32"/>
                <w:sz w:val="22"/>
                <w:szCs w:val="22"/>
              </w:rPr>
            </w:pPr>
            <w:r w:rsidRPr="0081428E">
              <w:rPr>
                <w:rFonts w:asciiTheme="minorHAnsi" w:hAnsiTheme="minorHAnsi"/>
                <w:sz w:val="22"/>
                <w:szCs w:val="22"/>
              </w:rPr>
              <w:t>Depreciation Rate</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A</w:t>
            </w:r>
          </w:p>
        </w:tc>
        <w:tc>
          <w:tcPr>
            <w:tcW w:w="678" w:type="pct"/>
            <w:shd w:val="clear" w:color="auto" w:fill="auto"/>
            <w:vAlign w:val="center"/>
            <w:hideMark/>
          </w:tcPr>
          <w:p w:rsidR="00771D79" w:rsidRDefault="00771D79" w:rsidP="00D55642">
            <w:pPr>
              <w:spacing w:before="0" w:line="240" w:lineRule="auto"/>
              <w:jc w:val="right"/>
              <w:rPr>
                <w:rFonts w:asciiTheme="minorHAnsi" w:hAnsiTheme="minorHAnsi" w:cs="Arial"/>
                <w:bCs/>
                <w:caps/>
                <w:kern w:val="32"/>
                <w:sz w:val="22"/>
                <w:szCs w:val="22"/>
              </w:rPr>
            </w:pPr>
            <w:r w:rsidRPr="008B0C65">
              <w:rPr>
                <w:rFonts w:asciiTheme="minorHAnsi" w:hAnsiTheme="minorHAnsi"/>
                <w:sz w:val="22"/>
                <w:szCs w:val="22"/>
              </w:rPr>
              <w:t>7.84%</w:t>
            </w:r>
          </w:p>
        </w:tc>
        <w:tc>
          <w:tcPr>
            <w:tcW w:w="811" w:type="pct"/>
            <w:shd w:val="clear" w:color="auto" w:fill="auto"/>
            <w:noWrap/>
            <w:vAlign w:val="center"/>
            <w:hideMark/>
          </w:tcPr>
          <w:p w:rsidR="00771D79" w:rsidRDefault="00771D79" w:rsidP="00D55642">
            <w:pPr>
              <w:spacing w:before="0" w:line="240" w:lineRule="auto"/>
              <w:jc w:val="right"/>
              <w:rPr>
                <w:rFonts w:asciiTheme="minorHAnsi" w:hAnsiTheme="minorHAnsi" w:cs="Arial"/>
                <w:bCs/>
                <w:caps/>
                <w:color w:val="000000"/>
                <w:kern w:val="32"/>
                <w:sz w:val="22"/>
                <w:szCs w:val="22"/>
              </w:rPr>
            </w:pPr>
            <w:r w:rsidRPr="008B0C65">
              <w:rPr>
                <w:rFonts w:asciiTheme="minorHAnsi" w:hAnsiTheme="minorHAnsi"/>
                <w:color w:val="000000"/>
                <w:sz w:val="22"/>
                <w:szCs w:val="22"/>
              </w:rPr>
              <w:t>7.84%</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lastRenderedPageBreak/>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(Depreciable)</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B</w:t>
            </w:r>
          </w:p>
        </w:tc>
        <w:tc>
          <w:tcPr>
            <w:tcW w:w="678" w:type="pct"/>
            <w:vMerge w:val="restart"/>
            <w:shd w:val="clear" w:color="auto" w:fill="auto"/>
            <w:vAlign w:val="center"/>
            <w:hideMark/>
          </w:tcPr>
          <w:p w:rsidR="00771D79" w:rsidRDefault="00771D79" w:rsidP="0085193A">
            <w:pPr>
              <w:spacing w:before="0" w:line="240" w:lineRule="auto"/>
              <w:jc w:val="right"/>
              <w:rPr>
                <w:rFonts w:asciiTheme="minorHAnsi" w:hAnsiTheme="minorHAnsi" w:cs="Calibri"/>
                <w:sz w:val="22"/>
                <w:szCs w:val="22"/>
              </w:rPr>
            </w:pPr>
            <w:r>
              <w:rPr>
                <w:rFonts w:asciiTheme="minorHAnsi" w:hAnsiTheme="minorHAnsi"/>
                <w:sz w:val="22"/>
                <w:szCs w:val="22"/>
              </w:rPr>
              <w:t>747.29</w:t>
            </w:r>
          </w:p>
        </w:tc>
        <w:tc>
          <w:tcPr>
            <w:tcW w:w="811" w:type="pct"/>
            <w:shd w:val="clear" w:color="auto" w:fill="auto"/>
            <w:noWrap/>
            <w:vAlign w:val="center"/>
            <w:hideMark/>
          </w:tcPr>
          <w:p w:rsidR="00771D79" w:rsidRDefault="00771D79" w:rsidP="004E29DE">
            <w:pPr>
              <w:spacing w:before="0" w:line="240" w:lineRule="auto"/>
              <w:jc w:val="right"/>
              <w:rPr>
                <w:rFonts w:asciiTheme="minorHAnsi" w:hAnsiTheme="minorHAnsi" w:cs="Calibri"/>
                <w:color w:val="000000"/>
                <w:sz w:val="22"/>
                <w:szCs w:val="22"/>
              </w:rPr>
            </w:pPr>
            <w:r>
              <w:rPr>
                <w:color w:val="000000"/>
                <w:sz w:val="22"/>
                <w:szCs w:val="22"/>
              </w:rPr>
              <w:t>713.35</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 (Non-Depreciable)</w:t>
            </w:r>
          </w:p>
        </w:tc>
        <w:tc>
          <w:tcPr>
            <w:tcW w:w="785" w:type="pct"/>
            <w:vAlign w:val="center"/>
          </w:tcPr>
          <w:p w:rsidR="00771D79" w:rsidRPr="00771D79" w:rsidRDefault="00771D79" w:rsidP="00771D79">
            <w:pPr>
              <w:spacing w:before="0" w:line="240" w:lineRule="auto"/>
              <w:jc w:val="center"/>
              <w:rPr>
                <w:rFonts w:asciiTheme="minorHAnsi" w:hAnsiTheme="minorHAnsi" w:cs="Arial"/>
                <w:bCs/>
                <w:caps/>
                <w:kern w:val="32"/>
                <w:sz w:val="22"/>
                <w:szCs w:val="22"/>
              </w:rPr>
            </w:pPr>
            <w:r w:rsidRPr="00771D79">
              <w:rPr>
                <w:rFonts w:asciiTheme="minorHAnsi" w:hAnsiTheme="minorHAnsi" w:cs="Arial"/>
                <w:bCs/>
                <w:caps/>
                <w:kern w:val="32"/>
                <w:sz w:val="22"/>
                <w:szCs w:val="22"/>
              </w:rPr>
              <w:t>C</w:t>
            </w:r>
          </w:p>
        </w:tc>
        <w:tc>
          <w:tcPr>
            <w:tcW w:w="678" w:type="pct"/>
            <w:vMerge/>
            <w:shd w:val="clear" w:color="auto" w:fill="auto"/>
            <w:vAlign w:val="center"/>
            <w:hideMark/>
          </w:tcPr>
          <w:p w:rsidR="00771D79" w:rsidRDefault="00771D79" w:rsidP="00D55642">
            <w:pPr>
              <w:spacing w:before="0" w:line="240" w:lineRule="auto"/>
              <w:jc w:val="right"/>
              <w:rPr>
                <w:rFonts w:asciiTheme="minorHAnsi" w:hAnsiTheme="minorHAnsi" w:cs="Arial"/>
                <w:b/>
                <w:bCs/>
                <w:caps/>
                <w:kern w:val="32"/>
                <w:sz w:val="22"/>
                <w:szCs w:val="22"/>
              </w:rPr>
            </w:pPr>
          </w:p>
        </w:tc>
        <w:tc>
          <w:tcPr>
            <w:tcW w:w="811" w:type="pct"/>
            <w:shd w:val="clear" w:color="auto" w:fill="auto"/>
            <w:noWrap/>
            <w:vAlign w:val="center"/>
            <w:hideMark/>
          </w:tcPr>
          <w:p w:rsidR="00771D79" w:rsidRDefault="00771D79" w:rsidP="00D55642">
            <w:pPr>
              <w:spacing w:before="0" w:line="240" w:lineRule="auto"/>
              <w:jc w:val="right"/>
              <w:rPr>
                <w:rFonts w:asciiTheme="minorHAnsi" w:hAnsiTheme="minorHAnsi"/>
                <w:color w:val="000000"/>
                <w:sz w:val="22"/>
                <w:szCs w:val="22"/>
              </w:rPr>
            </w:pPr>
            <w:r>
              <w:rPr>
                <w:color w:val="000000"/>
                <w:sz w:val="22"/>
                <w:szCs w:val="22"/>
              </w:rPr>
              <w:t>-</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Total Opening GFA as on 1</w:t>
            </w:r>
            <w:r w:rsidRPr="0081428E">
              <w:rPr>
                <w:rFonts w:asciiTheme="minorHAnsi" w:hAnsiTheme="minorHAnsi"/>
                <w:sz w:val="22"/>
                <w:szCs w:val="22"/>
                <w:vertAlign w:val="superscript"/>
              </w:rPr>
              <w:t>st</w:t>
            </w:r>
            <w:r w:rsidRPr="0081428E">
              <w:rPr>
                <w:rFonts w:asciiTheme="minorHAnsi" w:hAnsiTheme="minorHAnsi"/>
                <w:sz w:val="22"/>
                <w:szCs w:val="22"/>
              </w:rPr>
              <w:t xml:space="preserve"> April</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D=B+C</w:t>
            </w:r>
          </w:p>
        </w:tc>
        <w:tc>
          <w:tcPr>
            <w:tcW w:w="678" w:type="pct"/>
            <w:shd w:val="clear" w:color="auto" w:fill="auto"/>
            <w:noWrap/>
            <w:vAlign w:val="center"/>
            <w:hideMark/>
          </w:tcPr>
          <w:p w:rsidR="00771D79" w:rsidRPr="008762EF" w:rsidRDefault="00771D79" w:rsidP="0085193A">
            <w:pPr>
              <w:spacing w:before="0" w:line="240" w:lineRule="auto"/>
              <w:jc w:val="right"/>
              <w:rPr>
                <w:rFonts w:asciiTheme="minorHAnsi" w:hAnsiTheme="minorHAnsi"/>
                <w:b/>
                <w:color w:val="000000"/>
                <w:sz w:val="22"/>
                <w:szCs w:val="22"/>
              </w:rPr>
            </w:pPr>
            <w:r>
              <w:rPr>
                <w:rFonts w:asciiTheme="minorHAnsi" w:hAnsiTheme="minorHAnsi"/>
                <w:b/>
                <w:sz w:val="22"/>
                <w:szCs w:val="22"/>
              </w:rPr>
              <w:t>747.29</w:t>
            </w:r>
          </w:p>
        </w:tc>
        <w:tc>
          <w:tcPr>
            <w:tcW w:w="811" w:type="pct"/>
            <w:shd w:val="clear" w:color="auto" w:fill="auto"/>
            <w:noWrap/>
            <w:vAlign w:val="center"/>
            <w:hideMark/>
          </w:tcPr>
          <w:p w:rsidR="00771D79" w:rsidRPr="004E29DE" w:rsidRDefault="00771D79" w:rsidP="00D55642">
            <w:pPr>
              <w:spacing w:before="0" w:line="240" w:lineRule="auto"/>
              <w:jc w:val="right"/>
              <w:rPr>
                <w:rFonts w:asciiTheme="minorHAnsi" w:hAnsiTheme="minorHAnsi"/>
                <w:b/>
                <w:color w:val="000000"/>
                <w:sz w:val="22"/>
                <w:szCs w:val="22"/>
              </w:rPr>
            </w:pPr>
            <w:r>
              <w:rPr>
                <w:b/>
                <w:color w:val="000000"/>
                <w:sz w:val="22"/>
                <w:szCs w:val="22"/>
              </w:rPr>
              <w:t>713.35</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Addition to GFA during the year (Depreciable)</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E</w:t>
            </w:r>
          </w:p>
        </w:tc>
        <w:tc>
          <w:tcPr>
            <w:tcW w:w="678" w:type="pct"/>
            <w:vMerge w:val="restart"/>
            <w:shd w:val="clear" w:color="auto" w:fill="auto"/>
            <w:vAlign w:val="center"/>
            <w:hideMark/>
          </w:tcPr>
          <w:p w:rsidR="00771D79" w:rsidRDefault="00771D79" w:rsidP="00D55642">
            <w:pPr>
              <w:spacing w:before="0" w:line="240" w:lineRule="auto"/>
              <w:jc w:val="right"/>
              <w:rPr>
                <w:rFonts w:asciiTheme="minorHAnsi" w:hAnsiTheme="minorHAnsi"/>
                <w:sz w:val="22"/>
                <w:szCs w:val="22"/>
              </w:rPr>
            </w:pPr>
            <w:r>
              <w:rPr>
                <w:rFonts w:asciiTheme="minorHAnsi" w:hAnsiTheme="minorHAnsi"/>
                <w:sz w:val="22"/>
                <w:szCs w:val="22"/>
              </w:rPr>
              <w:t>160.92</w:t>
            </w:r>
          </w:p>
        </w:tc>
        <w:tc>
          <w:tcPr>
            <w:tcW w:w="811" w:type="pct"/>
            <w:shd w:val="clear" w:color="auto" w:fill="auto"/>
            <w:noWrap/>
            <w:vAlign w:val="center"/>
            <w:hideMark/>
          </w:tcPr>
          <w:p w:rsidR="00771D79" w:rsidRDefault="00771D79" w:rsidP="00D55642">
            <w:pPr>
              <w:spacing w:before="0" w:line="240" w:lineRule="auto"/>
              <w:jc w:val="right"/>
              <w:rPr>
                <w:rFonts w:asciiTheme="minorHAnsi" w:hAnsiTheme="minorHAnsi"/>
                <w:color w:val="000000"/>
                <w:sz w:val="22"/>
                <w:szCs w:val="22"/>
              </w:rPr>
            </w:pPr>
            <w:r>
              <w:rPr>
                <w:rFonts w:asciiTheme="minorHAnsi" w:hAnsiTheme="minorHAnsi"/>
                <w:color w:val="000000"/>
                <w:sz w:val="22"/>
                <w:szCs w:val="22"/>
              </w:rPr>
              <w:t>113.53</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Addition to GFA during the year (Non Depreciable)</w:t>
            </w:r>
          </w:p>
        </w:tc>
        <w:tc>
          <w:tcPr>
            <w:tcW w:w="785" w:type="pct"/>
            <w:vAlign w:val="center"/>
          </w:tcPr>
          <w:p w:rsidR="00771D79" w:rsidRPr="00771D79" w:rsidRDefault="00771D79" w:rsidP="00771D79">
            <w:pPr>
              <w:spacing w:before="0" w:line="240" w:lineRule="auto"/>
              <w:jc w:val="center"/>
              <w:rPr>
                <w:rFonts w:asciiTheme="minorHAnsi" w:hAnsiTheme="minorHAnsi" w:cs="Arial"/>
                <w:bCs/>
                <w:caps/>
                <w:kern w:val="32"/>
                <w:sz w:val="22"/>
                <w:szCs w:val="22"/>
              </w:rPr>
            </w:pPr>
            <w:r w:rsidRPr="00771D79">
              <w:rPr>
                <w:rFonts w:asciiTheme="minorHAnsi" w:hAnsiTheme="minorHAnsi" w:cs="Arial"/>
                <w:bCs/>
                <w:caps/>
                <w:kern w:val="32"/>
                <w:sz w:val="22"/>
                <w:szCs w:val="22"/>
              </w:rPr>
              <w:t>F</w:t>
            </w:r>
          </w:p>
        </w:tc>
        <w:tc>
          <w:tcPr>
            <w:tcW w:w="678" w:type="pct"/>
            <w:vMerge/>
            <w:shd w:val="clear" w:color="auto" w:fill="auto"/>
            <w:vAlign w:val="center"/>
            <w:hideMark/>
          </w:tcPr>
          <w:p w:rsidR="00771D79" w:rsidRDefault="00771D79" w:rsidP="00D55642">
            <w:pPr>
              <w:spacing w:before="0" w:line="240" w:lineRule="auto"/>
              <w:jc w:val="right"/>
              <w:rPr>
                <w:rFonts w:asciiTheme="minorHAnsi" w:hAnsiTheme="minorHAnsi" w:cs="Arial"/>
                <w:b/>
                <w:bCs/>
                <w:caps/>
                <w:kern w:val="32"/>
                <w:sz w:val="22"/>
                <w:szCs w:val="22"/>
              </w:rPr>
            </w:pPr>
          </w:p>
        </w:tc>
        <w:tc>
          <w:tcPr>
            <w:tcW w:w="811" w:type="pct"/>
            <w:shd w:val="clear" w:color="auto" w:fill="auto"/>
            <w:noWrap/>
            <w:vAlign w:val="center"/>
            <w:hideMark/>
          </w:tcPr>
          <w:p w:rsidR="00771D79" w:rsidRDefault="00771D79">
            <w:pPr>
              <w:spacing w:before="0" w:line="240" w:lineRule="auto"/>
              <w:jc w:val="right"/>
              <w:rPr>
                <w:rFonts w:asciiTheme="minorHAnsi" w:hAnsiTheme="minorHAnsi"/>
                <w:color w:val="000000"/>
                <w:sz w:val="22"/>
                <w:szCs w:val="22"/>
              </w:rPr>
            </w:pPr>
            <w:r>
              <w:rPr>
                <w:rFonts w:asciiTheme="minorHAnsi" w:hAnsiTheme="minorHAnsi"/>
                <w:color w:val="000000"/>
                <w:sz w:val="22"/>
                <w:szCs w:val="22"/>
              </w:rPr>
              <w:t>-</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Deduction from GFA during the year (Depreciable)</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G</w:t>
            </w:r>
          </w:p>
        </w:tc>
        <w:tc>
          <w:tcPr>
            <w:tcW w:w="678" w:type="pct"/>
            <w:shd w:val="clear" w:color="auto" w:fill="auto"/>
            <w:vAlign w:val="center"/>
            <w:hideMark/>
          </w:tcPr>
          <w:p w:rsidR="00771D79" w:rsidRDefault="00771D79" w:rsidP="00D55642">
            <w:pPr>
              <w:spacing w:before="0" w:line="240" w:lineRule="auto"/>
              <w:jc w:val="right"/>
              <w:rPr>
                <w:rFonts w:asciiTheme="minorHAnsi" w:hAnsiTheme="minorHAnsi"/>
                <w:sz w:val="22"/>
                <w:szCs w:val="22"/>
              </w:rPr>
            </w:pPr>
            <w:r>
              <w:rPr>
                <w:rFonts w:asciiTheme="minorHAnsi" w:hAnsiTheme="minorHAnsi"/>
                <w:sz w:val="22"/>
                <w:szCs w:val="22"/>
              </w:rPr>
              <w:t>-</w:t>
            </w:r>
          </w:p>
        </w:tc>
        <w:tc>
          <w:tcPr>
            <w:tcW w:w="811" w:type="pct"/>
            <w:shd w:val="clear" w:color="auto" w:fill="auto"/>
            <w:noWrap/>
            <w:vAlign w:val="center"/>
            <w:hideMark/>
          </w:tcPr>
          <w:p w:rsidR="00771D79" w:rsidRDefault="00771D79">
            <w:pPr>
              <w:spacing w:before="0" w:line="240" w:lineRule="auto"/>
              <w:jc w:val="right"/>
              <w:rPr>
                <w:rFonts w:asciiTheme="minorHAnsi" w:hAnsiTheme="minorHAnsi"/>
                <w:color w:val="000000"/>
                <w:sz w:val="22"/>
                <w:szCs w:val="22"/>
              </w:rPr>
            </w:pPr>
            <w:r>
              <w:rPr>
                <w:rFonts w:asciiTheme="minorHAnsi" w:hAnsiTheme="minorHAnsi"/>
                <w:color w:val="000000"/>
                <w:sz w:val="22"/>
                <w:szCs w:val="22"/>
              </w:rPr>
              <w:t>-</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(Depreciable)</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H=B+E-F</w:t>
            </w:r>
          </w:p>
        </w:tc>
        <w:tc>
          <w:tcPr>
            <w:tcW w:w="678" w:type="pct"/>
            <w:vMerge w:val="restart"/>
            <w:shd w:val="clear" w:color="auto" w:fill="auto"/>
            <w:vAlign w:val="center"/>
            <w:hideMark/>
          </w:tcPr>
          <w:p w:rsidR="00771D79" w:rsidRDefault="00771D79">
            <w:pPr>
              <w:spacing w:before="0" w:line="240" w:lineRule="auto"/>
              <w:jc w:val="right"/>
              <w:rPr>
                <w:rFonts w:asciiTheme="minorHAnsi" w:hAnsiTheme="minorHAnsi"/>
                <w:sz w:val="22"/>
                <w:szCs w:val="22"/>
              </w:rPr>
            </w:pPr>
            <w:r>
              <w:rPr>
                <w:rFonts w:asciiTheme="minorHAnsi" w:hAnsiTheme="minorHAnsi"/>
                <w:sz w:val="22"/>
                <w:szCs w:val="22"/>
              </w:rPr>
              <w:t>908.21</w:t>
            </w:r>
          </w:p>
        </w:tc>
        <w:tc>
          <w:tcPr>
            <w:tcW w:w="811" w:type="pct"/>
            <w:shd w:val="clear" w:color="auto" w:fill="auto"/>
            <w:noWrap/>
            <w:vAlign w:val="center"/>
            <w:hideMark/>
          </w:tcPr>
          <w:p w:rsidR="00771D79" w:rsidRPr="004E29DE" w:rsidRDefault="00771D79" w:rsidP="004E29D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826.88</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 (Non Depreciable)</w:t>
            </w:r>
          </w:p>
        </w:tc>
        <w:tc>
          <w:tcPr>
            <w:tcW w:w="785" w:type="pct"/>
            <w:vAlign w:val="center"/>
          </w:tcPr>
          <w:p w:rsidR="00771D79" w:rsidRPr="00771D79" w:rsidRDefault="00771D79" w:rsidP="00771D79">
            <w:pPr>
              <w:spacing w:before="0" w:line="240" w:lineRule="auto"/>
              <w:jc w:val="center"/>
              <w:rPr>
                <w:rFonts w:asciiTheme="minorHAnsi" w:hAnsiTheme="minorHAnsi" w:cs="Arial"/>
                <w:bCs/>
                <w:caps/>
                <w:kern w:val="32"/>
                <w:sz w:val="22"/>
                <w:szCs w:val="22"/>
              </w:rPr>
            </w:pPr>
            <w:r w:rsidRPr="00771D79">
              <w:rPr>
                <w:rFonts w:asciiTheme="minorHAnsi" w:hAnsiTheme="minorHAnsi" w:cs="Arial"/>
                <w:bCs/>
                <w:caps/>
                <w:kern w:val="32"/>
                <w:sz w:val="22"/>
                <w:szCs w:val="22"/>
              </w:rPr>
              <w:t>I=C+G</w:t>
            </w:r>
          </w:p>
        </w:tc>
        <w:tc>
          <w:tcPr>
            <w:tcW w:w="678" w:type="pct"/>
            <w:vMerge/>
            <w:shd w:val="clear" w:color="auto" w:fill="auto"/>
            <w:vAlign w:val="center"/>
            <w:hideMark/>
          </w:tcPr>
          <w:p w:rsidR="00771D79" w:rsidRDefault="00771D79" w:rsidP="00D55642">
            <w:pPr>
              <w:spacing w:before="0" w:line="240" w:lineRule="auto"/>
              <w:jc w:val="right"/>
              <w:rPr>
                <w:rFonts w:asciiTheme="minorHAnsi" w:hAnsiTheme="minorHAnsi" w:cs="Arial"/>
                <w:b/>
                <w:bCs/>
                <w:caps/>
                <w:kern w:val="32"/>
                <w:sz w:val="22"/>
                <w:szCs w:val="22"/>
              </w:rPr>
            </w:pPr>
          </w:p>
        </w:tc>
        <w:tc>
          <w:tcPr>
            <w:tcW w:w="811" w:type="pct"/>
            <w:shd w:val="clear" w:color="auto" w:fill="auto"/>
            <w:noWrap/>
            <w:vAlign w:val="center"/>
            <w:hideMark/>
          </w:tcPr>
          <w:p w:rsidR="00771D79" w:rsidRDefault="00771D79" w:rsidP="004E29DE">
            <w:pPr>
              <w:spacing w:before="0" w:line="240" w:lineRule="auto"/>
              <w:jc w:val="right"/>
              <w:rPr>
                <w:rFonts w:asciiTheme="minorHAnsi" w:hAnsiTheme="minorHAnsi"/>
                <w:color w:val="000000"/>
                <w:sz w:val="22"/>
                <w:szCs w:val="22"/>
              </w:rPr>
            </w:pPr>
            <w:r>
              <w:rPr>
                <w:rFonts w:asciiTheme="minorHAnsi" w:hAnsiTheme="minorHAnsi"/>
                <w:color w:val="000000"/>
                <w:sz w:val="22"/>
                <w:szCs w:val="22"/>
              </w:rPr>
              <w:t>-</w:t>
            </w:r>
          </w:p>
        </w:tc>
      </w:tr>
      <w:tr w:rsidR="00771D79" w:rsidRPr="0081428E" w:rsidTr="00771D79">
        <w:trPr>
          <w:trHeight w:val="300"/>
        </w:trPr>
        <w:tc>
          <w:tcPr>
            <w:tcW w:w="2727" w:type="pct"/>
            <w:shd w:val="clear" w:color="auto" w:fill="auto"/>
            <w:hideMark/>
          </w:tcPr>
          <w:p w:rsidR="00771D79" w:rsidRDefault="00771D79">
            <w:pPr>
              <w:spacing w:before="0" w:line="240" w:lineRule="auto"/>
              <w:rPr>
                <w:rFonts w:asciiTheme="minorHAnsi" w:hAnsiTheme="minorHAnsi"/>
                <w:sz w:val="22"/>
                <w:szCs w:val="22"/>
              </w:rPr>
            </w:pPr>
            <w:r w:rsidRPr="0081428E">
              <w:rPr>
                <w:rFonts w:asciiTheme="minorHAnsi" w:hAnsiTheme="minorHAnsi"/>
                <w:sz w:val="22"/>
                <w:szCs w:val="22"/>
              </w:rPr>
              <w:t>Total Closing GFA as on 31</w:t>
            </w:r>
            <w:r w:rsidRPr="0081428E">
              <w:rPr>
                <w:rFonts w:asciiTheme="minorHAnsi" w:hAnsiTheme="minorHAnsi"/>
                <w:sz w:val="22"/>
                <w:szCs w:val="22"/>
                <w:vertAlign w:val="superscript"/>
              </w:rPr>
              <w:t>st</w:t>
            </w:r>
            <w:r w:rsidRPr="0081428E">
              <w:rPr>
                <w:rFonts w:asciiTheme="minorHAnsi" w:hAnsiTheme="minorHAnsi"/>
                <w:sz w:val="22"/>
                <w:szCs w:val="22"/>
              </w:rPr>
              <w:t xml:space="preserve"> March</w:t>
            </w:r>
          </w:p>
        </w:tc>
        <w:tc>
          <w:tcPr>
            <w:tcW w:w="785" w:type="pct"/>
            <w:vAlign w:val="center"/>
          </w:tcPr>
          <w:p w:rsidR="00771D79" w:rsidRPr="00771D79" w:rsidRDefault="00771D79" w:rsidP="00771D79">
            <w:pPr>
              <w:spacing w:before="0" w:line="240" w:lineRule="auto"/>
              <w:jc w:val="center"/>
              <w:rPr>
                <w:rFonts w:asciiTheme="minorHAnsi" w:hAnsiTheme="minorHAnsi"/>
                <w:sz w:val="22"/>
                <w:szCs w:val="22"/>
              </w:rPr>
            </w:pPr>
            <w:r w:rsidRPr="00771D79">
              <w:rPr>
                <w:rFonts w:asciiTheme="minorHAnsi" w:hAnsiTheme="minorHAnsi"/>
                <w:sz w:val="22"/>
                <w:szCs w:val="22"/>
              </w:rPr>
              <w:t>J=H+I</w:t>
            </w:r>
          </w:p>
        </w:tc>
        <w:tc>
          <w:tcPr>
            <w:tcW w:w="678" w:type="pct"/>
            <w:shd w:val="clear" w:color="auto" w:fill="auto"/>
            <w:noWrap/>
            <w:vAlign w:val="center"/>
            <w:hideMark/>
          </w:tcPr>
          <w:p w:rsidR="00771D79" w:rsidRPr="004E29DE" w:rsidRDefault="00771D79" w:rsidP="00D55642">
            <w:pPr>
              <w:spacing w:before="0" w:line="240" w:lineRule="auto"/>
              <w:jc w:val="right"/>
              <w:rPr>
                <w:rFonts w:asciiTheme="minorHAnsi" w:hAnsiTheme="minorHAnsi"/>
                <w:b/>
                <w:color w:val="000000"/>
                <w:sz w:val="22"/>
                <w:szCs w:val="22"/>
              </w:rPr>
            </w:pPr>
            <w:r>
              <w:rPr>
                <w:rFonts w:asciiTheme="minorHAnsi" w:hAnsiTheme="minorHAnsi"/>
                <w:sz w:val="22"/>
                <w:szCs w:val="22"/>
              </w:rPr>
              <w:t>908.21</w:t>
            </w:r>
          </w:p>
        </w:tc>
        <w:tc>
          <w:tcPr>
            <w:tcW w:w="811" w:type="pct"/>
            <w:shd w:val="clear" w:color="auto" w:fill="auto"/>
            <w:noWrap/>
            <w:vAlign w:val="center"/>
            <w:hideMark/>
          </w:tcPr>
          <w:p w:rsidR="00771D79" w:rsidRPr="004E29DE" w:rsidRDefault="00771D79" w:rsidP="00D55642">
            <w:pPr>
              <w:spacing w:before="0" w:line="240" w:lineRule="auto"/>
              <w:jc w:val="right"/>
              <w:rPr>
                <w:rFonts w:asciiTheme="minorHAnsi" w:hAnsiTheme="minorHAnsi"/>
                <w:b/>
                <w:color w:val="000000"/>
                <w:sz w:val="22"/>
                <w:szCs w:val="22"/>
              </w:rPr>
            </w:pPr>
            <w:r>
              <w:rPr>
                <w:rFonts w:asciiTheme="minorHAnsi" w:hAnsiTheme="minorHAnsi"/>
                <w:color w:val="000000"/>
                <w:sz w:val="22"/>
                <w:szCs w:val="22"/>
              </w:rPr>
              <w:t>826.88</w:t>
            </w:r>
          </w:p>
        </w:tc>
      </w:tr>
    </w:tbl>
    <w:p w:rsidR="00C34658" w:rsidRPr="00C60AD1" w:rsidRDefault="00C34658" w:rsidP="00C34658">
      <w:pPr>
        <w:tabs>
          <w:tab w:val="left" w:pos="360"/>
        </w:tabs>
        <w:spacing w:before="0"/>
      </w:pPr>
    </w:p>
    <w:p w:rsidR="00023318" w:rsidRDefault="00C34658" w:rsidP="00023318">
      <w:pPr>
        <w:pStyle w:val="Heading3"/>
        <w:tabs>
          <w:tab w:val="clear" w:pos="720"/>
        </w:tabs>
        <w:spacing w:after="240"/>
        <w:ind w:left="993" w:hanging="993"/>
      </w:pPr>
      <w:r w:rsidRPr="00C60AD1">
        <w:t xml:space="preserve">The Commission has projected the depreciation on assets created out of consumer contributions, capital grants and subsidies for FY </w:t>
      </w:r>
      <w:r>
        <w:t>2016-17</w:t>
      </w:r>
      <w:r w:rsidRPr="00C60AD1">
        <w:t xml:space="preserve"> in the same ratio as projected by the Petitioner. The Commission has reduced the equivalent depreciation on assets created out of consumer contributions, capital grants and subsidies. </w:t>
      </w:r>
    </w:p>
    <w:p w:rsidR="00023318" w:rsidRDefault="00C34658" w:rsidP="00023318">
      <w:pPr>
        <w:pStyle w:val="Heading3"/>
        <w:tabs>
          <w:tab w:val="clear" w:pos="720"/>
        </w:tabs>
        <w:spacing w:after="240"/>
        <w:ind w:left="993" w:hanging="993"/>
      </w:pPr>
      <w:r w:rsidRPr="00C60AD1">
        <w:t>The Commission, in its Tariff Order for FY 2013-14, has stipulated as under:</w:t>
      </w:r>
    </w:p>
    <w:p w:rsidR="004705AC" w:rsidRDefault="004705AC" w:rsidP="004705AC">
      <w:pPr>
        <w:pStyle w:val="Heading3"/>
        <w:numPr>
          <w:ilvl w:val="0"/>
          <w:numId w:val="0"/>
        </w:numPr>
        <w:ind w:left="1440"/>
        <w:rPr>
          <w:i/>
        </w:rPr>
      </w:pPr>
      <w:r>
        <w:rPr>
          <w:i/>
        </w:rPr>
        <w:t>“The Commission is also not satisfied with the explanation provided that the fixed asset registers could not be prepared as the Transfer Scheme finalisation is pending. The responsibility of the Transfer Scheme finalisation also rests with the Licensee. The Licensee needs to pursue with the GoUP to get the Transfer Scheme finalised. Nevertheless, it cannot be argued, that fixed asset registers capturing at least the yearly capitalisations could always have been prepared. The Commission directs the Licensee to prepare the fixed asset registers duly accounting for the yearly capitalisations from FY 2012-13 onwards. The capitalisations for the period before that may be shown on gross level basis. Upon finalisation of the Transfer Scheme, the Licensees may update the fixed asset registers appropriate by passing necessary adjustments.</w:t>
      </w:r>
      <w:r>
        <w:rPr>
          <w:bCs w:val="0"/>
          <w:i/>
        </w:rPr>
        <w:t>”</w:t>
      </w:r>
    </w:p>
    <w:p w:rsidR="004705AC" w:rsidRDefault="004705AC" w:rsidP="00EC6AAC">
      <w:pPr>
        <w:pStyle w:val="Heading3"/>
        <w:numPr>
          <w:ilvl w:val="2"/>
          <w:numId w:val="63"/>
        </w:numPr>
        <w:tabs>
          <w:tab w:val="clear" w:pos="720"/>
          <w:tab w:val="num" w:pos="1646"/>
        </w:tabs>
        <w:spacing w:after="240"/>
        <w:ind w:left="993" w:hanging="993"/>
      </w:pPr>
      <w:r>
        <w:t xml:space="preserve">The Commission has repeatedly given several directions to the Licensee to ensure that proper and detailed Fixed Assets Registers are maintained at the field offices. Further, the Hon’ble APTEL in Appeal No. 121 of 2010 &amp; I.A. No. 83 of 2011 has also reinforced Commission’s views and has directed the </w:t>
      </w:r>
      <w:r>
        <w:lastRenderedPageBreak/>
        <w:t xml:space="preserve">Licensee to comply with the regulations and directions issued by the Commission. </w:t>
      </w:r>
    </w:p>
    <w:p w:rsidR="004705AC" w:rsidRDefault="004705AC" w:rsidP="00EC6AAC">
      <w:pPr>
        <w:pStyle w:val="Heading3"/>
        <w:numPr>
          <w:ilvl w:val="2"/>
          <w:numId w:val="63"/>
        </w:numPr>
        <w:tabs>
          <w:tab w:val="clear" w:pos="720"/>
          <w:tab w:val="num" w:pos="1646"/>
        </w:tabs>
        <w:spacing w:after="240"/>
        <w:ind w:left="993" w:hanging="993"/>
      </w:pPr>
      <w:r>
        <w:rPr>
          <w:bCs w:val="0"/>
        </w:rPr>
        <w:t>As a first step towards reprimanding the Licensee over the issue of non-maintenance of fixed asset registers, the Commission ha</w:t>
      </w:r>
      <w:r w:rsidR="008F04C1">
        <w:rPr>
          <w:bCs w:val="0"/>
        </w:rPr>
        <w:t>d</w:t>
      </w:r>
      <w:r>
        <w:rPr>
          <w:bCs w:val="0"/>
        </w:rPr>
        <w:t xml:space="preserve"> withheld</w:t>
      </w:r>
      <w:r w:rsidR="008F04C1">
        <w:rPr>
          <w:bCs w:val="0"/>
        </w:rPr>
        <w:t xml:space="preserve"> </w:t>
      </w:r>
      <w:r>
        <w:rPr>
          <w:bCs w:val="0"/>
        </w:rPr>
        <w:t>2</w:t>
      </w:r>
      <w:r w:rsidR="008F04C1">
        <w:rPr>
          <w:bCs w:val="0"/>
        </w:rPr>
        <w:t>0</w:t>
      </w:r>
      <w:r>
        <w:rPr>
          <w:bCs w:val="0"/>
        </w:rPr>
        <w:t xml:space="preserve">% of the allowable </w:t>
      </w:r>
      <w:r w:rsidR="00023318" w:rsidRPr="00023318">
        <w:rPr>
          <w:bCs w:val="0"/>
        </w:rPr>
        <w:t>depreciation for FY 201</w:t>
      </w:r>
      <w:r w:rsidR="008F04C1">
        <w:rPr>
          <w:bCs w:val="0"/>
        </w:rPr>
        <w:t>5-16</w:t>
      </w:r>
      <w:r w:rsidR="00023318" w:rsidRPr="00023318">
        <w:rPr>
          <w:bCs w:val="0"/>
        </w:rPr>
        <w:t>.</w:t>
      </w:r>
      <w:r w:rsidR="008F04C1">
        <w:rPr>
          <w:bCs w:val="0"/>
        </w:rPr>
        <w:t xml:space="preserve"> In similar line, the Commission has withheld 25% of the allowable </w:t>
      </w:r>
      <w:r w:rsidR="008F04C1" w:rsidRPr="008F04C1">
        <w:rPr>
          <w:bCs w:val="0"/>
        </w:rPr>
        <w:t>depreciation for FY 201</w:t>
      </w:r>
      <w:r w:rsidR="008F04C1">
        <w:rPr>
          <w:bCs w:val="0"/>
        </w:rPr>
        <w:t>6-17</w:t>
      </w:r>
      <w:r w:rsidR="008F04C1" w:rsidRPr="008F04C1">
        <w:rPr>
          <w:bCs w:val="0"/>
        </w:rPr>
        <w:t>.</w:t>
      </w:r>
      <w:r w:rsidR="008F04C1">
        <w:rPr>
          <w:bCs w:val="0"/>
        </w:rPr>
        <w:t xml:space="preserve"> </w:t>
      </w:r>
      <w:r w:rsidR="00023318" w:rsidRPr="00023318">
        <w:rPr>
          <w:bCs w:val="0"/>
        </w:rPr>
        <w:t xml:space="preserve"> The Licensee is further directed to submit the complete details pertaining to Fixed Asset Register for </w:t>
      </w:r>
      <w:r w:rsidR="008F04C1">
        <w:rPr>
          <w:bCs w:val="0"/>
        </w:rPr>
        <w:t>FY 2014-15 and FY 2015-16</w:t>
      </w:r>
      <w:r w:rsidR="00023318" w:rsidRPr="00023318">
        <w:rPr>
          <w:bCs w:val="0"/>
        </w:rPr>
        <w:t xml:space="preserve"> along with the ARR Petition for FY 2017-18,</w:t>
      </w:r>
      <w:r>
        <w:rPr>
          <w:bCs w:val="0"/>
        </w:rPr>
        <w:t xml:space="preserve"> otherwise the withheld amount may not be allowed by the Commission. </w:t>
      </w:r>
    </w:p>
    <w:p w:rsidR="004705AC" w:rsidRDefault="004705AC" w:rsidP="00EC6AAC">
      <w:pPr>
        <w:pStyle w:val="Heading3"/>
        <w:numPr>
          <w:ilvl w:val="2"/>
          <w:numId w:val="63"/>
        </w:numPr>
        <w:tabs>
          <w:tab w:val="clear" w:pos="720"/>
          <w:tab w:val="num" w:pos="1646"/>
        </w:tabs>
        <w:spacing w:after="240"/>
        <w:ind w:left="993" w:hanging="993"/>
      </w:pPr>
      <w:r>
        <w:t>In view of the above, the net depreciation expense approved by the Commission for FY 2016-17 is shown in the Table below:</w:t>
      </w:r>
    </w:p>
    <w:p w:rsidR="00C34658" w:rsidRPr="006C08CE" w:rsidRDefault="00C34658" w:rsidP="00C34658">
      <w:pPr>
        <w:jc w:val="center"/>
        <w:rPr>
          <w:rFonts w:cstheme="minorHAnsi"/>
          <w:b/>
          <w:sz w:val="22"/>
        </w:rPr>
      </w:pPr>
      <w:bookmarkStart w:id="1038" w:name="_Toc338310713"/>
      <w:bookmarkStart w:id="1039" w:name="_Toc338419543"/>
      <w:bookmarkStart w:id="1040" w:name="_Toc357718751"/>
      <w:bookmarkStart w:id="1041" w:name="_Toc395657975"/>
      <w:bookmarkStart w:id="1042" w:name="_Toc396574026"/>
      <w:bookmarkStart w:id="1043" w:name="_Toc419992322"/>
      <w:bookmarkStart w:id="1044" w:name="_Toc453367704"/>
      <w:bookmarkStart w:id="1045" w:name="_Toc457355647"/>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23</w:t>
      </w:r>
      <w:r w:rsidR="004A2D9E" w:rsidRPr="006C08CE">
        <w:rPr>
          <w:rFonts w:cstheme="minorHAnsi"/>
          <w:b/>
          <w:sz w:val="22"/>
        </w:rPr>
        <w:fldChar w:fldCharType="end"/>
      </w:r>
      <w:r w:rsidRPr="006C08CE">
        <w:rPr>
          <w:rFonts w:cstheme="minorHAnsi"/>
          <w:b/>
          <w:sz w:val="22"/>
        </w:rPr>
        <w:t>: APPROVED DEPRECIATION FOR FY 2016-17 (Rs. Crore)</w:t>
      </w:r>
      <w:bookmarkEnd w:id="1038"/>
      <w:bookmarkEnd w:id="1039"/>
      <w:bookmarkEnd w:id="1040"/>
      <w:bookmarkEnd w:id="1041"/>
      <w:bookmarkEnd w:id="1042"/>
      <w:bookmarkEnd w:id="1043"/>
      <w:bookmarkEnd w:id="1044"/>
      <w:bookmarkEnd w:id="1045"/>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4880"/>
        <w:gridCol w:w="1622"/>
        <w:gridCol w:w="1080"/>
        <w:gridCol w:w="1303"/>
      </w:tblGrid>
      <w:tr w:rsidR="003D7B35" w:rsidRPr="003D7B35" w:rsidTr="004E5A52">
        <w:trPr>
          <w:trHeight w:val="600"/>
          <w:tblHeader/>
        </w:trPr>
        <w:tc>
          <w:tcPr>
            <w:tcW w:w="2746"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913"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Derivation</w:t>
            </w:r>
          </w:p>
        </w:tc>
        <w:tc>
          <w:tcPr>
            <w:tcW w:w="608"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733"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Depreciation Rate</w:t>
            </w:r>
          </w:p>
        </w:tc>
        <w:tc>
          <w:tcPr>
            <w:tcW w:w="913" w:type="pct"/>
            <w:shd w:val="clear" w:color="auto" w:fill="auto"/>
            <w:vAlign w:val="center"/>
            <w:hideMark/>
          </w:tcPr>
          <w:p w:rsidR="004705AC" w:rsidRPr="003D7B35" w:rsidRDefault="004705AC" w:rsidP="00D55642">
            <w:pPr>
              <w:spacing w:before="0" w:line="240" w:lineRule="auto"/>
              <w:jc w:val="center"/>
              <w:rPr>
                <w:rFonts w:asciiTheme="minorHAnsi" w:hAnsiTheme="minorHAnsi"/>
                <w:sz w:val="22"/>
                <w:szCs w:val="22"/>
              </w:rPr>
            </w:pPr>
            <w:r w:rsidRPr="00027D0D">
              <w:rPr>
                <w:rFonts w:asciiTheme="minorHAnsi" w:hAnsiTheme="minorHAnsi"/>
                <w:sz w:val="22"/>
                <w:szCs w:val="22"/>
              </w:rPr>
              <w:t>A</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cs="Arial"/>
                <w:bCs/>
                <w:caps/>
                <w:kern w:val="32"/>
                <w:sz w:val="22"/>
                <w:szCs w:val="22"/>
              </w:rPr>
            </w:pPr>
            <w:r w:rsidRPr="00023318">
              <w:rPr>
                <w:rFonts w:asciiTheme="minorHAnsi" w:hAnsiTheme="minorHAnsi" w:cs="Arial"/>
                <w:sz w:val="22"/>
                <w:szCs w:val="22"/>
              </w:rPr>
              <w:t>7.84%</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cs="Arial"/>
                <w:bCs/>
                <w:caps/>
                <w:kern w:val="32"/>
                <w:sz w:val="22"/>
                <w:szCs w:val="22"/>
              </w:rPr>
            </w:pPr>
            <w:r w:rsidRPr="00023318">
              <w:rPr>
                <w:rFonts w:asciiTheme="minorHAnsi" w:hAnsiTheme="minorHAnsi" w:cs="Arial"/>
                <w:color w:val="000000"/>
                <w:sz w:val="22"/>
                <w:szCs w:val="22"/>
              </w:rPr>
              <w:t>7.84%</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Opening GFA as on 1</w:t>
            </w:r>
            <w:r w:rsidRPr="00027D0D">
              <w:rPr>
                <w:rFonts w:asciiTheme="minorHAnsi" w:hAnsiTheme="minorHAnsi"/>
                <w:sz w:val="22"/>
                <w:szCs w:val="22"/>
                <w:vertAlign w:val="superscript"/>
              </w:rPr>
              <w:t>st</w:t>
            </w:r>
            <w:r w:rsidRPr="00027D0D">
              <w:rPr>
                <w:rFonts w:asciiTheme="minorHAnsi" w:hAnsiTheme="minorHAnsi"/>
                <w:sz w:val="22"/>
                <w:szCs w:val="22"/>
              </w:rPr>
              <w:t xml:space="preserve"> April (Depreciable)</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B</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sz w:val="22"/>
                <w:szCs w:val="22"/>
              </w:rPr>
              <w:t>747.29</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color w:val="000000"/>
                <w:sz w:val="22"/>
                <w:szCs w:val="22"/>
              </w:rPr>
              <w:t xml:space="preserve">713.35 </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Addition to GFA during the year (Depreciable)</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C</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sz w:val="22"/>
                <w:szCs w:val="22"/>
              </w:rPr>
              <w:t>160.92</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color w:val="000000"/>
                <w:sz w:val="22"/>
                <w:szCs w:val="22"/>
              </w:rPr>
              <w:t xml:space="preserve">113.53 </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b/>
                <w:sz w:val="22"/>
                <w:szCs w:val="22"/>
              </w:rPr>
            </w:pPr>
            <w:r w:rsidRPr="00027D0D">
              <w:rPr>
                <w:rFonts w:asciiTheme="minorHAnsi" w:hAnsiTheme="minorHAnsi"/>
                <w:b/>
                <w:sz w:val="22"/>
                <w:szCs w:val="22"/>
              </w:rPr>
              <w:t>Depreciation on Opening  GFA + Addition during the year</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D = (A*B)+(C*A/2)</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64.90 </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60.38 </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Less:</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p>
        </w:tc>
        <w:tc>
          <w:tcPr>
            <w:tcW w:w="608" w:type="pct"/>
            <w:shd w:val="clear" w:color="auto" w:fill="auto"/>
            <w:vAlign w:val="center"/>
            <w:hideMark/>
          </w:tcPr>
          <w:p w:rsidR="004705AC" w:rsidRPr="004705AC" w:rsidRDefault="004705AC" w:rsidP="004705AC">
            <w:pPr>
              <w:spacing w:before="0" w:line="240" w:lineRule="auto"/>
              <w:jc w:val="right"/>
              <w:rPr>
                <w:rFonts w:asciiTheme="minorHAnsi" w:hAnsiTheme="minorHAnsi"/>
                <w:sz w:val="22"/>
                <w:szCs w:val="22"/>
              </w:rPr>
            </w:pPr>
          </w:p>
        </w:tc>
        <w:tc>
          <w:tcPr>
            <w:tcW w:w="733" w:type="pct"/>
            <w:shd w:val="clear" w:color="auto" w:fill="auto"/>
            <w:noWrap/>
            <w:vAlign w:val="center"/>
            <w:hideMark/>
          </w:tcPr>
          <w:p w:rsidR="004705AC" w:rsidRPr="004705AC" w:rsidRDefault="004705AC" w:rsidP="004705AC">
            <w:pPr>
              <w:spacing w:before="0" w:line="240" w:lineRule="auto"/>
              <w:jc w:val="right"/>
              <w:rPr>
                <w:rFonts w:asciiTheme="minorHAnsi" w:hAnsiTheme="minorHAnsi"/>
                <w:sz w:val="22"/>
                <w:szCs w:val="22"/>
              </w:rPr>
            </w:pPr>
          </w:p>
        </w:tc>
      </w:tr>
      <w:tr w:rsidR="004705AC" w:rsidRPr="003D7B35" w:rsidTr="004705AC">
        <w:trPr>
          <w:trHeight w:val="6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 xml:space="preserve">Depreciation on  assets created from </w:t>
            </w:r>
            <w:r w:rsidRPr="00027D0D">
              <w:rPr>
                <w:rFonts w:asciiTheme="minorHAnsi" w:hAnsiTheme="minorHAnsi"/>
                <w:sz w:val="22"/>
                <w:szCs w:val="22"/>
              </w:rPr>
              <w:br/>
              <w:t>Consumer Contribution and Capital Assets Subsidy</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E</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color w:val="000000"/>
                <w:sz w:val="22"/>
                <w:szCs w:val="22"/>
              </w:rPr>
              <w:t xml:space="preserve">17.51 </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color w:val="000000"/>
                <w:sz w:val="22"/>
                <w:szCs w:val="22"/>
              </w:rPr>
              <w:t xml:space="preserve">16.29 </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b/>
                <w:sz w:val="22"/>
                <w:szCs w:val="22"/>
              </w:rPr>
            </w:pPr>
            <w:r w:rsidRPr="00027D0D">
              <w:rPr>
                <w:rFonts w:asciiTheme="minorHAnsi" w:hAnsiTheme="minorHAnsi"/>
                <w:b/>
                <w:sz w:val="22"/>
                <w:szCs w:val="22"/>
              </w:rPr>
              <w:t>Allowable Depreciation for 2016-17</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F=D-E</w:t>
            </w:r>
          </w:p>
        </w:tc>
        <w:tc>
          <w:tcPr>
            <w:tcW w:w="608" w:type="pct"/>
            <w:shd w:val="clear" w:color="auto" w:fill="auto"/>
            <w:noWrap/>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47.38 </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44.08 </w:t>
            </w:r>
          </w:p>
        </w:tc>
      </w:tr>
      <w:tr w:rsidR="004705AC" w:rsidRPr="003D7B35" w:rsidTr="004705AC">
        <w:trPr>
          <w:trHeight w:val="600"/>
        </w:trPr>
        <w:tc>
          <w:tcPr>
            <w:tcW w:w="2746" w:type="pct"/>
            <w:shd w:val="clear" w:color="auto" w:fill="auto"/>
            <w:vAlign w:val="center"/>
            <w:hideMark/>
          </w:tcPr>
          <w:p w:rsidR="004705AC" w:rsidRDefault="004705AC">
            <w:pPr>
              <w:spacing w:before="0" w:line="240" w:lineRule="auto"/>
              <w:rPr>
                <w:rFonts w:asciiTheme="minorHAnsi" w:hAnsiTheme="minorHAnsi"/>
                <w:sz w:val="22"/>
                <w:szCs w:val="22"/>
              </w:rPr>
            </w:pPr>
            <w:r w:rsidRPr="00027D0D">
              <w:rPr>
                <w:rFonts w:asciiTheme="minorHAnsi" w:hAnsiTheme="minorHAnsi"/>
                <w:sz w:val="22"/>
                <w:szCs w:val="22"/>
              </w:rPr>
              <w:t>Less: Depreciation withheld due to non-maintenance of Fixed Asset Register</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G = F*</w:t>
            </w:r>
            <w:r>
              <w:rPr>
                <w:rFonts w:asciiTheme="minorHAnsi" w:hAnsiTheme="minorHAnsi"/>
                <w:sz w:val="22"/>
                <w:szCs w:val="22"/>
              </w:rPr>
              <w:t>25</w:t>
            </w:r>
            <w:r w:rsidRPr="007132A6">
              <w:rPr>
                <w:rFonts w:asciiTheme="minorHAnsi" w:hAnsiTheme="minorHAnsi"/>
                <w:sz w:val="22"/>
                <w:szCs w:val="22"/>
              </w:rPr>
              <w:t>%</w:t>
            </w:r>
          </w:p>
        </w:tc>
        <w:tc>
          <w:tcPr>
            <w:tcW w:w="608" w:type="pct"/>
            <w:shd w:val="clear" w:color="auto" w:fill="auto"/>
            <w:vAlign w:val="center"/>
            <w:hideMark/>
          </w:tcPr>
          <w:p w:rsidR="004705AC" w:rsidRPr="004705AC" w:rsidRDefault="004705AC" w:rsidP="004705AC">
            <w:pPr>
              <w:spacing w:before="0" w:line="240" w:lineRule="auto"/>
              <w:jc w:val="right"/>
              <w:rPr>
                <w:rFonts w:asciiTheme="minorHAnsi" w:hAnsiTheme="minorHAnsi" w:cs="Arial"/>
                <w:b/>
                <w:bCs/>
                <w:caps/>
                <w:kern w:val="32"/>
                <w:sz w:val="22"/>
                <w:szCs w:val="22"/>
              </w:rPr>
            </w:pP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11.02 </w:t>
            </w:r>
          </w:p>
        </w:tc>
      </w:tr>
      <w:tr w:rsidR="004705AC" w:rsidRPr="003D7B35" w:rsidTr="004705AC">
        <w:trPr>
          <w:trHeight w:val="300"/>
        </w:trPr>
        <w:tc>
          <w:tcPr>
            <w:tcW w:w="2746" w:type="pct"/>
            <w:shd w:val="clear" w:color="auto" w:fill="auto"/>
            <w:vAlign w:val="center"/>
            <w:hideMark/>
          </w:tcPr>
          <w:p w:rsidR="004705AC" w:rsidRDefault="004705AC">
            <w:pPr>
              <w:spacing w:before="0" w:line="240" w:lineRule="auto"/>
              <w:rPr>
                <w:rFonts w:asciiTheme="minorHAnsi" w:hAnsiTheme="minorHAnsi"/>
                <w:b/>
                <w:sz w:val="22"/>
                <w:szCs w:val="22"/>
              </w:rPr>
            </w:pPr>
            <w:r w:rsidRPr="00027D0D">
              <w:rPr>
                <w:rFonts w:asciiTheme="minorHAnsi" w:hAnsiTheme="minorHAnsi"/>
                <w:b/>
                <w:sz w:val="22"/>
                <w:szCs w:val="22"/>
              </w:rPr>
              <w:t>Net Allowable Depreciation for FY 2016-17</w:t>
            </w:r>
          </w:p>
        </w:tc>
        <w:tc>
          <w:tcPr>
            <w:tcW w:w="913" w:type="pct"/>
            <w:shd w:val="clear" w:color="auto" w:fill="auto"/>
            <w:vAlign w:val="center"/>
            <w:hideMark/>
          </w:tcPr>
          <w:p w:rsidR="004705AC" w:rsidRPr="007132A6" w:rsidRDefault="004705AC" w:rsidP="007132A6">
            <w:pPr>
              <w:spacing w:before="0" w:line="240" w:lineRule="auto"/>
              <w:jc w:val="center"/>
              <w:rPr>
                <w:rFonts w:asciiTheme="minorHAnsi" w:hAnsiTheme="minorHAnsi"/>
                <w:sz w:val="22"/>
                <w:szCs w:val="22"/>
              </w:rPr>
            </w:pPr>
            <w:r w:rsidRPr="007132A6">
              <w:rPr>
                <w:rFonts w:asciiTheme="minorHAnsi" w:hAnsiTheme="minorHAnsi"/>
                <w:sz w:val="22"/>
                <w:szCs w:val="22"/>
              </w:rPr>
              <w:t>H = F – G</w:t>
            </w:r>
          </w:p>
        </w:tc>
        <w:tc>
          <w:tcPr>
            <w:tcW w:w="608" w:type="pct"/>
            <w:shd w:val="clear" w:color="auto" w:fill="auto"/>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47.38 </w:t>
            </w:r>
          </w:p>
        </w:tc>
        <w:tc>
          <w:tcPr>
            <w:tcW w:w="733" w:type="pct"/>
            <w:shd w:val="clear" w:color="auto" w:fill="auto"/>
            <w:noWrap/>
            <w:vAlign w:val="center"/>
            <w:hideMark/>
          </w:tcPr>
          <w:p w:rsidR="004705AC" w:rsidRPr="004705AC" w:rsidRDefault="00023318" w:rsidP="004705AC">
            <w:pPr>
              <w:spacing w:before="0" w:line="240" w:lineRule="auto"/>
              <w:jc w:val="right"/>
              <w:rPr>
                <w:rFonts w:asciiTheme="minorHAnsi" w:hAnsiTheme="minorHAnsi"/>
                <w:b/>
                <w:sz w:val="22"/>
                <w:szCs w:val="22"/>
              </w:rPr>
            </w:pPr>
            <w:r w:rsidRPr="00023318">
              <w:rPr>
                <w:rFonts w:asciiTheme="minorHAnsi" w:hAnsiTheme="minorHAnsi" w:cs="Arial"/>
                <w:b/>
                <w:bCs/>
                <w:color w:val="000000"/>
                <w:sz w:val="22"/>
                <w:szCs w:val="22"/>
              </w:rPr>
              <w:t xml:space="preserve">33.06 </w:t>
            </w:r>
          </w:p>
        </w:tc>
      </w:tr>
    </w:tbl>
    <w:p w:rsidR="00C34658" w:rsidRPr="00C60AD1" w:rsidRDefault="00C34658" w:rsidP="00C34658">
      <w:pPr>
        <w:tabs>
          <w:tab w:val="left" w:pos="720"/>
        </w:tabs>
        <w:spacing w:before="0"/>
        <w:jc w:val="center"/>
        <w:outlineLvl w:val="2"/>
        <w:rPr>
          <w:rFonts w:cs="Arial"/>
          <w:bCs/>
          <w:szCs w:val="26"/>
        </w:rPr>
      </w:pPr>
    </w:p>
    <w:p w:rsidR="00C34658" w:rsidRPr="00C60AD1" w:rsidRDefault="00C34658" w:rsidP="00BA3941">
      <w:pPr>
        <w:pStyle w:val="Heading2"/>
        <w:numPr>
          <w:ilvl w:val="1"/>
          <w:numId w:val="14"/>
        </w:numPr>
      </w:pPr>
      <w:bookmarkStart w:id="1046" w:name="_Toc356322606"/>
      <w:bookmarkStart w:id="1047" w:name="_Toc357718671"/>
      <w:bookmarkStart w:id="1048" w:name="_Toc396573843"/>
      <w:bookmarkStart w:id="1049" w:name="_Toc419992298"/>
      <w:bookmarkStart w:id="1050" w:name="_Toc453367620"/>
      <w:bookmarkStart w:id="1051" w:name="_Toc457355498"/>
      <w:r w:rsidRPr="00C60AD1">
        <w:t>INTEREST AND FINANCING COST</w:t>
      </w:r>
      <w:bookmarkEnd w:id="1046"/>
      <w:bookmarkEnd w:id="1047"/>
      <w:bookmarkEnd w:id="1048"/>
      <w:bookmarkEnd w:id="1049"/>
      <w:bookmarkEnd w:id="1050"/>
      <w:bookmarkEnd w:id="1051"/>
    </w:p>
    <w:p w:rsidR="00C34658" w:rsidRPr="00C60AD1" w:rsidRDefault="00C34658" w:rsidP="00C34658">
      <w:pPr>
        <w:tabs>
          <w:tab w:val="left" w:pos="720"/>
        </w:tabs>
        <w:ind w:left="180"/>
        <w:outlineLvl w:val="2"/>
        <w:rPr>
          <w:rFonts w:cs="Arial"/>
          <w:b/>
          <w:bCs/>
          <w:szCs w:val="26"/>
        </w:rPr>
      </w:pPr>
      <w:r w:rsidRPr="00C60AD1">
        <w:rPr>
          <w:rFonts w:cs="Arial"/>
          <w:b/>
          <w:bCs/>
          <w:szCs w:val="26"/>
        </w:rPr>
        <w:t xml:space="preserve">Interest on Long Term Loans </w:t>
      </w:r>
    </w:p>
    <w:p w:rsidR="00023318" w:rsidRDefault="00C34658" w:rsidP="00023318">
      <w:pPr>
        <w:pStyle w:val="Heading3"/>
        <w:tabs>
          <w:tab w:val="clear" w:pos="720"/>
        </w:tabs>
        <w:spacing w:after="240"/>
        <w:ind w:left="993" w:hanging="993"/>
      </w:pPr>
      <w:r w:rsidRPr="00C60AD1">
        <w:t xml:space="preserve">The Petitioner submitted that it has considered a normative approach with a debt: equity ratio of 70:30. In this approach, 70% of the capital expenditure undertaken in any year has been considered to be financed through loan and balance 30% has been considered to be funded through equity contributions. The portion of capital expenditure financed through consumer contributions, </w:t>
      </w:r>
      <w:r w:rsidRPr="00C60AD1">
        <w:lastRenderedPageBreak/>
        <w:t xml:space="preserve">capital subsidies and grants has been separated as the depreciation and interest thereon has not been charged to the beneficiaries. </w:t>
      </w:r>
    </w:p>
    <w:p w:rsidR="00023318" w:rsidRDefault="00C34658" w:rsidP="00023318">
      <w:pPr>
        <w:pStyle w:val="Heading3"/>
        <w:tabs>
          <w:tab w:val="clear" w:pos="720"/>
        </w:tabs>
        <w:spacing w:after="240"/>
        <w:ind w:left="993" w:hanging="993"/>
      </w:pPr>
      <w:r w:rsidRPr="00C60AD1">
        <w:t>The Petitioner submitted that the allowable depreciation for the year has been considered as normative loan repayment. The weighted average rate of interest of overall long term loan portfol</w:t>
      </w:r>
      <w:r w:rsidRPr="00FD5403">
        <w:t xml:space="preserve">io </w:t>
      </w:r>
      <w:r w:rsidR="00023318" w:rsidRPr="00023318">
        <w:t>for FY 2014</w:t>
      </w:r>
      <w:r w:rsidR="00882455">
        <w:t>-15</w:t>
      </w:r>
      <w:r w:rsidR="00023318" w:rsidRPr="00023318">
        <w:t xml:space="preserve"> has</w:t>
      </w:r>
      <w:r w:rsidRPr="00C60AD1">
        <w:t xml:space="preserve"> been considered for </w:t>
      </w:r>
      <w:r>
        <w:t xml:space="preserve">FY 2015-16 and </w:t>
      </w:r>
      <w:r w:rsidRPr="00C60AD1">
        <w:t xml:space="preserve">FY </w:t>
      </w:r>
      <w:r>
        <w:t>2016-17</w:t>
      </w:r>
      <w:r w:rsidRPr="00C60AD1">
        <w:t>, as it seems to be fair and equitable. The interest capitalization has been considered at a rate of 23% which is consistent with the rate considered by the Commission in previous Tariff Orders.</w:t>
      </w:r>
    </w:p>
    <w:p w:rsidR="00023318" w:rsidRDefault="00C34658" w:rsidP="00023318">
      <w:pPr>
        <w:pStyle w:val="Heading3"/>
        <w:tabs>
          <w:tab w:val="clear" w:pos="720"/>
        </w:tabs>
        <w:spacing w:after="240"/>
        <w:ind w:left="993" w:hanging="993"/>
      </w:pPr>
      <w:r w:rsidRPr="00C60AD1">
        <w:t>It is observed that the Petitioner has computed interest on long term loan based on the normative approach adopted by the Commission in its previous Orders. Therefore, the Commission has approved the methodology used by the Petitioner. However, the Commission has computed the interest on long term loan based on the revised opening and closing loan balances approved in earlier sections while doing up the Truing up of FY 201</w:t>
      </w:r>
      <w:r>
        <w:t>3</w:t>
      </w:r>
      <w:r w:rsidRPr="00C60AD1">
        <w:t>-1</w:t>
      </w:r>
      <w:r>
        <w:t>4</w:t>
      </w:r>
      <w:r w:rsidRPr="00C60AD1">
        <w:t xml:space="preserve">. Also the loan addition during FY </w:t>
      </w:r>
      <w:r>
        <w:t>2016-17</w:t>
      </w:r>
      <w:r w:rsidRPr="00C60AD1">
        <w:t xml:space="preserve"> has been considered as worked out in earlier section of this Chapter.</w:t>
      </w:r>
      <w:r w:rsidR="009039B0">
        <w:t xml:space="preserve"> </w:t>
      </w:r>
      <w:r w:rsidRPr="00C60AD1">
        <w:t xml:space="preserve">The allowable depreciation for the year has been considered as normative loan repayment. </w:t>
      </w:r>
    </w:p>
    <w:p w:rsidR="00023318" w:rsidRDefault="00C34658" w:rsidP="00023318">
      <w:pPr>
        <w:pStyle w:val="Heading3"/>
        <w:tabs>
          <w:tab w:val="clear" w:pos="720"/>
        </w:tabs>
        <w:spacing w:after="240"/>
        <w:ind w:left="993" w:hanging="993"/>
      </w:pPr>
      <w:r w:rsidRPr="00C60AD1">
        <w:t xml:space="preserve">The weighted average rate of interest as submitted by the Petitioner has been considered for computing the interest on long term loans for FY </w:t>
      </w:r>
      <w:r>
        <w:t>2016-17</w:t>
      </w:r>
      <w:r w:rsidRPr="00C60AD1">
        <w:t>. Further, the interest capitalisation has been considered at a rate of 23%, which is same as the Petitioner’s submission and is also consistent with the methodology adopted by the Commission in its previous Order.The interest on long term loan as claimed by the Petitioner and as approved by the Commission is shown in the Table below:</w:t>
      </w:r>
    </w:p>
    <w:p w:rsidR="00C34658" w:rsidRPr="006C08CE" w:rsidRDefault="00C34658" w:rsidP="00C34658">
      <w:pPr>
        <w:jc w:val="center"/>
        <w:rPr>
          <w:rFonts w:cstheme="minorHAnsi"/>
          <w:b/>
          <w:sz w:val="22"/>
        </w:rPr>
      </w:pPr>
      <w:bookmarkStart w:id="1052" w:name="_Toc357718752"/>
      <w:bookmarkStart w:id="1053" w:name="_Toc395657976"/>
      <w:bookmarkStart w:id="1054" w:name="_Toc396574027"/>
      <w:bookmarkStart w:id="1055" w:name="_Toc419992323"/>
      <w:bookmarkStart w:id="1056" w:name="_Toc453367705"/>
      <w:bookmarkStart w:id="1057" w:name="_Toc457355648"/>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24</w:t>
      </w:r>
      <w:r w:rsidR="004A2D9E" w:rsidRPr="006C08CE">
        <w:rPr>
          <w:rFonts w:cstheme="minorHAnsi"/>
          <w:b/>
          <w:sz w:val="22"/>
        </w:rPr>
        <w:fldChar w:fldCharType="end"/>
      </w:r>
      <w:r w:rsidRPr="006C08CE">
        <w:rPr>
          <w:rFonts w:cstheme="minorHAnsi"/>
          <w:b/>
          <w:sz w:val="22"/>
        </w:rPr>
        <w:t>: INTEREST ON LONG TERM LOANS UP TO FY 2016-17 (Rs. Crore)</w:t>
      </w:r>
      <w:bookmarkEnd w:id="1052"/>
      <w:bookmarkEnd w:id="1053"/>
      <w:bookmarkEnd w:id="1054"/>
      <w:bookmarkEnd w:id="1055"/>
      <w:bookmarkEnd w:id="1056"/>
      <w:bookmarkEnd w:id="1057"/>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329"/>
        <w:gridCol w:w="1528"/>
        <w:gridCol w:w="2028"/>
      </w:tblGrid>
      <w:tr w:rsidR="00C34658" w:rsidRPr="00945E17" w:rsidTr="00945E17">
        <w:trPr>
          <w:trHeight w:val="600"/>
          <w:tblHeader/>
          <w:jc w:val="center"/>
        </w:trPr>
        <w:tc>
          <w:tcPr>
            <w:tcW w:w="2999"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860" w:type="pct"/>
            <w:shd w:val="clear" w:color="000000" w:fill="DBE5F1"/>
            <w:noWrap/>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ARR Petition</w:t>
            </w:r>
          </w:p>
        </w:tc>
        <w:tc>
          <w:tcPr>
            <w:tcW w:w="114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Opening Loan</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color w:val="000000"/>
                <w:sz w:val="22"/>
                <w:szCs w:val="22"/>
              </w:rPr>
              <w:t>103.08</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Arial" w:hAnsi="Arial" w:cs="Arial"/>
                <w:sz w:val="20"/>
                <w:szCs w:val="20"/>
              </w:rPr>
              <w:t xml:space="preserve">              59.21 </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Loan Additions (70% of Investments)</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color w:val="000000"/>
                <w:sz w:val="22"/>
                <w:szCs w:val="22"/>
              </w:rPr>
              <w:t>128.99</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Arial" w:hAnsi="Arial" w:cs="Arial"/>
                <w:sz w:val="20"/>
                <w:szCs w:val="20"/>
              </w:rPr>
              <w:t xml:space="preserve">              90.29 </w:t>
            </w:r>
          </w:p>
        </w:tc>
      </w:tr>
      <w:tr w:rsidR="004705AC" w:rsidRPr="00945E17" w:rsidTr="00D55642">
        <w:trPr>
          <w:trHeight w:val="287"/>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Less: Repayments (Depreciation allowable for the year)</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color w:val="000000"/>
                <w:sz w:val="22"/>
                <w:szCs w:val="22"/>
              </w:rPr>
              <w:t>47.38</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Arial" w:hAnsi="Arial" w:cs="Arial"/>
                <w:sz w:val="20"/>
                <w:szCs w:val="20"/>
              </w:rPr>
              <w:t xml:space="preserve">              44.08 </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b/>
                <w:sz w:val="22"/>
                <w:szCs w:val="22"/>
                <w:lang w:val="en-US"/>
              </w:rPr>
            </w:pPr>
            <w:r w:rsidRPr="00027D0D">
              <w:rPr>
                <w:rFonts w:asciiTheme="minorHAnsi" w:hAnsiTheme="minorHAnsi"/>
                <w:b/>
                <w:sz w:val="22"/>
                <w:szCs w:val="22"/>
              </w:rPr>
              <w:t>Closing Loan Balance</w:t>
            </w:r>
          </w:p>
        </w:tc>
        <w:tc>
          <w:tcPr>
            <w:tcW w:w="860" w:type="pct"/>
            <w:shd w:val="clear" w:color="auto" w:fill="auto"/>
            <w:noWrap/>
            <w:vAlign w:val="center"/>
            <w:hideMark/>
          </w:tcPr>
          <w:p w:rsidR="004705AC" w:rsidRPr="00FD5403" w:rsidRDefault="004705AC" w:rsidP="00B7694F">
            <w:pPr>
              <w:spacing w:before="0" w:line="240" w:lineRule="auto"/>
              <w:jc w:val="right"/>
              <w:rPr>
                <w:rFonts w:asciiTheme="minorHAnsi" w:hAnsiTheme="minorHAnsi"/>
                <w:b/>
                <w:sz w:val="22"/>
                <w:szCs w:val="22"/>
              </w:rPr>
            </w:pPr>
            <w:r>
              <w:rPr>
                <w:rFonts w:asciiTheme="minorHAnsi" w:hAnsiTheme="minorHAnsi"/>
                <w:b/>
                <w:bCs/>
                <w:color w:val="000000"/>
                <w:sz w:val="22"/>
                <w:szCs w:val="22"/>
              </w:rPr>
              <w:t>184.69</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b/>
                <w:sz w:val="22"/>
                <w:szCs w:val="22"/>
              </w:rPr>
            </w:pPr>
            <w:r>
              <w:rPr>
                <w:rFonts w:cs="Arial"/>
                <w:b/>
                <w:bCs/>
                <w:color w:val="000000"/>
                <w:sz w:val="22"/>
                <w:szCs w:val="22"/>
              </w:rPr>
              <w:t xml:space="preserve">                105.42 </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Weighted Average Rate of Interest</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color w:val="000000"/>
                <w:sz w:val="22"/>
                <w:szCs w:val="22"/>
              </w:rPr>
              <w:t>12.90%</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Arial" w:hAnsi="Arial" w:cs="Arial"/>
                <w:sz w:val="20"/>
                <w:szCs w:val="20"/>
              </w:rPr>
              <w:t>12.90%</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b/>
                <w:sz w:val="22"/>
                <w:szCs w:val="22"/>
                <w:lang w:val="en-US"/>
              </w:rPr>
            </w:pPr>
            <w:r w:rsidRPr="00027D0D">
              <w:rPr>
                <w:rFonts w:asciiTheme="minorHAnsi" w:hAnsiTheme="minorHAnsi"/>
                <w:b/>
                <w:sz w:val="22"/>
                <w:szCs w:val="22"/>
              </w:rPr>
              <w:t>Interest on long term loan</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b/>
                <w:sz w:val="22"/>
                <w:szCs w:val="22"/>
              </w:rPr>
            </w:pPr>
            <w:r>
              <w:rPr>
                <w:rFonts w:asciiTheme="minorHAnsi" w:hAnsiTheme="minorHAnsi"/>
                <w:b/>
                <w:bCs/>
                <w:color w:val="000000"/>
                <w:sz w:val="22"/>
                <w:szCs w:val="22"/>
              </w:rPr>
              <w:t>18.56</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b/>
                <w:sz w:val="22"/>
                <w:szCs w:val="22"/>
              </w:rPr>
            </w:pPr>
            <w:r>
              <w:rPr>
                <w:rFonts w:cs="Arial"/>
                <w:b/>
                <w:bCs/>
                <w:color w:val="000000"/>
                <w:sz w:val="22"/>
                <w:szCs w:val="22"/>
              </w:rPr>
              <w:t>10.62</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Interest Capitalisation Rate</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sz w:val="22"/>
                <w:szCs w:val="22"/>
              </w:rPr>
              <w:t>23.00%</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Arial" w:hAnsi="Arial" w:cs="Arial"/>
                <w:sz w:val="20"/>
                <w:szCs w:val="20"/>
              </w:rPr>
              <w:t>23.00%</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sz w:val="22"/>
                <w:szCs w:val="22"/>
                <w:lang w:val="en-US"/>
              </w:rPr>
            </w:pPr>
            <w:r w:rsidRPr="00027D0D">
              <w:rPr>
                <w:rFonts w:asciiTheme="minorHAnsi" w:hAnsiTheme="minorHAnsi"/>
                <w:sz w:val="22"/>
                <w:szCs w:val="22"/>
              </w:rPr>
              <w:t>Less: Interest Capitalized</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asciiTheme="minorHAnsi" w:hAnsiTheme="minorHAnsi"/>
                <w:color w:val="000000"/>
                <w:sz w:val="22"/>
                <w:szCs w:val="22"/>
              </w:rPr>
              <w:t>4.27</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sz w:val="22"/>
                <w:szCs w:val="22"/>
              </w:rPr>
            </w:pPr>
            <w:r>
              <w:rPr>
                <w:rFonts w:cs="Arial"/>
                <w:color w:val="000000"/>
                <w:sz w:val="22"/>
                <w:szCs w:val="22"/>
              </w:rPr>
              <w:t>2.44</w:t>
            </w:r>
          </w:p>
        </w:tc>
      </w:tr>
      <w:tr w:rsidR="004705AC" w:rsidRPr="00945E17" w:rsidTr="00D55642">
        <w:trPr>
          <w:trHeight w:val="300"/>
          <w:jc w:val="center"/>
        </w:trPr>
        <w:tc>
          <w:tcPr>
            <w:tcW w:w="2999" w:type="pct"/>
            <w:shd w:val="clear" w:color="auto" w:fill="auto"/>
            <w:vAlign w:val="center"/>
            <w:hideMark/>
          </w:tcPr>
          <w:p w:rsidR="004705AC" w:rsidRDefault="004705AC">
            <w:pPr>
              <w:spacing w:before="0" w:line="240" w:lineRule="auto"/>
              <w:rPr>
                <w:rFonts w:asciiTheme="minorHAnsi" w:hAnsiTheme="minorHAnsi"/>
                <w:b/>
                <w:sz w:val="22"/>
                <w:szCs w:val="22"/>
                <w:lang w:val="en-US"/>
              </w:rPr>
            </w:pPr>
            <w:r w:rsidRPr="00027D0D">
              <w:rPr>
                <w:rFonts w:asciiTheme="minorHAnsi" w:hAnsiTheme="minorHAnsi"/>
                <w:b/>
                <w:sz w:val="22"/>
                <w:szCs w:val="22"/>
              </w:rPr>
              <w:lastRenderedPageBreak/>
              <w:t>Net Interest Charged</w:t>
            </w:r>
          </w:p>
        </w:tc>
        <w:tc>
          <w:tcPr>
            <w:tcW w:w="860" w:type="pct"/>
            <w:shd w:val="clear" w:color="auto" w:fill="auto"/>
            <w:noWrap/>
            <w:vAlign w:val="center"/>
            <w:hideMark/>
          </w:tcPr>
          <w:p w:rsidR="004705AC" w:rsidRPr="00FD5403" w:rsidRDefault="004705AC" w:rsidP="00D55642">
            <w:pPr>
              <w:spacing w:before="0" w:line="240" w:lineRule="auto"/>
              <w:jc w:val="right"/>
              <w:rPr>
                <w:rFonts w:asciiTheme="minorHAnsi" w:hAnsiTheme="minorHAnsi"/>
                <w:b/>
                <w:sz w:val="22"/>
                <w:szCs w:val="22"/>
              </w:rPr>
            </w:pPr>
            <w:r>
              <w:rPr>
                <w:rFonts w:asciiTheme="minorHAnsi" w:hAnsiTheme="minorHAnsi"/>
                <w:b/>
                <w:bCs/>
                <w:color w:val="000000"/>
                <w:sz w:val="22"/>
                <w:szCs w:val="22"/>
              </w:rPr>
              <w:t>14.29</w:t>
            </w:r>
          </w:p>
        </w:tc>
        <w:tc>
          <w:tcPr>
            <w:tcW w:w="1141" w:type="pct"/>
            <w:shd w:val="clear" w:color="auto" w:fill="auto"/>
            <w:noWrap/>
            <w:vAlign w:val="center"/>
            <w:hideMark/>
          </w:tcPr>
          <w:p w:rsidR="004705AC" w:rsidRPr="00FD5403" w:rsidRDefault="004705AC" w:rsidP="00D55642">
            <w:pPr>
              <w:spacing w:before="0" w:line="240" w:lineRule="auto"/>
              <w:jc w:val="right"/>
              <w:rPr>
                <w:rFonts w:asciiTheme="minorHAnsi" w:hAnsiTheme="minorHAnsi"/>
                <w:b/>
                <w:sz w:val="22"/>
                <w:szCs w:val="22"/>
              </w:rPr>
            </w:pPr>
            <w:r>
              <w:rPr>
                <w:rFonts w:cs="Arial"/>
                <w:b/>
                <w:bCs/>
                <w:color w:val="000000"/>
                <w:sz w:val="22"/>
                <w:szCs w:val="22"/>
              </w:rPr>
              <w:t>8.18</w:t>
            </w:r>
          </w:p>
        </w:tc>
      </w:tr>
    </w:tbl>
    <w:p w:rsidR="00C34658" w:rsidRPr="00C60AD1" w:rsidRDefault="00C34658" w:rsidP="00C34658">
      <w:pPr>
        <w:tabs>
          <w:tab w:val="left" w:pos="720"/>
          <w:tab w:val="left" w:pos="3617"/>
        </w:tabs>
        <w:spacing w:before="0"/>
        <w:ind w:left="720"/>
        <w:outlineLvl w:val="2"/>
        <w:rPr>
          <w:rFonts w:cs="Arial"/>
          <w:b/>
          <w:bCs/>
          <w:szCs w:val="26"/>
        </w:rPr>
      </w:pPr>
      <w:r w:rsidRPr="00C60AD1">
        <w:rPr>
          <w:rFonts w:cs="Arial"/>
          <w:b/>
          <w:bCs/>
          <w:szCs w:val="26"/>
        </w:rPr>
        <w:tab/>
      </w:r>
    </w:p>
    <w:p w:rsidR="00C34658" w:rsidRPr="00C60AD1" w:rsidRDefault="00C34658" w:rsidP="00C34658">
      <w:pPr>
        <w:tabs>
          <w:tab w:val="left" w:pos="720"/>
        </w:tabs>
        <w:ind w:left="270"/>
        <w:outlineLvl w:val="2"/>
        <w:rPr>
          <w:rFonts w:cs="Arial"/>
          <w:b/>
          <w:bCs/>
          <w:szCs w:val="26"/>
        </w:rPr>
      </w:pPr>
      <w:r w:rsidRPr="00C60AD1">
        <w:rPr>
          <w:rFonts w:cs="Arial"/>
          <w:b/>
          <w:bCs/>
          <w:szCs w:val="26"/>
        </w:rPr>
        <w:t xml:space="preserve">Interest on Working Capital </w:t>
      </w:r>
    </w:p>
    <w:p w:rsidR="00023318" w:rsidRDefault="00C34658" w:rsidP="00023318">
      <w:pPr>
        <w:pStyle w:val="Heading3"/>
        <w:tabs>
          <w:tab w:val="clear" w:pos="720"/>
        </w:tabs>
        <w:spacing w:after="240"/>
        <w:ind w:left="993" w:hanging="993"/>
      </w:pPr>
      <w:r w:rsidRPr="00C60AD1">
        <w:t>The Petitioner has submitted that it has worked out the interest on working capital based on the methodology specified in the Regulations as provided below:</w:t>
      </w:r>
    </w:p>
    <w:p w:rsidR="00D66C42" w:rsidRDefault="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Operation and Maintenance expenses, which includes Employee costs, R&amp;M expenses and A&amp;G expenses, for one month;</w:t>
      </w:r>
    </w:p>
    <w:p w:rsidR="00C34658" w:rsidRPr="00C60AD1" w:rsidRDefault="00C34658" w:rsidP="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One-twelfth of the sum of the book value of stores, materials and supplies at the end of each month of current financial year;</w:t>
      </w:r>
    </w:p>
    <w:p w:rsidR="00D66C42" w:rsidRDefault="00C34658">
      <w:pPr>
        <w:numPr>
          <w:ilvl w:val="1"/>
          <w:numId w:val="13"/>
        </w:numPr>
        <w:autoSpaceDE w:val="0"/>
        <w:autoSpaceDN w:val="0"/>
        <w:adjustRightInd w:val="0"/>
        <w:spacing w:before="100" w:beforeAutospacing="1" w:after="100" w:afterAutospacing="1"/>
        <w:ind w:left="1980"/>
        <w:rPr>
          <w:rFonts w:cstheme="minorHAnsi"/>
        </w:rPr>
      </w:pPr>
      <w:r w:rsidRPr="00C60AD1">
        <w:rPr>
          <w:rFonts w:cstheme="minorHAnsi"/>
        </w:rPr>
        <w:t>Receivables equivalent to 60 days average billing of consumers less security deposits provided by the beneficiaries.</w:t>
      </w:r>
    </w:p>
    <w:p w:rsidR="00023318" w:rsidRDefault="00C34658" w:rsidP="00023318">
      <w:pPr>
        <w:pStyle w:val="Heading3"/>
        <w:tabs>
          <w:tab w:val="clear" w:pos="720"/>
        </w:tabs>
        <w:spacing w:after="240"/>
        <w:ind w:left="993" w:hanging="993"/>
      </w:pPr>
      <w:r w:rsidRPr="00C60AD1">
        <w:t>The Petitioner submitted that the Distribution Tariff Regulations, 2006 provides for interest on the working capital requirement at the Bank Rate as specified by the Reserve Bank of India as on 1</w:t>
      </w:r>
      <w:r w:rsidRPr="00C60AD1">
        <w:rPr>
          <w:vertAlign w:val="superscript"/>
        </w:rPr>
        <w:t>st</w:t>
      </w:r>
      <w:r w:rsidRPr="00C60AD1">
        <w:t xml:space="preserve"> April of the relevant year plus a margin as decided by the Commission. The Petitioner submitted that accordingly, it has considered the interest rate on working capital requirement at 12.50% including margin, however, the actual rate of interest would be considered based on the audited accounts during the </w:t>
      </w:r>
      <w:r>
        <w:t>T</w:t>
      </w:r>
      <w:r w:rsidRPr="00C60AD1">
        <w:t>rue-up process for the year in accordance with the Distribution Tariff Regulations, 2006.</w:t>
      </w:r>
    </w:p>
    <w:p w:rsidR="00023318" w:rsidRDefault="00C34658" w:rsidP="00023318">
      <w:pPr>
        <w:pStyle w:val="Heading3"/>
        <w:tabs>
          <w:tab w:val="clear" w:pos="720"/>
        </w:tabs>
        <w:spacing w:after="240"/>
        <w:ind w:left="993" w:hanging="993"/>
      </w:pPr>
      <w:bookmarkStart w:id="1058" w:name="_Ref325536209"/>
      <w:bookmarkStart w:id="1059" w:name="_Toc338310715"/>
      <w:bookmarkStart w:id="1060" w:name="_Toc338419545"/>
      <w:bookmarkStart w:id="1061" w:name="_Toc357718753"/>
      <w:r w:rsidRPr="00C60AD1">
        <w:t>Regulation 4.8.2 of the Distribution Tariff Regulations, 2006 lays down the norms and methodology for calculating interest on working capital. Further, the Commission in its earlier Orders has clearly opined that although there is a situation of financial stress and liquidity crunch for the Licensee, the Distribution Licensee is eligible only for interest cost on account of normative working capital. Further, it is observed that the collection efficiency of the Petitioner also needs improvement and by improving the same, the cash flows of the Petitioner will improve, which will help in managing day to day working capital requirements. The Petitioner should understand that only by ensuring that its working capital needs are well looked after, it can focus on growth and development of its organisation.</w:t>
      </w:r>
    </w:p>
    <w:p w:rsidR="00023318" w:rsidRDefault="00C34658" w:rsidP="00023318">
      <w:pPr>
        <w:pStyle w:val="Heading3"/>
        <w:tabs>
          <w:tab w:val="clear" w:pos="720"/>
        </w:tabs>
        <w:spacing w:after="240"/>
        <w:ind w:left="993" w:hanging="993"/>
      </w:pPr>
      <w:r w:rsidRPr="00C60AD1">
        <w:lastRenderedPageBreak/>
        <w:t>In view of the above, the Commission has considered the interest on working capital at the rate of 12.50% as proposed by the Petitioner, which includes the margin above the Bank Rate specified by the RBI and is in accordance with the provisions of the Distribution Tariff Regulations, 2006.</w:t>
      </w:r>
    </w:p>
    <w:p w:rsidR="005E05AA" w:rsidRPr="006C08CE" w:rsidRDefault="00C34658" w:rsidP="006C08CE">
      <w:pPr>
        <w:pStyle w:val="Heading3"/>
        <w:tabs>
          <w:tab w:val="clear" w:pos="720"/>
        </w:tabs>
        <w:spacing w:after="240"/>
        <w:ind w:left="993" w:hanging="993"/>
      </w:pPr>
      <w:r w:rsidRPr="00C60AD1">
        <w:t xml:space="preserve">The interest on working capital as submitted by the Petitioner and as approved by the Commission for FY </w:t>
      </w:r>
      <w:r>
        <w:t>2016-17</w:t>
      </w:r>
      <w:r w:rsidRPr="00C60AD1">
        <w:t xml:space="preserve"> is shown in the Table below:</w:t>
      </w:r>
      <w:bookmarkStart w:id="1062" w:name="_Toc395657977"/>
      <w:bookmarkStart w:id="1063" w:name="_Toc396574028"/>
      <w:bookmarkStart w:id="1064" w:name="_Toc419992324"/>
      <w:bookmarkStart w:id="1065" w:name="_Toc453367706"/>
      <w:bookmarkEnd w:id="1058"/>
    </w:p>
    <w:p w:rsidR="00C34658" w:rsidRPr="006C08CE" w:rsidRDefault="00F020B3" w:rsidP="00C34658">
      <w:pPr>
        <w:jc w:val="center"/>
        <w:rPr>
          <w:rFonts w:cstheme="minorHAnsi"/>
          <w:b/>
          <w:sz w:val="22"/>
        </w:rPr>
      </w:pPr>
      <w:bookmarkStart w:id="1066" w:name="_Toc457355649"/>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25</w:t>
      </w:r>
      <w:r w:rsidR="004A2D9E" w:rsidRPr="006C08CE">
        <w:rPr>
          <w:rFonts w:cstheme="minorHAnsi"/>
          <w:b/>
          <w:sz w:val="22"/>
        </w:rPr>
        <w:fldChar w:fldCharType="end"/>
      </w:r>
      <w:r w:rsidRPr="006C08CE">
        <w:rPr>
          <w:rFonts w:cstheme="minorHAnsi"/>
          <w:b/>
          <w:sz w:val="22"/>
        </w:rPr>
        <w:t>: I</w:t>
      </w:r>
      <w:r w:rsidR="00C34658" w:rsidRPr="006C08CE">
        <w:rPr>
          <w:rFonts w:cstheme="minorHAnsi"/>
          <w:b/>
          <w:sz w:val="22"/>
        </w:rPr>
        <w:t>NTEREST COST ON WORKING CAPITAL LOANS FOR FY 2016-17 (Rs. Crore)</w:t>
      </w:r>
      <w:bookmarkEnd w:id="1059"/>
      <w:bookmarkEnd w:id="1060"/>
      <w:bookmarkEnd w:id="1061"/>
      <w:bookmarkEnd w:id="1062"/>
      <w:bookmarkEnd w:id="1063"/>
      <w:bookmarkEnd w:id="1064"/>
      <w:bookmarkEnd w:id="1065"/>
      <w:bookmarkEnd w:id="1066"/>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688"/>
        <w:gridCol w:w="1441"/>
        <w:gridCol w:w="1756"/>
      </w:tblGrid>
      <w:tr w:rsidR="00C34658" w:rsidRPr="00945E17" w:rsidTr="00945E17">
        <w:trPr>
          <w:trHeight w:val="600"/>
          <w:tblHeader/>
        </w:trPr>
        <w:tc>
          <w:tcPr>
            <w:tcW w:w="320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Particulars</w:t>
            </w:r>
          </w:p>
        </w:tc>
        <w:tc>
          <w:tcPr>
            <w:tcW w:w="811" w:type="pct"/>
            <w:shd w:val="clear" w:color="000000" w:fill="DBE5F1"/>
            <w:hideMark/>
          </w:tcPr>
          <w:p w:rsidR="003267CD" w:rsidRDefault="00027D0D">
            <w:pPr>
              <w:spacing w:before="0" w:line="240" w:lineRule="auto"/>
              <w:jc w:val="center"/>
              <w:rPr>
                <w:rFonts w:asciiTheme="minorHAnsi" w:hAnsiTheme="minorHAnsi"/>
                <w:b/>
                <w:sz w:val="22"/>
                <w:szCs w:val="22"/>
              </w:rPr>
            </w:pPr>
            <w:r w:rsidRPr="00027D0D">
              <w:rPr>
                <w:rFonts w:asciiTheme="minorHAnsi" w:hAnsiTheme="minorHAnsi"/>
                <w:b/>
                <w:sz w:val="22"/>
                <w:szCs w:val="22"/>
              </w:rPr>
              <w:t>Petition</w:t>
            </w:r>
          </w:p>
        </w:tc>
        <w:tc>
          <w:tcPr>
            <w:tcW w:w="988" w:type="pct"/>
            <w:shd w:val="clear" w:color="000000" w:fill="DBE5F1"/>
            <w:hideMark/>
          </w:tcPr>
          <w:p w:rsidR="003267CD" w:rsidRDefault="00027D0D">
            <w:pPr>
              <w:spacing w:before="0" w:line="240" w:lineRule="auto"/>
              <w:jc w:val="center"/>
              <w:rPr>
                <w:rFonts w:asciiTheme="minorHAnsi" w:hAnsiTheme="minorHAnsi"/>
                <w:b/>
                <w:color w:val="000000"/>
                <w:sz w:val="22"/>
                <w:szCs w:val="22"/>
              </w:rPr>
            </w:pPr>
            <w:r w:rsidRPr="00027D0D">
              <w:rPr>
                <w:rFonts w:asciiTheme="minorHAnsi" w:hAnsiTheme="minorHAnsi"/>
                <w:b/>
                <w:color w:val="000000"/>
                <w:sz w:val="22"/>
                <w:szCs w:val="22"/>
              </w:rPr>
              <w:t>FY 2016-17</w:t>
            </w:r>
            <w:r w:rsidRPr="00027D0D">
              <w:rPr>
                <w:rFonts w:asciiTheme="minorHAnsi" w:hAnsiTheme="minorHAnsi"/>
                <w:b/>
                <w:color w:val="000000"/>
                <w:sz w:val="22"/>
                <w:szCs w:val="22"/>
              </w:rPr>
              <w:br/>
              <w:t>(Approved)</w:t>
            </w:r>
          </w:p>
        </w:tc>
      </w:tr>
      <w:tr w:rsidR="00172623" w:rsidRPr="00945E17" w:rsidTr="00172623">
        <w:trPr>
          <w:trHeight w:val="300"/>
        </w:trPr>
        <w:tc>
          <w:tcPr>
            <w:tcW w:w="3201" w:type="pct"/>
            <w:shd w:val="clear" w:color="auto" w:fill="auto"/>
            <w:hideMark/>
          </w:tcPr>
          <w:p w:rsidR="00172623" w:rsidRPr="007132A6" w:rsidRDefault="00172623" w:rsidP="007132A6">
            <w:pPr>
              <w:spacing w:before="0" w:line="240" w:lineRule="auto"/>
              <w:rPr>
                <w:rFonts w:asciiTheme="minorHAnsi" w:hAnsiTheme="minorHAnsi" w:cs="Arial"/>
                <w:bCs/>
                <w:caps/>
                <w:kern w:val="32"/>
              </w:rPr>
            </w:pPr>
            <w:r w:rsidRPr="007132A6">
              <w:rPr>
                <w:rFonts w:asciiTheme="minorHAnsi" w:hAnsiTheme="minorHAnsi"/>
              </w:rPr>
              <w:t xml:space="preserve">One month's O&amp;M  Expenses </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bCs/>
                <w:caps/>
                <w:color w:val="000000"/>
                <w:kern w:val="32"/>
                <w:sz w:val="22"/>
                <w:szCs w:val="22"/>
              </w:rPr>
            </w:pPr>
            <w:r w:rsidRPr="00023318">
              <w:rPr>
                <w:rFonts w:asciiTheme="minorHAnsi" w:hAnsiTheme="minorHAnsi" w:cs="Arial"/>
                <w:sz w:val="22"/>
                <w:szCs w:val="22"/>
              </w:rPr>
              <w:t xml:space="preserve">19.43 </w:t>
            </w:r>
          </w:p>
        </w:tc>
        <w:tc>
          <w:tcPr>
            <w:tcW w:w="988"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bCs/>
                <w:caps/>
                <w:color w:val="000000"/>
                <w:kern w:val="32"/>
                <w:sz w:val="22"/>
                <w:szCs w:val="22"/>
              </w:rPr>
            </w:pPr>
            <w:r w:rsidRPr="00023318">
              <w:rPr>
                <w:rFonts w:asciiTheme="minorHAnsi" w:hAnsiTheme="minorHAnsi" w:cs="Arial"/>
                <w:sz w:val="22"/>
                <w:szCs w:val="22"/>
              </w:rPr>
              <w:t xml:space="preserve">15.35 </w:t>
            </w:r>
          </w:p>
        </w:tc>
      </w:tr>
      <w:tr w:rsidR="00172623" w:rsidRPr="00945E17" w:rsidTr="00172623">
        <w:trPr>
          <w:trHeight w:val="600"/>
        </w:trPr>
        <w:tc>
          <w:tcPr>
            <w:tcW w:w="3201" w:type="pct"/>
            <w:shd w:val="clear" w:color="auto" w:fill="auto"/>
            <w:hideMark/>
          </w:tcPr>
          <w:p w:rsidR="00172623" w:rsidRPr="00945E17" w:rsidRDefault="00172623" w:rsidP="00D55642">
            <w:pPr>
              <w:spacing w:before="0" w:line="240" w:lineRule="auto"/>
              <w:rPr>
                <w:rFonts w:asciiTheme="minorHAnsi" w:hAnsiTheme="minorHAnsi"/>
                <w:sz w:val="22"/>
                <w:szCs w:val="22"/>
              </w:rPr>
            </w:pPr>
            <w:r w:rsidRPr="00027D0D">
              <w:rPr>
                <w:rFonts w:asciiTheme="minorHAnsi" w:hAnsiTheme="minorHAnsi"/>
                <w:sz w:val="22"/>
                <w:szCs w:val="22"/>
              </w:rPr>
              <w:t>One-twelfth of the sum of the book value of materials in stores at the end of each month of such financial year.</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cs="Arial"/>
                <w:sz w:val="22"/>
                <w:szCs w:val="22"/>
              </w:rPr>
              <w:t xml:space="preserve">1.42 </w:t>
            </w:r>
          </w:p>
        </w:tc>
        <w:tc>
          <w:tcPr>
            <w:tcW w:w="988"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cs="Arial"/>
                <w:sz w:val="22"/>
                <w:szCs w:val="22"/>
              </w:rPr>
              <w:t>1.4</w:t>
            </w:r>
            <w:r w:rsidR="001B4980">
              <w:rPr>
                <w:rFonts w:asciiTheme="minorHAnsi" w:hAnsiTheme="minorHAnsi" w:cs="Arial"/>
                <w:sz w:val="22"/>
                <w:szCs w:val="22"/>
              </w:rPr>
              <w:t>2</w:t>
            </w:r>
          </w:p>
        </w:tc>
      </w:tr>
      <w:tr w:rsidR="00172623" w:rsidRPr="00945E17" w:rsidTr="00172623">
        <w:trPr>
          <w:trHeight w:val="300"/>
        </w:trPr>
        <w:tc>
          <w:tcPr>
            <w:tcW w:w="3201" w:type="pct"/>
            <w:shd w:val="clear" w:color="auto" w:fill="auto"/>
            <w:hideMark/>
          </w:tcPr>
          <w:p w:rsidR="00172623" w:rsidRPr="00945E17" w:rsidRDefault="00172623" w:rsidP="00D55642">
            <w:pPr>
              <w:spacing w:before="0" w:line="240" w:lineRule="auto"/>
              <w:rPr>
                <w:rFonts w:asciiTheme="minorHAnsi" w:hAnsiTheme="minorHAnsi"/>
                <w:sz w:val="22"/>
                <w:szCs w:val="22"/>
              </w:rPr>
            </w:pPr>
            <w:r w:rsidRPr="00027D0D">
              <w:rPr>
                <w:rFonts w:asciiTheme="minorHAnsi" w:hAnsiTheme="minorHAnsi"/>
                <w:sz w:val="22"/>
                <w:szCs w:val="22"/>
              </w:rPr>
              <w:t>Receivables equivalent to 60 days average billing on consumers</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cs="Arial"/>
                <w:sz w:val="22"/>
                <w:szCs w:val="22"/>
              </w:rPr>
              <w:t xml:space="preserve">352.11 </w:t>
            </w:r>
          </w:p>
        </w:tc>
        <w:tc>
          <w:tcPr>
            <w:tcW w:w="988" w:type="pct"/>
            <w:shd w:val="clear" w:color="auto" w:fill="auto"/>
            <w:noWrap/>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35</w:t>
            </w:r>
            <w:r w:rsidR="00882455">
              <w:rPr>
                <w:rFonts w:asciiTheme="minorHAnsi" w:hAnsiTheme="minorHAnsi" w:cs="Arial"/>
                <w:sz w:val="22"/>
                <w:szCs w:val="22"/>
              </w:rPr>
              <w:t>5.86</w:t>
            </w:r>
            <w:r w:rsidRPr="00023318">
              <w:rPr>
                <w:rFonts w:asciiTheme="minorHAnsi" w:hAnsiTheme="minorHAnsi" w:cs="Arial"/>
                <w:sz w:val="22"/>
                <w:szCs w:val="22"/>
              </w:rPr>
              <w:t xml:space="preserve"> </w:t>
            </w:r>
          </w:p>
        </w:tc>
      </w:tr>
      <w:tr w:rsidR="00172623" w:rsidRPr="00945E17" w:rsidTr="00172623">
        <w:trPr>
          <w:trHeight w:val="300"/>
        </w:trPr>
        <w:tc>
          <w:tcPr>
            <w:tcW w:w="3201" w:type="pct"/>
            <w:shd w:val="clear" w:color="auto" w:fill="auto"/>
            <w:hideMark/>
          </w:tcPr>
          <w:p w:rsidR="00172623" w:rsidRPr="00945E17" w:rsidRDefault="00172623" w:rsidP="00D55642">
            <w:pPr>
              <w:spacing w:before="0" w:line="240" w:lineRule="auto"/>
              <w:rPr>
                <w:rFonts w:asciiTheme="minorHAnsi" w:hAnsiTheme="minorHAnsi"/>
                <w:b/>
                <w:sz w:val="22"/>
                <w:szCs w:val="22"/>
              </w:rPr>
            </w:pPr>
            <w:r w:rsidRPr="00027D0D">
              <w:rPr>
                <w:rFonts w:asciiTheme="minorHAnsi" w:hAnsiTheme="minorHAnsi"/>
                <w:b/>
                <w:sz w:val="22"/>
                <w:szCs w:val="22"/>
              </w:rPr>
              <w:t>Gross Total</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b/>
                <w:color w:val="000000"/>
                <w:sz w:val="22"/>
                <w:szCs w:val="22"/>
              </w:rPr>
            </w:pPr>
            <w:r w:rsidRPr="00023318">
              <w:rPr>
                <w:rFonts w:asciiTheme="minorHAnsi" w:hAnsiTheme="minorHAnsi" w:cs="Arial"/>
                <w:b/>
                <w:bCs/>
                <w:sz w:val="22"/>
                <w:szCs w:val="22"/>
              </w:rPr>
              <w:t xml:space="preserve">372.96 </w:t>
            </w:r>
          </w:p>
        </w:tc>
        <w:tc>
          <w:tcPr>
            <w:tcW w:w="988" w:type="pct"/>
            <w:shd w:val="clear" w:color="auto" w:fill="auto"/>
            <w:noWrap/>
            <w:vAlign w:val="center"/>
            <w:hideMark/>
          </w:tcPr>
          <w:p w:rsidR="00D741AB" w:rsidRDefault="00023318">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sz w:val="22"/>
                <w:szCs w:val="22"/>
              </w:rPr>
              <w:t>37</w:t>
            </w:r>
            <w:r w:rsidR="00882455">
              <w:rPr>
                <w:rFonts w:asciiTheme="minorHAnsi" w:hAnsiTheme="minorHAnsi" w:cs="Arial"/>
                <w:b/>
                <w:bCs/>
                <w:sz w:val="22"/>
                <w:szCs w:val="22"/>
              </w:rPr>
              <w:t>2.63</w:t>
            </w:r>
          </w:p>
        </w:tc>
      </w:tr>
      <w:tr w:rsidR="00172623" w:rsidRPr="00945E17" w:rsidTr="00172623">
        <w:trPr>
          <w:trHeight w:val="600"/>
        </w:trPr>
        <w:tc>
          <w:tcPr>
            <w:tcW w:w="3201" w:type="pct"/>
            <w:shd w:val="clear" w:color="auto" w:fill="auto"/>
            <w:hideMark/>
          </w:tcPr>
          <w:p w:rsidR="00172623" w:rsidRPr="00945E17" w:rsidRDefault="00172623" w:rsidP="00D55642">
            <w:pPr>
              <w:spacing w:before="0" w:line="240" w:lineRule="auto"/>
              <w:rPr>
                <w:rFonts w:asciiTheme="minorHAnsi" w:hAnsiTheme="minorHAnsi"/>
                <w:sz w:val="22"/>
                <w:szCs w:val="22"/>
              </w:rPr>
            </w:pPr>
            <w:r w:rsidRPr="00027D0D">
              <w:rPr>
                <w:rFonts w:asciiTheme="minorHAnsi" w:hAnsiTheme="minorHAnsi"/>
                <w:sz w:val="22"/>
                <w:szCs w:val="22"/>
              </w:rPr>
              <w:t>Less: Total Security Deposits by the Consumers reduced by Security Deposits under section 47(1)(b) of the Electricity Act 2003</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cs="Arial"/>
                <w:sz w:val="22"/>
                <w:szCs w:val="22"/>
              </w:rPr>
              <w:t xml:space="preserve">129.48 </w:t>
            </w:r>
          </w:p>
        </w:tc>
        <w:tc>
          <w:tcPr>
            <w:tcW w:w="988"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cs="Arial"/>
                <w:sz w:val="22"/>
                <w:szCs w:val="22"/>
              </w:rPr>
              <w:t xml:space="preserve">129.48 </w:t>
            </w:r>
          </w:p>
        </w:tc>
      </w:tr>
      <w:tr w:rsidR="00172623" w:rsidRPr="00945E17" w:rsidTr="00172623">
        <w:trPr>
          <w:trHeight w:val="300"/>
        </w:trPr>
        <w:tc>
          <w:tcPr>
            <w:tcW w:w="3201" w:type="pct"/>
            <w:shd w:val="clear" w:color="auto" w:fill="auto"/>
            <w:hideMark/>
          </w:tcPr>
          <w:p w:rsidR="00172623" w:rsidRPr="00945E17" w:rsidRDefault="00172623" w:rsidP="00D55642">
            <w:pPr>
              <w:spacing w:before="0" w:line="240" w:lineRule="auto"/>
              <w:rPr>
                <w:rFonts w:asciiTheme="minorHAnsi" w:hAnsiTheme="minorHAnsi"/>
                <w:b/>
                <w:sz w:val="22"/>
                <w:szCs w:val="22"/>
              </w:rPr>
            </w:pPr>
            <w:r w:rsidRPr="00027D0D">
              <w:rPr>
                <w:rFonts w:asciiTheme="minorHAnsi" w:hAnsiTheme="minorHAnsi"/>
                <w:b/>
                <w:sz w:val="22"/>
                <w:szCs w:val="22"/>
              </w:rPr>
              <w:t>Net Working Capital</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b/>
                <w:color w:val="000000"/>
                <w:sz w:val="22"/>
                <w:szCs w:val="22"/>
              </w:rPr>
            </w:pPr>
            <w:r w:rsidRPr="00023318">
              <w:rPr>
                <w:rFonts w:asciiTheme="minorHAnsi" w:hAnsiTheme="minorHAnsi" w:cs="Arial"/>
                <w:b/>
                <w:bCs/>
                <w:sz w:val="22"/>
                <w:szCs w:val="22"/>
              </w:rPr>
              <w:t xml:space="preserve">243.48 </w:t>
            </w:r>
          </w:p>
        </w:tc>
        <w:tc>
          <w:tcPr>
            <w:tcW w:w="988" w:type="pct"/>
            <w:shd w:val="clear" w:color="auto" w:fill="auto"/>
            <w:noWrap/>
            <w:vAlign w:val="center"/>
            <w:hideMark/>
          </w:tcPr>
          <w:p w:rsidR="00D741AB" w:rsidRDefault="00023318">
            <w:pPr>
              <w:spacing w:before="0" w:line="240" w:lineRule="auto"/>
              <w:jc w:val="right"/>
              <w:rPr>
                <w:rFonts w:asciiTheme="minorHAnsi" w:hAnsiTheme="minorHAnsi" w:cstheme="minorHAnsi"/>
                <w:b/>
                <w:color w:val="000000"/>
                <w:sz w:val="22"/>
                <w:szCs w:val="22"/>
              </w:rPr>
            </w:pPr>
            <w:r w:rsidRPr="00023318">
              <w:rPr>
                <w:rFonts w:asciiTheme="minorHAnsi" w:hAnsiTheme="minorHAnsi" w:cs="Arial"/>
                <w:b/>
                <w:bCs/>
                <w:sz w:val="22"/>
                <w:szCs w:val="22"/>
              </w:rPr>
              <w:t>24</w:t>
            </w:r>
            <w:r w:rsidR="00882455">
              <w:rPr>
                <w:rFonts w:asciiTheme="minorHAnsi" w:hAnsiTheme="minorHAnsi" w:cs="Arial"/>
                <w:b/>
                <w:bCs/>
                <w:sz w:val="22"/>
                <w:szCs w:val="22"/>
              </w:rPr>
              <w:t>3.15</w:t>
            </w:r>
          </w:p>
        </w:tc>
      </w:tr>
      <w:tr w:rsidR="00FD5403" w:rsidRPr="00945E17" w:rsidTr="00172623">
        <w:trPr>
          <w:trHeight w:val="300"/>
        </w:trPr>
        <w:tc>
          <w:tcPr>
            <w:tcW w:w="3201" w:type="pct"/>
            <w:shd w:val="clear" w:color="auto" w:fill="auto"/>
            <w:hideMark/>
          </w:tcPr>
          <w:p w:rsidR="00FD5403" w:rsidRPr="00945E17" w:rsidRDefault="00FD5403" w:rsidP="00D55642">
            <w:pPr>
              <w:spacing w:before="0" w:line="240" w:lineRule="auto"/>
              <w:rPr>
                <w:rFonts w:asciiTheme="minorHAnsi" w:hAnsiTheme="minorHAnsi"/>
                <w:sz w:val="22"/>
                <w:szCs w:val="22"/>
              </w:rPr>
            </w:pPr>
            <w:r w:rsidRPr="00027D0D">
              <w:rPr>
                <w:rFonts w:asciiTheme="minorHAnsi" w:hAnsiTheme="minorHAnsi"/>
                <w:sz w:val="22"/>
                <w:szCs w:val="22"/>
              </w:rPr>
              <w:t>Rate of Interest for Working Capital</w:t>
            </w:r>
          </w:p>
        </w:tc>
        <w:tc>
          <w:tcPr>
            <w:tcW w:w="811" w:type="pct"/>
            <w:shd w:val="clear" w:color="auto" w:fill="auto"/>
            <w:noWrap/>
            <w:vAlign w:val="center"/>
            <w:hideMark/>
          </w:tcPr>
          <w:p w:rsidR="00FD540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sz w:val="22"/>
                <w:szCs w:val="22"/>
              </w:rPr>
              <w:t>12.50%</w:t>
            </w:r>
          </w:p>
        </w:tc>
        <w:tc>
          <w:tcPr>
            <w:tcW w:w="988" w:type="pct"/>
            <w:shd w:val="clear" w:color="auto" w:fill="auto"/>
            <w:noWrap/>
            <w:vAlign w:val="center"/>
            <w:hideMark/>
          </w:tcPr>
          <w:p w:rsidR="00FD5403" w:rsidRPr="00172623" w:rsidRDefault="00023318" w:rsidP="00172623">
            <w:pPr>
              <w:spacing w:before="0" w:line="240" w:lineRule="auto"/>
              <w:jc w:val="right"/>
              <w:rPr>
                <w:rFonts w:asciiTheme="minorHAnsi" w:hAnsiTheme="minorHAnsi" w:cstheme="minorHAnsi"/>
                <w:color w:val="000000"/>
                <w:sz w:val="22"/>
                <w:szCs w:val="22"/>
              </w:rPr>
            </w:pPr>
            <w:r w:rsidRPr="00023318">
              <w:rPr>
                <w:rFonts w:asciiTheme="minorHAnsi" w:hAnsiTheme="minorHAnsi"/>
                <w:sz w:val="22"/>
                <w:szCs w:val="22"/>
              </w:rPr>
              <w:t>12.50%</w:t>
            </w:r>
          </w:p>
        </w:tc>
      </w:tr>
      <w:tr w:rsidR="00172623" w:rsidRPr="00945E17" w:rsidTr="00172623">
        <w:trPr>
          <w:trHeight w:val="300"/>
        </w:trPr>
        <w:tc>
          <w:tcPr>
            <w:tcW w:w="3201" w:type="pct"/>
            <w:shd w:val="clear" w:color="auto" w:fill="auto"/>
            <w:hideMark/>
          </w:tcPr>
          <w:p w:rsidR="00172623" w:rsidRPr="00945E17" w:rsidRDefault="00172623" w:rsidP="00D55642">
            <w:pPr>
              <w:spacing w:before="0" w:line="240" w:lineRule="auto"/>
              <w:rPr>
                <w:rFonts w:asciiTheme="minorHAnsi" w:hAnsiTheme="minorHAnsi"/>
                <w:b/>
                <w:sz w:val="22"/>
                <w:szCs w:val="22"/>
              </w:rPr>
            </w:pPr>
            <w:r w:rsidRPr="00027D0D">
              <w:rPr>
                <w:rFonts w:asciiTheme="minorHAnsi" w:hAnsiTheme="minorHAnsi"/>
                <w:b/>
                <w:sz w:val="22"/>
                <w:szCs w:val="22"/>
              </w:rPr>
              <w:t>Interest on Working Capital</w:t>
            </w:r>
          </w:p>
        </w:tc>
        <w:tc>
          <w:tcPr>
            <w:tcW w:w="811" w:type="pct"/>
            <w:shd w:val="clear" w:color="auto" w:fill="auto"/>
            <w:noWrap/>
            <w:vAlign w:val="center"/>
            <w:hideMark/>
          </w:tcPr>
          <w:p w:rsidR="00172623" w:rsidRPr="00172623" w:rsidRDefault="00023318" w:rsidP="00172623">
            <w:pPr>
              <w:spacing w:before="0" w:line="240" w:lineRule="auto"/>
              <w:jc w:val="right"/>
              <w:rPr>
                <w:rFonts w:asciiTheme="minorHAnsi" w:hAnsiTheme="minorHAnsi" w:cstheme="minorHAnsi"/>
                <w:b/>
                <w:color w:val="000000"/>
                <w:sz w:val="22"/>
                <w:szCs w:val="22"/>
              </w:rPr>
            </w:pPr>
            <w:r w:rsidRPr="00023318">
              <w:rPr>
                <w:rFonts w:asciiTheme="minorHAnsi" w:hAnsiTheme="minorHAnsi" w:cs="Arial"/>
                <w:b/>
                <w:bCs/>
                <w:sz w:val="22"/>
                <w:szCs w:val="22"/>
              </w:rPr>
              <w:t xml:space="preserve">30.44 </w:t>
            </w:r>
          </w:p>
        </w:tc>
        <w:tc>
          <w:tcPr>
            <w:tcW w:w="988" w:type="pct"/>
            <w:shd w:val="clear" w:color="auto" w:fill="auto"/>
            <w:noWrap/>
            <w:vAlign w:val="center"/>
            <w:hideMark/>
          </w:tcPr>
          <w:p w:rsidR="00D741AB" w:rsidRDefault="00023318">
            <w:pPr>
              <w:spacing w:before="0" w:line="240" w:lineRule="auto"/>
              <w:jc w:val="right"/>
              <w:rPr>
                <w:rFonts w:asciiTheme="minorHAnsi" w:hAnsiTheme="minorHAnsi" w:cstheme="minorHAnsi"/>
                <w:b/>
                <w:color w:val="000000"/>
                <w:sz w:val="22"/>
                <w:szCs w:val="22"/>
              </w:rPr>
            </w:pPr>
            <w:r w:rsidRPr="00023318">
              <w:rPr>
                <w:rFonts w:asciiTheme="minorHAnsi" w:hAnsiTheme="minorHAnsi" w:cs="Arial"/>
                <w:b/>
                <w:bCs/>
                <w:sz w:val="22"/>
                <w:szCs w:val="22"/>
              </w:rPr>
              <w:t>30.</w:t>
            </w:r>
            <w:r w:rsidR="00882455">
              <w:rPr>
                <w:rFonts w:asciiTheme="minorHAnsi" w:hAnsiTheme="minorHAnsi" w:cs="Arial"/>
                <w:b/>
                <w:bCs/>
                <w:sz w:val="22"/>
                <w:szCs w:val="22"/>
              </w:rPr>
              <w:t>39</w:t>
            </w:r>
            <w:r w:rsidRPr="00023318">
              <w:rPr>
                <w:rFonts w:asciiTheme="minorHAnsi" w:hAnsiTheme="minorHAnsi" w:cs="Arial"/>
                <w:b/>
                <w:bCs/>
                <w:sz w:val="22"/>
                <w:szCs w:val="22"/>
              </w:rPr>
              <w:t xml:space="preserve"> </w:t>
            </w:r>
          </w:p>
        </w:tc>
      </w:tr>
    </w:tbl>
    <w:p w:rsidR="00882455" w:rsidRDefault="00882455" w:rsidP="00C34658">
      <w:pPr>
        <w:tabs>
          <w:tab w:val="left" w:pos="720"/>
        </w:tabs>
        <w:outlineLvl w:val="2"/>
        <w:rPr>
          <w:rFonts w:cs="Arial"/>
          <w:b/>
          <w:bCs/>
          <w:szCs w:val="26"/>
        </w:rPr>
      </w:pPr>
    </w:p>
    <w:p w:rsidR="00C34658" w:rsidRPr="00C60AD1" w:rsidRDefault="00C34658" w:rsidP="00C34658">
      <w:pPr>
        <w:tabs>
          <w:tab w:val="left" w:pos="720"/>
        </w:tabs>
        <w:outlineLvl w:val="2"/>
        <w:rPr>
          <w:rFonts w:cs="Arial"/>
          <w:b/>
          <w:bCs/>
          <w:szCs w:val="26"/>
        </w:rPr>
      </w:pPr>
      <w:r w:rsidRPr="00C60AD1">
        <w:rPr>
          <w:rFonts w:cs="Arial"/>
          <w:b/>
          <w:bCs/>
          <w:szCs w:val="26"/>
        </w:rPr>
        <w:t>Interest on Consumer Security Deposits</w:t>
      </w:r>
    </w:p>
    <w:p w:rsidR="00023318" w:rsidRDefault="00C34658" w:rsidP="00023318">
      <w:pPr>
        <w:pStyle w:val="Heading3"/>
        <w:tabs>
          <w:tab w:val="clear" w:pos="720"/>
        </w:tabs>
        <w:spacing w:after="240"/>
        <w:ind w:left="993" w:hanging="993"/>
      </w:pPr>
      <w:r w:rsidRPr="00C60AD1">
        <w:t xml:space="preserve">The Petitioner submitted that as per the Regulation 4.8(3) of the Distribution Tariff Regulation, 2006, the Licensee has to pay interest to the consumers at Bank Rate or more on the consumer security deposit. </w:t>
      </w:r>
    </w:p>
    <w:p w:rsidR="00023318" w:rsidRDefault="00C34658" w:rsidP="00023318">
      <w:pPr>
        <w:pStyle w:val="Heading3"/>
        <w:tabs>
          <w:tab w:val="clear" w:pos="720"/>
        </w:tabs>
        <w:spacing w:after="240"/>
        <w:ind w:left="993" w:hanging="993"/>
      </w:pPr>
      <w:r w:rsidRPr="00C60AD1">
        <w:t>The Petitioner further submitted that Section 47(4) of the Electricity Act 2003, states as follows:</w:t>
      </w:r>
    </w:p>
    <w:p w:rsidR="00C34658" w:rsidRPr="00C60AD1" w:rsidRDefault="00C34658" w:rsidP="00C34658">
      <w:pPr>
        <w:pStyle w:val="Heading4"/>
        <w:numPr>
          <w:ilvl w:val="0"/>
          <w:numId w:val="0"/>
        </w:numPr>
        <w:spacing w:before="0"/>
        <w:ind w:left="1440"/>
      </w:pPr>
      <w:r w:rsidRPr="00C60AD1">
        <w:t>“</w:t>
      </w:r>
      <w:r w:rsidRPr="00C60AD1">
        <w:rPr>
          <w:i/>
        </w:rPr>
        <w:t>the distribution licensee shall pay interest equivalent to the bank rate or more, as may be specified by the concerned state Commission, on the security referred to in sub-section (1) and refund such security on the request of the person who gave such security</w:t>
      </w:r>
      <w:r w:rsidRPr="00C60AD1">
        <w:t>”</w:t>
      </w:r>
    </w:p>
    <w:p w:rsidR="00023318" w:rsidRDefault="00C34658" w:rsidP="00023318">
      <w:pPr>
        <w:pStyle w:val="Heading3"/>
        <w:tabs>
          <w:tab w:val="clear" w:pos="720"/>
        </w:tabs>
        <w:spacing w:after="240"/>
        <w:ind w:left="993" w:hanging="993"/>
      </w:pPr>
      <w:r w:rsidRPr="00C60AD1">
        <w:t xml:space="preserve">The Petitioner submitted that accordingly, the interest to consumers on the security deposits has been computed on the opening balance of the security deposits at the beginning of the year at the Bank Rate of </w:t>
      </w:r>
      <w:r>
        <w:t>8.50</w:t>
      </w:r>
      <w:r w:rsidRPr="00C60AD1">
        <w:t>% for FY 201</w:t>
      </w:r>
      <w:r>
        <w:t>5</w:t>
      </w:r>
      <w:r w:rsidRPr="00C60AD1">
        <w:t>-1</w:t>
      </w:r>
      <w:r>
        <w:t>6</w:t>
      </w:r>
      <w:r w:rsidRPr="00C60AD1">
        <w:t xml:space="preserve"> </w:t>
      </w:r>
      <w:r w:rsidRPr="00C60AD1">
        <w:lastRenderedPageBreak/>
        <w:t xml:space="preserve">and </w:t>
      </w:r>
      <w:r>
        <w:t xml:space="preserve">7.75% for </w:t>
      </w:r>
      <w:r w:rsidRPr="00C60AD1">
        <w:t xml:space="preserve">FY </w:t>
      </w:r>
      <w:r>
        <w:t>2016-17</w:t>
      </w:r>
      <w:r w:rsidRPr="00C60AD1">
        <w:t>, however, the same shall be Trued-up, based on audited accounts.</w:t>
      </w:r>
    </w:p>
    <w:p w:rsidR="00023318" w:rsidRDefault="00C34658" w:rsidP="00023318">
      <w:pPr>
        <w:pStyle w:val="Heading3"/>
        <w:tabs>
          <w:tab w:val="clear" w:pos="720"/>
        </w:tabs>
        <w:spacing w:after="240"/>
        <w:ind w:left="993" w:hanging="993"/>
      </w:pPr>
      <w:r w:rsidRPr="008B0C65">
        <w:t>As the approach followed by the Petitioner is in accordance with the Distribution Tariff Regulations, 2006 and is also consistent with the approach adopted by the Commission in the previous Tariff Orders, therefore, the Commission approves the methodology employed by the Petitioner in this regard. However, it is observed that the Reserve Bank of India vide circular no. RBI / 2015</w:t>
      </w:r>
      <w:r>
        <w:t>-16</w:t>
      </w:r>
      <w:r w:rsidRPr="008B0C65">
        <w:t xml:space="preserve"> / </w:t>
      </w:r>
      <w:r>
        <w:t>194</w:t>
      </w:r>
      <w:r w:rsidRPr="008B0C65">
        <w:t xml:space="preserve"> dated </w:t>
      </w:r>
      <w:r>
        <w:t>September 29</w:t>
      </w:r>
      <w:r w:rsidRPr="008B0C65">
        <w:t>, 2015 has revised the Bank Rate from 8.</w:t>
      </w:r>
      <w:r>
        <w:t>2</w:t>
      </w:r>
      <w:r w:rsidRPr="008B0C65">
        <w:t xml:space="preserve">5% to </w:t>
      </w:r>
      <w:r>
        <w:t>7.75</w:t>
      </w:r>
      <w:r w:rsidRPr="008B0C65">
        <w:t xml:space="preserve">% w.e.f. </w:t>
      </w:r>
      <w:r>
        <w:t>September 29</w:t>
      </w:r>
      <w:r w:rsidRPr="008B0C65">
        <w:t xml:space="preserve">, 2015. Hence, the Commission has recomputed the interest on consumer security deposit at the rate of </w:t>
      </w:r>
      <w:r>
        <w:t>7.75</w:t>
      </w:r>
      <w:r w:rsidRPr="008B0C65">
        <w:t>%. However, the actual interest payable on consumer security deposits would be at the Bank Rates notified by the RBI from time to time as per the provision of the Electricity Supply Code. The same would be trued up based on audited accounts.</w:t>
      </w:r>
    </w:p>
    <w:p w:rsidR="00023318" w:rsidRDefault="00C34658" w:rsidP="00023318">
      <w:pPr>
        <w:pStyle w:val="Heading3"/>
        <w:tabs>
          <w:tab w:val="clear" w:pos="720"/>
        </w:tabs>
        <w:spacing w:after="240"/>
        <w:ind w:left="993" w:hanging="993"/>
      </w:pPr>
      <w:r w:rsidRPr="00C60AD1">
        <w:t xml:space="preserve">Accordingly, the Commission has approved interest on security deposits for FY </w:t>
      </w:r>
      <w:r>
        <w:t>2016-17</w:t>
      </w:r>
      <w:r w:rsidRPr="00C60AD1">
        <w:t xml:space="preserve"> at </w:t>
      </w:r>
      <w:r>
        <w:t>7.75</w:t>
      </w:r>
      <w:r w:rsidRPr="00C60AD1">
        <w:t>% as shown in the Table below:</w:t>
      </w:r>
    </w:p>
    <w:p w:rsidR="00C34658" w:rsidRPr="006C08CE" w:rsidRDefault="00C34658" w:rsidP="00C34658">
      <w:pPr>
        <w:jc w:val="center"/>
        <w:rPr>
          <w:rFonts w:cstheme="minorHAnsi"/>
          <w:b/>
          <w:sz w:val="22"/>
        </w:rPr>
      </w:pPr>
      <w:bookmarkStart w:id="1067" w:name="_Toc338310716"/>
      <w:bookmarkStart w:id="1068" w:name="_Toc338419546"/>
      <w:bookmarkStart w:id="1069" w:name="_Toc357718754"/>
      <w:bookmarkStart w:id="1070" w:name="_Toc395657978"/>
      <w:bookmarkStart w:id="1071" w:name="_Toc396574029"/>
      <w:bookmarkStart w:id="1072" w:name="_Toc419992325"/>
      <w:bookmarkStart w:id="1073" w:name="_Toc453367707"/>
      <w:bookmarkStart w:id="1074" w:name="_Toc457355650"/>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26</w:t>
      </w:r>
      <w:r w:rsidR="004A2D9E" w:rsidRPr="006C08CE">
        <w:rPr>
          <w:rFonts w:cstheme="minorHAnsi"/>
          <w:b/>
          <w:sz w:val="22"/>
        </w:rPr>
        <w:fldChar w:fldCharType="end"/>
      </w:r>
      <w:r w:rsidRPr="006C08CE">
        <w:rPr>
          <w:rFonts w:cstheme="minorHAnsi"/>
          <w:b/>
          <w:sz w:val="22"/>
        </w:rPr>
        <w:t>: INTEREST ON SECURITY DEPOSITS FOR FY 2016-17 (Rs. Crore)</w:t>
      </w:r>
      <w:bookmarkEnd w:id="1067"/>
      <w:bookmarkEnd w:id="1068"/>
      <w:bookmarkEnd w:id="1069"/>
      <w:bookmarkEnd w:id="1070"/>
      <w:bookmarkEnd w:id="1071"/>
      <w:bookmarkEnd w:id="1072"/>
      <w:bookmarkEnd w:id="1073"/>
      <w:bookmarkEnd w:id="1074"/>
    </w:p>
    <w:tbl>
      <w:tblPr>
        <w:tblW w:w="5041"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131"/>
        <w:gridCol w:w="1528"/>
        <w:gridCol w:w="991"/>
        <w:gridCol w:w="1308"/>
      </w:tblGrid>
      <w:tr w:rsidR="00945E17" w:rsidRPr="00945E17" w:rsidTr="004F012E">
        <w:trPr>
          <w:trHeight w:val="539"/>
          <w:tblHeader/>
        </w:trPr>
        <w:tc>
          <w:tcPr>
            <w:tcW w:w="2864"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Particulars</w:t>
            </w:r>
          </w:p>
        </w:tc>
        <w:tc>
          <w:tcPr>
            <w:tcW w:w="8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Derivation</w:t>
            </w:r>
          </w:p>
        </w:tc>
        <w:tc>
          <w:tcPr>
            <w:tcW w:w="553"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Petition</w:t>
            </w:r>
          </w:p>
        </w:tc>
        <w:tc>
          <w:tcPr>
            <w:tcW w:w="730" w:type="pct"/>
            <w:shd w:val="clear" w:color="000000" w:fill="DBE5F1"/>
            <w:hideMark/>
          </w:tcPr>
          <w:p w:rsidR="003267CD" w:rsidRDefault="00027D0D">
            <w:pPr>
              <w:spacing w:before="0"/>
              <w:jc w:val="center"/>
              <w:rPr>
                <w:rFonts w:asciiTheme="minorHAnsi" w:hAnsiTheme="minorHAnsi"/>
                <w:b/>
                <w:sz w:val="22"/>
                <w:szCs w:val="22"/>
              </w:rPr>
            </w:pPr>
            <w:r w:rsidRPr="00027D0D">
              <w:rPr>
                <w:rFonts w:asciiTheme="minorHAnsi" w:hAnsiTheme="minorHAnsi"/>
                <w:b/>
                <w:sz w:val="22"/>
                <w:szCs w:val="22"/>
              </w:rPr>
              <w:t>FY 2016-17</w:t>
            </w:r>
            <w:r w:rsidRPr="00027D0D">
              <w:rPr>
                <w:rFonts w:asciiTheme="minorHAnsi" w:hAnsiTheme="minorHAnsi"/>
                <w:b/>
                <w:sz w:val="22"/>
                <w:szCs w:val="22"/>
              </w:rPr>
              <w:br/>
              <w:t>(Approved)</w:t>
            </w:r>
          </w:p>
        </w:tc>
      </w:tr>
      <w:tr w:rsidR="00172623" w:rsidRPr="00945E17" w:rsidTr="00172623">
        <w:trPr>
          <w:trHeight w:val="359"/>
        </w:trPr>
        <w:tc>
          <w:tcPr>
            <w:tcW w:w="2864" w:type="pct"/>
            <w:shd w:val="clear" w:color="auto" w:fill="auto"/>
            <w:vAlign w:val="center"/>
            <w:hideMark/>
          </w:tcPr>
          <w:p w:rsidR="00172623" w:rsidRDefault="00172623" w:rsidP="00664BDA">
            <w:pPr>
              <w:pStyle w:val="NoSpacing"/>
              <w:rPr>
                <w:rFonts w:asciiTheme="minorHAnsi" w:hAnsiTheme="minorHAnsi"/>
              </w:rPr>
            </w:pPr>
            <w:r w:rsidRPr="00027D0D">
              <w:rPr>
                <w:rFonts w:asciiTheme="minorHAnsi" w:hAnsiTheme="minorHAnsi"/>
              </w:rPr>
              <w:t>Opening Balance of Security Deposits from Consumers</w:t>
            </w:r>
          </w:p>
        </w:tc>
        <w:tc>
          <w:tcPr>
            <w:tcW w:w="853" w:type="pct"/>
            <w:shd w:val="clear" w:color="auto" w:fill="auto"/>
            <w:noWrap/>
            <w:vAlign w:val="center"/>
            <w:hideMark/>
          </w:tcPr>
          <w:p w:rsidR="00023318" w:rsidRDefault="00172623" w:rsidP="00023318">
            <w:pPr>
              <w:spacing w:before="0" w:line="240" w:lineRule="auto"/>
              <w:jc w:val="center"/>
              <w:rPr>
                <w:rFonts w:asciiTheme="minorHAnsi" w:hAnsiTheme="minorHAnsi"/>
                <w:sz w:val="22"/>
                <w:szCs w:val="22"/>
              </w:rPr>
            </w:pPr>
            <w:r w:rsidRPr="00027D0D">
              <w:rPr>
                <w:rFonts w:asciiTheme="minorHAnsi" w:hAnsiTheme="minorHAnsi"/>
                <w:sz w:val="22"/>
                <w:szCs w:val="22"/>
              </w:rPr>
              <w:t>A</w:t>
            </w:r>
          </w:p>
        </w:tc>
        <w:tc>
          <w:tcPr>
            <w:tcW w:w="553"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124.61 </w:t>
            </w:r>
          </w:p>
        </w:tc>
        <w:tc>
          <w:tcPr>
            <w:tcW w:w="730"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124.61 </w:t>
            </w:r>
          </w:p>
        </w:tc>
      </w:tr>
      <w:tr w:rsidR="00172623" w:rsidRPr="00945E17" w:rsidTr="00172623">
        <w:trPr>
          <w:trHeight w:val="386"/>
        </w:trPr>
        <w:tc>
          <w:tcPr>
            <w:tcW w:w="2864" w:type="pct"/>
            <w:shd w:val="clear" w:color="auto" w:fill="auto"/>
            <w:vAlign w:val="center"/>
            <w:hideMark/>
          </w:tcPr>
          <w:p w:rsidR="00172623" w:rsidRPr="007132A6" w:rsidRDefault="00172623" w:rsidP="00664BDA">
            <w:pPr>
              <w:pStyle w:val="NoSpacing"/>
              <w:rPr>
                <w:rFonts w:asciiTheme="minorHAnsi" w:hAnsiTheme="minorHAnsi"/>
              </w:rPr>
            </w:pPr>
            <w:r w:rsidRPr="007132A6">
              <w:rPr>
                <w:rFonts w:asciiTheme="minorHAnsi" w:hAnsiTheme="minorHAnsi"/>
              </w:rPr>
              <w:t>Projected Closing Balance of Security Deposits from Consumers</w:t>
            </w:r>
          </w:p>
        </w:tc>
        <w:tc>
          <w:tcPr>
            <w:tcW w:w="853" w:type="pct"/>
            <w:shd w:val="clear" w:color="auto" w:fill="auto"/>
            <w:noWrap/>
            <w:vAlign w:val="center"/>
            <w:hideMark/>
          </w:tcPr>
          <w:p w:rsidR="00023318" w:rsidRDefault="00172623" w:rsidP="00023318">
            <w:pPr>
              <w:spacing w:before="0" w:line="240" w:lineRule="auto"/>
              <w:jc w:val="center"/>
              <w:rPr>
                <w:rFonts w:asciiTheme="minorHAnsi" w:hAnsiTheme="minorHAnsi"/>
                <w:sz w:val="22"/>
                <w:szCs w:val="22"/>
              </w:rPr>
            </w:pPr>
            <w:r w:rsidRPr="007132A6">
              <w:rPr>
                <w:rFonts w:asciiTheme="minorHAnsi" w:hAnsiTheme="minorHAnsi"/>
                <w:sz w:val="22"/>
                <w:szCs w:val="22"/>
              </w:rPr>
              <w:t>B</w:t>
            </w:r>
          </w:p>
        </w:tc>
        <w:tc>
          <w:tcPr>
            <w:tcW w:w="553"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129.48 </w:t>
            </w:r>
          </w:p>
        </w:tc>
        <w:tc>
          <w:tcPr>
            <w:tcW w:w="730"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129.48 </w:t>
            </w:r>
          </w:p>
        </w:tc>
      </w:tr>
      <w:tr w:rsidR="00172623" w:rsidRPr="00945E17" w:rsidTr="00172623">
        <w:trPr>
          <w:trHeight w:val="300"/>
        </w:trPr>
        <w:tc>
          <w:tcPr>
            <w:tcW w:w="2864" w:type="pct"/>
            <w:shd w:val="clear" w:color="auto" w:fill="auto"/>
            <w:noWrap/>
            <w:vAlign w:val="center"/>
            <w:hideMark/>
          </w:tcPr>
          <w:p w:rsidR="00172623" w:rsidRPr="007132A6" w:rsidRDefault="00172623" w:rsidP="00664BDA">
            <w:pPr>
              <w:pStyle w:val="NoSpacing"/>
              <w:rPr>
                <w:rFonts w:asciiTheme="minorHAnsi" w:hAnsiTheme="minorHAnsi"/>
              </w:rPr>
            </w:pPr>
            <w:r w:rsidRPr="007132A6">
              <w:rPr>
                <w:rFonts w:asciiTheme="minorHAnsi" w:hAnsiTheme="minorHAnsi"/>
              </w:rPr>
              <w:t>Bank Rate (%)</w:t>
            </w:r>
          </w:p>
        </w:tc>
        <w:tc>
          <w:tcPr>
            <w:tcW w:w="853" w:type="pct"/>
            <w:shd w:val="clear" w:color="auto" w:fill="auto"/>
            <w:noWrap/>
            <w:vAlign w:val="center"/>
            <w:hideMark/>
          </w:tcPr>
          <w:p w:rsidR="00023318" w:rsidRDefault="00172623" w:rsidP="00023318">
            <w:pPr>
              <w:spacing w:before="0" w:line="240" w:lineRule="auto"/>
              <w:jc w:val="center"/>
              <w:rPr>
                <w:rFonts w:asciiTheme="minorHAnsi" w:hAnsiTheme="minorHAnsi"/>
                <w:sz w:val="22"/>
                <w:szCs w:val="22"/>
              </w:rPr>
            </w:pPr>
            <w:r w:rsidRPr="007132A6">
              <w:rPr>
                <w:rFonts w:asciiTheme="minorHAnsi" w:hAnsiTheme="minorHAnsi"/>
                <w:sz w:val="22"/>
                <w:szCs w:val="22"/>
              </w:rPr>
              <w:t>C</w:t>
            </w:r>
          </w:p>
        </w:tc>
        <w:tc>
          <w:tcPr>
            <w:tcW w:w="553"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sz w:val="22"/>
                <w:szCs w:val="22"/>
              </w:rPr>
              <w:t>7.75%</w:t>
            </w:r>
          </w:p>
        </w:tc>
        <w:tc>
          <w:tcPr>
            <w:tcW w:w="730"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color w:val="000000"/>
                <w:sz w:val="22"/>
                <w:szCs w:val="22"/>
              </w:rPr>
              <w:t>7.75%</w:t>
            </w:r>
          </w:p>
        </w:tc>
      </w:tr>
      <w:tr w:rsidR="00172623" w:rsidRPr="00945E17" w:rsidTr="00172623">
        <w:trPr>
          <w:trHeight w:val="300"/>
        </w:trPr>
        <w:tc>
          <w:tcPr>
            <w:tcW w:w="2864" w:type="pct"/>
            <w:shd w:val="clear" w:color="auto" w:fill="auto"/>
            <w:noWrap/>
            <w:vAlign w:val="center"/>
            <w:hideMark/>
          </w:tcPr>
          <w:p w:rsidR="00172623" w:rsidRPr="007132A6" w:rsidRDefault="00172623" w:rsidP="00664BDA">
            <w:pPr>
              <w:pStyle w:val="NoSpacing"/>
              <w:rPr>
                <w:rFonts w:asciiTheme="minorHAnsi" w:hAnsiTheme="minorHAnsi"/>
              </w:rPr>
            </w:pPr>
            <w:r w:rsidRPr="007132A6">
              <w:rPr>
                <w:rFonts w:asciiTheme="minorHAnsi" w:hAnsiTheme="minorHAnsi"/>
              </w:rPr>
              <w:t>Interest on Security Deposits</w:t>
            </w:r>
          </w:p>
        </w:tc>
        <w:tc>
          <w:tcPr>
            <w:tcW w:w="853" w:type="pct"/>
            <w:shd w:val="clear" w:color="auto" w:fill="auto"/>
            <w:noWrap/>
            <w:vAlign w:val="center"/>
            <w:hideMark/>
          </w:tcPr>
          <w:p w:rsidR="00023318" w:rsidRDefault="00172623" w:rsidP="00023318">
            <w:pPr>
              <w:spacing w:before="0" w:line="240" w:lineRule="auto"/>
              <w:jc w:val="center"/>
              <w:rPr>
                <w:rFonts w:asciiTheme="minorHAnsi" w:hAnsiTheme="minorHAnsi"/>
                <w:b/>
                <w:sz w:val="22"/>
                <w:szCs w:val="22"/>
              </w:rPr>
            </w:pPr>
            <w:r w:rsidRPr="007132A6">
              <w:rPr>
                <w:rFonts w:asciiTheme="minorHAnsi" w:hAnsiTheme="minorHAnsi"/>
                <w:b/>
                <w:sz w:val="22"/>
                <w:szCs w:val="22"/>
              </w:rPr>
              <w:t>D = (A+B)/2*C</w:t>
            </w:r>
          </w:p>
        </w:tc>
        <w:tc>
          <w:tcPr>
            <w:tcW w:w="553"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b/>
                <w:bCs/>
                <w:sz w:val="22"/>
                <w:szCs w:val="22"/>
              </w:rPr>
              <w:t xml:space="preserve">9.85 </w:t>
            </w:r>
          </w:p>
        </w:tc>
        <w:tc>
          <w:tcPr>
            <w:tcW w:w="730" w:type="pct"/>
            <w:shd w:val="clear" w:color="auto" w:fill="auto"/>
            <w:noWrap/>
            <w:vAlign w:val="center"/>
            <w:hideMark/>
          </w:tcPr>
          <w:p w:rsidR="00023318" w:rsidRDefault="00023318" w:rsidP="00023318">
            <w:pPr>
              <w:spacing w:before="0" w:line="240" w:lineRule="auto"/>
              <w:jc w:val="right"/>
              <w:rPr>
                <w:rFonts w:asciiTheme="minorHAnsi" w:hAnsiTheme="minorHAnsi"/>
                <w:sz w:val="22"/>
                <w:szCs w:val="22"/>
              </w:rPr>
            </w:pPr>
            <w:r w:rsidRPr="00023318">
              <w:rPr>
                <w:rFonts w:asciiTheme="minorHAnsi" w:hAnsiTheme="minorHAnsi" w:cs="Arial"/>
                <w:b/>
                <w:bCs/>
                <w:color w:val="000000"/>
                <w:sz w:val="22"/>
                <w:szCs w:val="22"/>
              </w:rPr>
              <w:t xml:space="preserve">9.85 </w:t>
            </w:r>
          </w:p>
        </w:tc>
      </w:tr>
    </w:tbl>
    <w:p w:rsidR="002C5D4F" w:rsidRPr="00C60AD1" w:rsidRDefault="002C5D4F" w:rsidP="00664BDA">
      <w:pPr>
        <w:keepNext/>
        <w:spacing w:before="0" w:line="240" w:lineRule="auto"/>
        <w:jc w:val="center"/>
        <w:rPr>
          <w:b/>
          <w:bCs/>
          <w:sz w:val="23"/>
          <w:szCs w:val="23"/>
        </w:rPr>
      </w:pPr>
    </w:p>
    <w:p w:rsidR="003267CD" w:rsidRDefault="00C34658">
      <w:pPr>
        <w:outlineLvl w:val="3"/>
        <w:rPr>
          <w:rFonts w:cs="Arial"/>
          <w:b/>
          <w:bCs/>
          <w:szCs w:val="26"/>
        </w:rPr>
      </w:pPr>
      <w:r w:rsidRPr="00C60AD1">
        <w:rPr>
          <w:rFonts w:cs="Arial"/>
          <w:b/>
          <w:bCs/>
          <w:szCs w:val="26"/>
        </w:rPr>
        <w:t>Finance Charges:</w:t>
      </w:r>
    </w:p>
    <w:p w:rsidR="00023318" w:rsidRDefault="00C34658" w:rsidP="00023318">
      <w:pPr>
        <w:pStyle w:val="Heading3"/>
        <w:tabs>
          <w:tab w:val="clear" w:pos="720"/>
        </w:tabs>
        <w:spacing w:after="240"/>
        <w:ind w:left="993" w:hanging="993"/>
      </w:pPr>
      <w:r w:rsidRPr="00C60AD1">
        <w:t>The Petitioner has submitted that the finance charges towards expenses such as guarantee fees and bank charges is Rs.</w:t>
      </w:r>
      <w:r w:rsidR="002C5D4F">
        <w:t xml:space="preserve"> </w:t>
      </w:r>
      <w:r w:rsidR="004D0FCD">
        <w:t>0.</w:t>
      </w:r>
      <w:r w:rsidR="007C5691">
        <w:t>46</w:t>
      </w:r>
      <w:r w:rsidRPr="00C60AD1">
        <w:t xml:space="preserve"> Crore for FY </w:t>
      </w:r>
      <w:r>
        <w:t>2016-17</w:t>
      </w:r>
      <w:r w:rsidRPr="00C60AD1">
        <w:t xml:space="preserve"> and the same have been computed by extrapolating the actual guarantee fees and bank charges incurred in FY 201</w:t>
      </w:r>
      <w:r>
        <w:t>4</w:t>
      </w:r>
      <w:r w:rsidRPr="00C60AD1">
        <w:t>-1</w:t>
      </w:r>
      <w:r>
        <w:t>5</w:t>
      </w:r>
      <w:r w:rsidRPr="00C60AD1">
        <w:t xml:space="preserve"> as per provisional accounts by using the Inflation Index. </w:t>
      </w:r>
    </w:p>
    <w:p w:rsidR="00023318" w:rsidRDefault="00C34658" w:rsidP="00023318">
      <w:pPr>
        <w:pStyle w:val="Heading3"/>
        <w:tabs>
          <w:tab w:val="clear" w:pos="720"/>
        </w:tabs>
        <w:spacing w:after="240"/>
        <w:ind w:left="993" w:hanging="993"/>
      </w:pPr>
      <w:r w:rsidRPr="00C60AD1">
        <w:t xml:space="preserve">Further, the Petitioner submitted that it may be allowed to claim discount to consumers on actual during Truing-up based on audited accounts. </w:t>
      </w:r>
    </w:p>
    <w:p w:rsidR="00023318" w:rsidRDefault="00C34658" w:rsidP="00023318">
      <w:pPr>
        <w:pStyle w:val="Heading3"/>
        <w:tabs>
          <w:tab w:val="clear" w:pos="720"/>
        </w:tabs>
        <w:spacing w:after="240"/>
        <w:ind w:left="993" w:hanging="993"/>
      </w:pPr>
      <w:r w:rsidRPr="00C60AD1">
        <w:lastRenderedPageBreak/>
        <w:t xml:space="preserve">The Commission has considered Rs. </w:t>
      </w:r>
      <w:r w:rsidR="004D0FCD">
        <w:t>0.</w:t>
      </w:r>
      <w:r w:rsidR="007C5691">
        <w:t>46</w:t>
      </w:r>
      <w:r w:rsidRPr="00C60AD1">
        <w:t xml:space="preserve"> Crore as bank charges as submitted by the Petitioner for FY </w:t>
      </w:r>
      <w:r>
        <w:t>2016-17</w:t>
      </w:r>
      <w:r w:rsidRPr="00C60AD1">
        <w:t xml:space="preserve">. </w:t>
      </w:r>
    </w:p>
    <w:p w:rsidR="00023318" w:rsidRDefault="00C34658" w:rsidP="00023318">
      <w:pPr>
        <w:pStyle w:val="Heading3"/>
        <w:tabs>
          <w:tab w:val="clear" w:pos="720"/>
        </w:tabs>
        <w:spacing w:after="240"/>
        <w:ind w:left="993" w:hanging="993"/>
      </w:pPr>
      <w:r w:rsidRPr="00C60AD1">
        <w:t xml:space="preserve">As regards </w:t>
      </w:r>
      <w:r w:rsidRPr="008B0C65">
        <w:t>discount to consumers, it is to be noted that such rebates / discounts are given to consumers under different heads like power factor rebate, etc., and are provided to the consumers on actual basis. Hence, the Commission allows the Petitioner’s request to claim discount to consumers on actual basis during the Truing-up of FY 2016-17 based on the audited accounts. The Petitioner should however, ensure that such discount should have been adjusted in the actual revenue recovered during the year.</w:t>
      </w:r>
    </w:p>
    <w:p w:rsidR="00C34658" w:rsidRPr="00C60AD1" w:rsidRDefault="00C34658" w:rsidP="00C34658">
      <w:pPr>
        <w:tabs>
          <w:tab w:val="left" w:pos="720"/>
        </w:tabs>
        <w:outlineLvl w:val="2"/>
        <w:rPr>
          <w:rFonts w:cs="Arial"/>
          <w:b/>
          <w:bCs/>
          <w:szCs w:val="26"/>
        </w:rPr>
      </w:pPr>
      <w:r w:rsidRPr="00C60AD1">
        <w:rPr>
          <w:rFonts w:cs="Arial"/>
          <w:b/>
          <w:bCs/>
          <w:szCs w:val="26"/>
        </w:rPr>
        <w:t xml:space="preserve">Summary of Interest and Finance Charges </w:t>
      </w:r>
    </w:p>
    <w:p w:rsidR="00023318" w:rsidRDefault="00C34658" w:rsidP="00023318">
      <w:pPr>
        <w:pStyle w:val="Heading3"/>
        <w:tabs>
          <w:tab w:val="clear" w:pos="720"/>
        </w:tabs>
        <w:spacing w:after="240"/>
        <w:ind w:left="993" w:hanging="993"/>
      </w:pPr>
      <w:r w:rsidRPr="00C60AD1">
        <w:t xml:space="preserve">In view of the above, the approved interest and finance costs including interest on working capital for FY </w:t>
      </w:r>
      <w:r>
        <w:t>2016-17</w:t>
      </w:r>
      <w:r w:rsidRPr="00C60AD1">
        <w:t xml:space="preserve"> is summarised in the Table below:</w:t>
      </w:r>
    </w:p>
    <w:p w:rsidR="00C34658" w:rsidRPr="006C08CE" w:rsidRDefault="00C34658" w:rsidP="00C34658">
      <w:pPr>
        <w:jc w:val="center"/>
        <w:rPr>
          <w:rFonts w:cstheme="minorHAnsi"/>
          <w:b/>
          <w:sz w:val="22"/>
        </w:rPr>
      </w:pPr>
      <w:bookmarkStart w:id="1075" w:name="_Toc338310717"/>
      <w:bookmarkStart w:id="1076" w:name="_Toc338419547"/>
      <w:bookmarkStart w:id="1077" w:name="_Toc357718755"/>
      <w:bookmarkStart w:id="1078" w:name="_Toc395657979"/>
      <w:bookmarkStart w:id="1079" w:name="_Toc396574030"/>
      <w:bookmarkStart w:id="1080" w:name="_Toc419992326"/>
      <w:bookmarkStart w:id="1081" w:name="_Toc453367708"/>
      <w:bookmarkStart w:id="1082" w:name="_Toc457355651"/>
      <w:r w:rsidRPr="006C08CE">
        <w:rPr>
          <w:rFonts w:cstheme="minorHAnsi"/>
          <w:b/>
          <w:sz w:val="22"/>
        </w:rPr>
        <w:t xml:space="preserve">TABLE </w:t>
      </w:r>
      <w:r w:rsidR="004A2D9E" w:rsidRPr="006C08CE">
        <w:rPr>
          <w:rFonts w:cstheme="minorHAnsi"/>
          <w:b/>
          <w:sz w:val="22"/>
        </w:rPr>
        <w:fldChar w:fldCharType="begin"/>
      </w:r>
      <w:r w:rsidRPr="006C08CE">
        <w:rPr>
          <w:rFonts w:cstheme="minorHAnsi"/>
          <w:b/>
          <w:sz w:val="22"/>
        </w:rPr>
        <w:instrText xml:space="preserve"> STYLEREF 1 \S </w:instrText>
      </w:r>
      <w:r w:rsidR="004A2D9E" w:rsidRPr="006C08CE">
        <w:rPr>
          <w:rFonts w:cstheme="minorHAnsi"/>
          <w:b/>
          <w:sz w:val="22"/>
        </w:rPr>
        <w:fldChar w:fldCharType="separate"/>
      </w:r>
      <w:r w:rsidR="0011185B" w:rsidRPr="006C08CE">
        <w:rPr>
          <w:rFonts w:cstheme="minorHAnsi"/>
          <w:b/>
          <w:noProof/>
          <w:sz w:val="22"/>
        </w:rPr>
        <w:t>5</w:t>
      </w:r>
      <w:r w:rsidR="004A2D9E" w:rsidRPr="006C08CE">
        <w:rPr>
          <w:rFonts w:cstheme="minorHAnsi"/>
          <w:b/>
          <w:sz w:val="22"/>
        </w:rPr>
        <w:fldChar w:fldCharType="end"/>
      </w:r>
      <w:r w:rsidRPr="006C08CE">
        <w:rPr>
          <w:rFonts w:cstheme="minorHAnsi"/>
          <w:b/>
          <w:sz w:val="22"/>
        </w:rPr>
        <w:noBreakHyphen/>
      </w:r>
      <w:r w:rsidR="004A2D9E" w:rsidRPr="006C08CE">
        <w:rPr>
          <w:rFonts w:cstheme="minorHAnsi"/>
          <w:b/>
          <w:sz w:val="22"/>
        </w:rPr>
        <w:fldChar w:fldCharType="begin"/>
      </w:r>
      <w:r w:rsidRPr="006C08CE">
        <w:rPr>
          <w:rFonts w:cstheme="minorHAnsi"/>
          <w:b/>
          <w:sz w:val="22"/>
        </w:rPr>
        <w:instrText xml:space="preserve"> SEQ TABLE \* ARABIC \S 1 </w:instrText>
      </w:r>
      <w:r w:rsidR="004A2D9E" w:rsidRPr="006C08CE">
        <w:rPr>
          <w:rFonts w:cstheme="minorHAnsi"/>
          <w:b/>
          <w:sz w:val="22"/>
        </w:rPr>
        <w:fldChar w:fldCharType="separate"/>
      </w:r>
      <w:r w:rsidR="0011185B" w:rsidRPr="006C08CE">
        <w:rPr>
          <w:rFonts w:cstheme="minorHAnsi"/>
          <w:b/>
          <w:noProof/>
          <w:sz w:val="22"/>
        </w:rPr>
        <w:t>27</w:t>
      </w:r>
      <w:r w:rsidR="004A2D9E" w:rsidRPr="006C08CE">
        <w:rPr>
          <w:rFonts w:cstheme="minorHAnsi"/>
          <w:b/>
          <w:sz w:val="22"/>
        </w:rPr>
        <w:fldChar w:fldCharType="end"/>
      </w:r>
      <w:r w:rsidRPr="006C08CE">
        <w:rPr>
          <w:rFonts w:cstheme="minorHAnsi"/>
          <w:b/>
          <w:sz w:val="22"/>
        </w:rPr>
        <w:t>: INTEREST AND FINANCE CHARGES FOR FY 2016-17 (RS. CRORE)</w:t>
      </w:r>
      <w:bookmarkEnd w:id="1075"/>
      <w:bookmarkEnd w:id="1076"/>
      <w:bookmarkEnd w:id="1077"/>
      <w:bookmarkEnd w:id="1078"/>
      <w:bookmarkEnd w:id="1079"/>
      <w:bookmarkEnd w:id="1080"/>
      <w:bookmarkEnd w:id="1081"/>
      <w:bookmarkEnd w:id="1082"/>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058"/>
        <w:gridCol w:w="2070"/>
        <w:gridCol w:w="1757"/>
      </w:tblGrid>
      <w:tr w:rsidR="00C34658" w:rsidRPr="00EB77FD" w:rsidTr="00EB77FD">
        <w:trPr>
          <w:trHeight w:val="600"/>
          <w:jc w:val="center"/>
        </w:trPr>
        <w:tc>
          <w:tcPr>
            <w:tcW w:w="2846"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Particulars</w:t>
            </w:r>
          </w:p>
        </w:tc>
        <w:tc>
          <w:tcPr>
            <w:tcW w:w="1165" w:type="pct"/>
            <w:shd w:val="clear" w:color="000000" w:fill="DBE5F1"/>
            <w:noWrap/>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ARR Petition</w:t>
            </w:r>
          </w:p>
        </w:tc>
        <w:tc>
          <w:tcPr>
            <w:tcW w:w="989" w:type="pct"/>
            <w:shd w:val="clear" w:color="000000" w:fill="DBE5F1"/>
            <w:hideMark/>
          </w:tcPr>
          <w:p w:rsidR="003267CD" w:rsidRDefault="00027D0D">
            <w:pPr>
              <w:spacing w:before="0"/>
              <w:jc w:val="center"/>
              <w:rPr>
                <w:rFonts w:asciiTheme="minorHAnsi" w:hAnsiTheme="minorHAnsi" w:cstheme="minorHAnsi"/>
                <w:b/>
                <w:sz w:val="22"/>
                <w:szCs w:val="22"/>
              </w:rPr>
            </w:pPr>
            <w:r>
              <w:rPr>
                <w:rFonts w:asciiTheme="minorHAnsi" w:hAnsiTheme="minorHAnsi" w:cstheme="minorHAnsi"/>
                <w:b/>
                <w:sz w:val="22"/>
                <w:szCs w:val="22"/>
              </w:rPr>
              <w:t>FY 2016-17</w:t>
            </w:r>
            <w:r>
              <w:rPr>
                <w:rFonts w:asciiTheme="minorHAnsi" w:hAnsiTheme="minorHAnsi" w:cstheme="minorHAnsi"/>
                <w:b/>
                <w:sz w:val="22"/>
                <w:szCs w:val="22"/>
              </w:rPr>
              <w:br/>
              <w:t>(Approved)</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Interest on Long term Loans</w:t>
            </w:r>
          </w:p>
        </w:tc>
        <w:tc>
          <w:tcPr>
            <w:tcW w:w="1165"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color w:val="000000"/>
                <w:sz w:val="22"/>
                <w:szCs w:val="22"/>
              </w:rPr>
              <w:t xml:space="preserve">18.56 </w:t>
            </w:r>
          </w:p>
        </w:tc>
        <w:tc>
          <w:tcPr>
            <w:tcW w:w="989"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sz w:val="22"/>
                <w:szCs w:val="22"/>
              </w:rPr>
              <w:t xml:space="preserve">10.62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Interest on Working Capital Loans</w:t>
            </w:r>
          </w:p>
        </w:tc>
        <w:tc>
          <w:tcPr>
            <w:tcW w:w="1165"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color w:val="000000"/>
                <w:sz w:val="22"/>
                <w:szCs w:val="22"/>
              </w:rPr>
              <w:t xml:space="preserve">30.44 </w:t>
            </w:r>
          </w:p>
        </w:tc>
        <w:tc>
          <w:tcPr>
            <w:tcW w:w="989" w:type="pct"/>
            <w:shd w:val="clear" w:color="auto" w:fill="auto"/>
            <w:noWrap/>
            <w:vAlign w:val="center"/>
            <w:hideMark/>
          </w:tcPr>
          <w:p w:rsidR="00D741AB" w:rsidRDefault="00023318">
            <w:pPr>
              <w:spacing w:before="0"/>
              <w:jc w:val="right"/>
              <w:rPr>
                <w:rFonts w:asciiTheme="minorHAnsi" w:hAnsiTheme="minorHAnsi" w:cstheme="minorHAnsi"/>
                <w:sz w:val="22"/>
                <w:szCs w:val="22"/>
              </w:rPr>
            </w:pPr>
            <w:r w:rsidRPr="00023318">
              <w:rPr>
                <w:rFonts w:asciiTheme="minorHAnsi" w:hAnsiTheme="minorHAnsi" w:cs="Arial"/>
                <w:sz w:val="22"/>
                <w:szCs w:val="22"/>
              </w:rPr>
              <w:t>30.</w:t>
            </w:r>
            <w:r w:rsidR="003F0321">
              <w:rPr>
                <w:rFonts w:asciiTheme="minorHAnsi" w:hAnsiTheme="minorHAnsi" w:cs="Arial"/>
                <w:sz w:val="22"/>
                <w:szCs w:val="22"/>
              </w:rPr>
              <w:t>39</w:t>
            </w:r>
            <w:r w:rsidRPr="00023318">
              <w:rPr>
                <w:rFonts w:asciiTheme="minorHAnsi" w:hAnsiTheme="minorHAnsi" w:cs="Arial"/>
                <w:sz w:val="22"/>
                <w:szCs w:val="22"/>
              </w:rPr>
              <w:t xml:space="preserve">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b/>
                <w:bCs/>
                <w:color w:val="000000"/>
                <w:sz w:val="22"/>
                <w:szCs w:val="22"/>
              </w:rPr>
              <w:t xml:space="preserve">49.00 </w:t>
            </w:r>
          </w:p>
        </w:tc>
        <w:tc>
          <w:tcPr>
            <w:tcW w:w="989" w:type="pct"/>
            <w:shd w:val="clear" w:color="auto" w:fill="auto"/>
            <w:noWrap/>
            <w:vAlign w:val="center"/>
            <w:hideMark/>
          </w:tcPr>
          <w:p w:rsidR="00D741AB" w:rsidRDefault="00023318">
            <w:pPr>
              <w:spacing w:before="0"/>
              <w:jc w:val="right"/>
              <w:rPr>
                <w:rFonts w:asciiTheme="minorHAnsi" w:hAnsiTheme="minorHAnsi" w:cstheme="minorHAnsi"/>
                <w:sz w:val="22"/>
                <w:szCs w:val="22"/>
              </w:rPr>
            </w:pPr>
            <w:r w:rsidRPr="00023318">
              <w:rPr>
                <w:rFonts w:asciiTheme="minorHAnsi" w:hAnsiTheme="minorHAnsi" w:cs="Arial"/>
                <w:b/>
                <w:bCs/>
                <w:color w:val="000000"/>
                <w:sz w:val="22"/>
                <w:szCs w:val="22"/>
              </w:rPr>
              <w:t>41.</w:t>
            </w:r>
            <w:r w:rsidR="003F0321">
              <w:rPr>
                <w:rFonts w:asciiTheme="minorHAnsi" w:hAnsiTheme="minorHAnsi" w:cs="Arial"/>
                <w:b/>
                <w:bCs/>
                <w:color w:val="000000"/>
                <w:sz w:val="22"/>
                <w:szCs w:val="22"/>
              </w:rPr>
              <w:t>01</w:t>
            </w:r>
            <w:r w:rsidRPr="00023318">
              <w:rPr>
                <w:rFonts w:asciiTheme="minorHAnsi" w:hAnsiTheme="minorHAnsi" w:cs="Arial"/>
                <w:b/>
                <w:bCs/>
                <w:color w:val="000000"/>
                <w:sz w:val="22"/>
                <w:szCs w:val="22"/>
              </w:rPr>
              <w:t xml:space="preserve">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Interest on Consumer Security Deposits</w:t>
            </w:r>
          </w:p>
        </w:tc>
        <w:tc>
          <w:tcPr>
            <w:tcW w:w="1165" w:type="pct"/>
            <w:shd w:val="clear" w:color="auto" w:fill="auto"/>
            <w:noWrap/>
            <w:vAlign w:val="center"/>
            <w:hideMark/>
          </w:tcPr>
          <w:p w:rsidR="007C5691" w:rsidRPr="007C5691" w:rsidRDefault="007C5691" w:rsidP="007C5691">
            <w:pPr>
              <w:pStyle w:val="NoSpacing"/>
              <w:spacing w:before="120" w:line="276" w:lineRule="auto"/>
              <w:jc w:val="right"/>
              <w:rPr>
                <w:rFonts w:asciiTheme="minorHAnsi" w:hAnsiTheme="minorHAnsi"/>
              </w:rPr>
            </w:pPr>
            <w:r w:rsidRPr="007C5691">
              <w:rPr>
                <w:rFonts w:asciiTheme="minorHAnsi" w:hAnsiTheme="minorHAnsi" w:cs="Arial"/>
                <w:color w:val="000000"/>
              </w:rPr>
              <w:t xml:space="preserve">9.85 </w:t>
            </w:r>
          </w:p>
        </w:tc>
        <w:tc>
          <w:tcPr>
            <w:tcW w:w="989" w:type="pct"/>
            <w:shd w:val="clear" w:color="auto" w:fill="auto"/>
            <w:noWrap/>
            <w:vAlign w:val="center"/>
            <w:hideMark/>
          </w:tcPr>
          <w:p w:rsidR="007C5691" w:rsidRPr="007C5691" w:rsidRDefault="007C5691" w:rsidP="007C5691">
            <w:pPr>
              <w:pStyle w:val="NoSpacing"/>
              <w:spacing w:before="120" w:line="276" w:lineRule="auto"/>
              <w:jc w:val="right"/>
              <w:rPr>
                <w:rFonts w:asciiTheme="minorHAnsi" w:hAnsiTheme="minorHAnsi" w:cstheme="minorHAnsi"/>
              </w:rPr>
            </w:pPr>
            <w:r w:rsidRPr="007C5691">
              <w:rPr>
                <w:rFonts w:asciiTheme="minorHAnsi" w:hAnsiTheme="minorHAnsi" w:cs="Arial"/>
              </w:rPr>
              <w:t xml:space="preserve">9.85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Bank Charges</w:t>
            </w:r>
          </w:p>
        </w:tc>
        <w:tc>
          <w:tcPr>
            <w:tcW w:w="1165"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color w:val="000000"/>
                <w:sz w:val="22"/>
                <w:szCs w:val="22"/>
              </w:rPr>
              <w:t>0.46</w:t>
            </w:r>
          </w:p>
        </w:tc>
        <w:tc>
          <w:tcPr>
            <w:tcW w:w="989"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sz w:val="22"/>
                <w:szCs w:val="22"/>
              </w:rPr>
              <w:t xml:space="preserve">0.46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Discount to Consumers</w:t>
            </w:r>
          </w:p>
        </w:tc>
        <w:tc>
          <w:tcPr>
            <w:tcW w:w="1165"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color w:val="000000"/>
                <w:sz w:val="22"/>
                <w:szCs w:val="22"/>
              </w:rPr>
              <w:t>-</w:t>
            </w:r>
          </w:p>
        </w:tc>
        <w:tc>
          <w:tcPr>
            <w:tcW w:w="989"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sz w:val="22"/>
                <w:szCs w:val="22"/>
              </w:rPr>
              <w:t xml:space="preserve">-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b/>
              </w:rPr>
            </w:pPr>
            <w:r w:rsidRPr="00027D0D">
              <w:rPr>
                <w:rFonts w:asciiTheme="minorHAnsi" w:hAnsiTheme="minorHAnsi"/>
                <w:b/>
              </w:rPr>
              <w:t>Sub Total</w:t>
            </w:r>
          </w:p>
        </w:tc>
        <w:tc>
          <w:tcPr>
            <w:tcW w:w="1165"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b/>
                <w:bCs/>
                <w:color w:val="000000"/>
                <w:sz w:val="22"/>
                <w:szCs w:val="22"/>
              </w:rPr>
              <w:t xml:space="preserve">10.31 </w:t>
            </w:r>
          </w:p>
        </w:tc>
        <w:tc>
          <w:tcPr>
            <w:tcW w:w="989"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b/>
                <w:bCs/>
                <w:color w:val="000000"/>
                <w:sz w:val="22"/>
                <w:szCs w:val="22"/>
              </w:rPr>
              <w:t xml:space="preserve">10.31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b/>
              </w:rPr>
            </w:pPr>
            <w:r w:rsidRPr="00027D0D">
              <w:rPr>
                <w:rFonts w:asciiTheme="minorHAnsi" w:hAnsiTheme="minorHAnsi"/>
                <w:b/>
              </w:rPr>
              <w:t>Gross Total Interest &amp; Finance Charges</w:t>
            </w:r>
          </w:p>
        </w:tc>
        <w:tc>
          <w:tcPr>
            <w:tcW w:w="1165"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b/>
                <w:bCs/>
                <w:color w:val="000000"/>
                <w:sz w:val="22"/>
                <w:szCs w:val="22"/>
              </w:rPr>
              <w:t xml:space="preserve">59.30 </w:t>
            </w:r>
          </w:p>
        </w:tc>
        <w:tc>
          <w:tcPr>
            <w:tcW w:w="989" w:type="pct"/>
            <w:shd w:val="clear" w:color="auto" w:fill="auto"/>
            <w:noWrap/>
            <w:vAlign w:val="center"/>
            <w:hideMark/>
          </w:tcPr>
          <w:p w:rsidR="00D741AB" w:rsidRDefault="007C5691">
            <w:pPr>
              <w:spacing w:before="0"/>
              <w:jc w:val="right"/>
              <w:rPr>
                <w:rFonts w:asciiTheme="minorHAnsi" w:hAnsiTheme="minorHAnsi" w:cstheme="minorHAnsi"/>
                <w:sz w:val="22"/>
                <w:szCs w:val="22"/>
              </w:rPr>
            </w:pPr>
            <w:r w:rsidRPr="007C5691">
              <w:rPr>
                <w:rFonts w:asciiTheme="minorHAnsi" w:hAnsiTheme="minorHAnsi" w:cs="Arial"/>
                <w:b/>
                <w:bCs/>
                <w:color w:val="000000"/>
                <w:sz w:val="22"/>
                <w:szCs w:val="22"/>
              </w:rPr>
              <w:t>51.3</w:t>
            </w:r>
            <w:r w:rsidR="003F0321">
              <w:rPr>
                <w:rFonts w:asciiTheme="minorHAnsi" w:hAnsiTheme="minorHAnsi" w:cs="Arial"/>
                <w:b/>
                <w:bCs/>
                <w:color w:val="000000"/>
                <w:sz w:val="22"/>
                <w:szCs w:val="22"/>
              </w:rPr>
              <w:t>2</w:t>
            </w:r>
            <w:r w:rsidRPr="007C5691">
              <w:rPr>
                <w:rFonts w:asciiTheme="minorHAnsi" w:hAnsiTheme="minorHAnsi" w:cs="Arial"/>
                <w:b/>
                <w:bCs/>
                <w:color w:val="000000"/>
                <w:sz w:val="22"/>
                <w:szCs w:val="22"/>
              </w:rPr>
              <w:t xml:space="preserve">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Less: Capitalization of interest on Long term Loans</w:t>
            </w:r>
          </w:p>
        </w:tc>
        <w:tc>
          <w:tcPr>
            <w:tcW w:w="1165"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color w:val="000000"/>
                <w:sz w:val="22"/>
                <w:szCs w:val="22"/>
              </w:rPr>
              <w:t xml:space="preserve">14.29 </w:t>
            </w:r>
          </w:p>
        </w:tc>
        <w:tc>
          <w:tcPr>
            <w:tcW w:w="989"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sz w:val="22"/>
                <w:szCs w:val="22"/>
              </w:rPr>
              <w:t xml:space="preserve">2.44 </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rPr>
            </w:pPr>
            <w:r w:rsidRPr="00027D0D">
              <w:rPr>
                <w:rFonts w:asciiTheme="minorHAnsi" w:hAnsiTheme="minorHAnsi"/>
              </w:rPr>
              <w:t>% Capitalization</w:t>
            </w:r>
          </w:p>
        </w:tc>
        <w:tc>
          <w:tcPr>
            <w:tcW w:w="1165" w:type="pct"/>
            <w:shd w:val="clear" w:color="auto" w:fill="auto"/>
            <w:noWrap/>
            <w:vAlign w:val="center"/>
            <w:hideMark/>
          </w:tcPr>
          <w:p w:rsidR="00D741AB" w:rsidRDefault="003F0321">
            <w:pPr>
              <w:spacing w:before="0"/>
              <w:jc w:val="right"/>
              <w:rPr>
                <w:rFonts w:asciiTheme="minorHAnsi" w:hAnsiTheme="minorHAnsi" w:cstheme="minorHAnsi"/>
                <w:sz w:val="22"/>
                <w:szCs w:val="22"/>
              </w:rPr>
            </w:pPr>
            <w:r>
              <w:rPr>
                <w:rFonts w:asciiTheme="minorHAnsi" w:hAnsiTheme="minorHAnsi" w:cs="Arial"/>
                <w:color w:val="000000"/>
                <w:sz w:val="22"/>
                <w:szCs w:val="22"/>
              </w:rPr>
              <w:t>23</w:t>
            </w:r>
            <w:r w:rsidR="007C5691" w:rsidRPr="007C5691">
              <w:rPr>
                <w:rFonts w:asciiTheme="minorHAnsi" w:hAnsiTheme="minorHAnsi" w:cs="Arial"/>
                <w:color w:val="000000"/>
                <w:sz w:val="22"/>
                <w:szCs w:val="22"/>
              </w:rPr>
              <w:t>.00%</w:t>
            </w:r>
          </w:p>
        </w:tc>
        <w:tc>
          <w:tcPr>
            <w:tcW w:w="989" w:type="pct"/>
            <w:shd w:val="clear" w:color="auto" w:fill="auto"/>
            <w:noWrap/>
            <w:vAlign w:val="center"/>
            <w:hideMark/>
          </w:tcPr>
          <w:p w:rsidR="007C5691" w:rsidRPr="007C5691" w:rsidRDefault="007C5691" w:rsidP="007C5691">
            <w:pPr>
              <w:spacing w:before="0"/>
              <w:jc w:val="right"/>
              <w:rPr>
                <w:rFonts w:asciiTheme="minorHAnsi" w:hAnsiTheme="minorHAnsi" w:cstheme="minorHAnsi"/>
                <w:sz w:val="22"/>
                <w:szCs w:val="22"/>
              </w:rPr>
            </w:pPr>
            <w:r w:rsidRPr="007C5691">
              <w:rPr>
                <w:rFonts w:asciiTheme="minorHAnsi" w:hAnsiTheme="minorHAnsi" w:cs="Arial"/>
                <w:sz w:val="22"/>
                <w:szCs w:val="22"/>
              </w:rPr>
              <w:t>23.00%</w:t>
            </w:r>
          </w:p>
        </w:tc>
      </w:tr>
      <w:tr w:rsidR="007C5691" w:rsidRPr="00EB77FD" w:rsidTr="007C5691">
        <w:trPr>
          <w:trHeight w:val="300"/>
          <w:jc w:val="center"/>
        </w:trPr>
        <w:tc>
          <w:tcPr>
            <w:tcW w:w="2846" w:type="pct"/>
            <w:shd w:val="clear" w:color="auto" w:fill="auto"/>
            <w:vAlign w:val="center"/>
            <w:hideMark/>
          </w:tcPr>
          <w:p w:rsidR="007C5691" w:rsidRDefault="007C5691">
            <w:pPr>
              <w:pStyle w:val="NoSpacing"/>
              <w:jc w:val="both"/>
              <w:rPr>
                <w:rFonts w:asciiTheme="minorHAnsi" w:hAnsiTheme="minorHAnsi"/>
                <w:b/>
              </w:rPr>
            </w:pPr>
            <w:r w:rsidRPr="00027D0D">
              <w:rPr>
                <w:rFonts w:asciiTheme="minorHAnsi" w:hAnsiTheme="minorHAnsi"/>
                <w:b/>
              </w:rPr>
              <w:t>Net Interest &amp; Finance Charges</w:t>
            </w:r>
          </w:p>
        </w:tc>
        <w:tc>
          <w:tcPr>
            <w:tcW w:w="1165"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b/>
                <w:bCs/>
                <w:color w:val="000000"/>
                <w:sz w:val="22"/>
                <w:szCs w:val="22"/>
              </w:rPr>
              <w:t xml:space="preserve">45.01 </w:t>
            </w:r>
          </w:p>
        </w:tc>
        <w:tc>
          <w:tcPr>
            <w:tcW w:w="989" w:type="pct"/>
            <w:shd w:val="clear" w:color="auto" w:fill="auto"/>
            <w:noWrap/>
            <w:vAlign w:val="center"/>
            <w:hideMark/>
          </w:tcPr>
          <w:p w:rsidR="007C5691" w:rsidRPr="007C5691" w:rsidRDefault="00023318" w:rsidP="007C5691">
            <w:pPr>
              <w:spacing w:before="0"/>
              <w:jc w:val="right"/>
              <w:rPr>
                <w:rFonts w:asciiTheme="minorHAnsi" w:hAnsiTheme="minorHAnsi" w:cstheme="minorHAnsi"/>
                <w:sz w:val="22"/>
                <w:szCs w:val="22"/>
              </w:rPr>
            </w:pPr>
            <w:r w:rsidRPr="00023318">
              <w:rPr>
                <w:rFonts w:asciiTheme="minorHAnsi" w:hAnsiTheme="minorHAnsi" w:cs="Arial"/>
                <w:b/>
                <w:bCs/>
                <w:color w:val="000000"/>
                <w:sz w:val="22"/>
                <w:szCs w:val="22"/>
              </w:rPr>
              <w:t>48.</w:t>
            </w:r>
            <w:r w:rsidR="003F0321">
              <w:rPr>
                <w:rFonts w:asciiTheme="minorHAnsi" w:hAnsiTheme="minorHAnsi" w:cs="Arial"/>
                <w:b/>
                <w:bCs/>
                <w:color w:val="000000"/>
                <w:sz w:val="22"/>
                <w:szCs w:val="22"/>
              </w:rPr>
              <w:t>8</w:t>
            </w:r>
            <w:r w:rsidRPr="00023318">
              <w:rPr>
                <w:rFonts w:asciiTheme="minorHAnsi" w:hAnsiTheme="minorHAnsi" w:cs="Arial"/>
                <w:b/>
                <w:bCs/>
                <w:color w:val="000000"/>
                <w:sz w:val="22"/>
                <w:szCs w:val="22"/>
              </w:rPr>
              <w:t xml:space="preserve">8 </w:t>
            </w:r>
          </w:p>
        </w:tc>
      </w:tr>
    </w:tbl>
    <w:p w:rsidR="00023318" w:rsidRDefault="00023318" w:rsidP="00023318">
      <w:pPr>
        <w:pStyle w:val="Heading3"/>
        <w:numPr>
          <w:ilvl w:val="0"/>
          <w:numId w:val="0"/>
        </w:numPr>
        <w:tabs>
          <w:tab w:val="clear" w:pos="720"/>
        </w:tabs>
        <w:spacing w:after="240"/>
        <w:ind w:left="993"/>
      </w:pPr>
      <w:bookmarkStart w:id="1083" w:name="_Toc356322607"/>
    </w:p>
    <w:p w:rsidR="00023318" w:rsidRDefault="003F0321" w:rsidP="00023318">
      <w:pPr>
        <w:pStyle w:val="Heading3"/>
        <w:tabs>
          <w:tab w:val="clear" w:pos="720"/>
        </w:tabs>
        <w:spacing w:after="240"/>
        <w:ind w:left="993" w:hanging="993"/>
      </w:pPr>
      <w:r>
        <w:t xml:space="preserve">It can be observed from above that </w:t>
      </w:r>
      <w:r w:rsidR="00882455">
        <w:t xml:space="preserve">, the Petitioner in the </w:t>
      </w:r>
      <w:r w:rsidR="00023318" w:rsidRPr="00023318">
        <w:t xml:space="preserve">Summary Table for Interest and Finance Charges has wrongly </w:t>
      </w:r>
      <w:r>
        <w:t>considered</w:t>
      </w:r>
      <w:r w:rsidR="00023318" w:rsidRPr="00023318">
        <w:t xml:space="preserve"> the Capitalization of Interest on Long term loan as Rs 14.29 Crore, instead of Rs. 4.27 Crore.</w:t>
      </w:r>
      <w:r w:rsidR="00882455">
        <w:t xml:space="preserve"> </w:t>
      </w:r>
    </w:p>
    <w:p w:rsidR="00C34658" w:rsidRPr="00C60AD1" w:rsidRDefault="00C34658" w:rsidP="00C34658">
      <w:pPr>
        <w:keepNext/>
        <w:spacing w:before="0"/>
        <w:ind w:left="576"/>
        <w:outlineLvl w:val="1"/>
        <w:rPr>
          <w:rFonts w:cs="Calibri"/>
          <w:b/>
          <w:bCs/>
          <w:color w:val="000000"/>
          <w:sz w:val="22"/>
          <w:szCs w:val="22"/>
        </w:rPr>
      </w:pPr>
    </w:p>
    <w:p w:rsidR="00C34658" w:rsidRPr="00C60AD1" w:rsidRDefault="00C34658" w:rsidP="006C08CE">
      <w:pPr>
        <w:pStyle w:val="Heading2"/>
        <w:numPr>
          <w:ilvl w:val="1"/>
          <w:numId w:val="14"/>
        </w:numPr>
        <w:spacing w:before="0"/>
      </w:pPr>
      <w:bookmarkStart w:id="1084" w:name="_Toc357718672"/>
      <w:bookmarkStart w:id="1085" w:name="_Toc396573844"/>
      <w:bookmarkStart w:id="1086" w:name="_Toc419992299"/>
      <w:bookmarkStart w:id="1087" w:name="_Toc453367621"/>
      <w:bookmarkStart w:id="1088" w:name="_Toc457355499"/>
      <w:r w:rsidRPr="00C60AD1">
        <w:t>PROVISION FOR BAD AND DOUBTFUL DEBTS</w:t>
      </w:r>
      <w:bookmarkEnd w:id="1083"/>
      <w:bookmarkEnd w:id="1084"/>
      <w:bookmarkEnd w:id="1085"/>
      <w:bookmarkEnd w:id="1086"/>
      <w:bookmarkEnd w:id="1087"/>
      <w:bookmarkEnd w:id="1088"/>
    </w:p>
    <w:p w:rsidR="00023318" w:rsidRDefault="00C34658" w:rsidP="00023318">
      <w:pPr>
        <w:pStyle w:val="Heading3"/>
        <w:tabs>
          <w:tab w:val="clear" w:pos="720"/>
        </w:tabs>
        <w:spacing w:after="240"/>
        <w:ind w:left="993" w:hanging="993"/>
      </w:pPr>
      <w:bookmarkStart w:id="1089" w:name="_Toc357349092"/>
      <w:bookmarkStart w:id="1090" w:name="_Toc357356145"/>
      <w:r w:rsidRPr="00C60AD1">
        <w:lastRenderedPageBreak/>
        <w:t>The Petitioner submitted that the provisions for bad and doubtful debts have been made at 2% of revenue receivables in line with Regulation 4.4 of Distribution Tariff Regulations, 2006. The Petitioner submitted that in the last Tariff Order, the Commission had disallowed the Petitioner’s claim for provision for bad and doubtful debts due to the absence of any clear-cut policy. The Petitioner added that provision for bad and doubtful debts are an accepted accounting principle even in a sector like banking where the provisioning of un-collectable dues is considered as a normal commercial practice.</w:t>
      </w:r>
    </w:p>
    <w:p w:rsidR="00023318" w:rsidRDefault="00C34658" w:rsidP="00023318">
      <w:pPr>
        <w:pStyle w:val="Heading3"/>
        <w:tabs>
          <w:tab w:val="clear" w:pos="720"/>
        </w:tabs>
        <w:spacing w:after="240"/>
        <w:ind w:left="993" w:hanging="993"/>
      </w:pPr>
      <w:r w:rsidRPr="00C60AD1">
        <w:t xml:space="preserve">The Petitioner has requested the Commission to allow the annual provisioning towards bad and doubtful debts as it is an accepted industry norm and also recognized by other State Electricity Regulatory Commissions. </w:t>
      </w:r>
    </w:p>
    <w:p w:rsidR="00023318" w:rsidRDefault="00C34658" w:rsidP="00023318">
      <w:pPr>
        <w:pStyle w:val="Heading3"/>
        <w:tabs>
          <w:tab w:val="clear" w:pos="720"/>
        </w:tabs>
        <w:spacing w:after="240"/>
        <w:ind w:left="993" w:hanging="993"/>
      </w:pPr>
      <w:r w:rsidRPr="00C60AD1">
        <w:t xml:space="preserve">The Petitioner submitted that the amount, if any, written off towards bad debts is only adjusted against the accumulated provisions in the books, irrespective of the actual amount of bad debts during any particular year and hence, it is a legitimate ARR component. Accordingly, the Petitioner has made provisions for bad debts for FY </w:t>
      </w:r>
      <w:r>
        <w:t>2016-17</w:t>
      </w:r>
      <w:r w:rsidRPr="00C60AD1">
        <w:t xml:space="preserve"> in line with the provisions of the Distribution Tariff Regulations, 2006.</w:t>
      </w:r>
    </w:p>
    <w:p w:rsidR="00023318" w:rsidRDefault="00C34658" w:rsidP="00023318">
      <w:pPr>
        <w:pStyle w:val="Heading3"/>
        <w:tabs>
          <w:tab w:val="clear" w:pos="720"/>
        </w:tabs>
        <w:spacing w:after="240"/>
        <w:ind w:left="993" w:hanging="993"/>
      </w:pPr>
      <w:r w:rsidRPr="00C60AD1">
        <w:t>Regulation 4.4 of the Distribution Tariff Regulations, 2006 provides for expenses under bad and doubtful Debts to the extent of 2% of the revenue receivables as specified below:</w:t>
      </w:r>
    </w:p>
    <w:p w:rsidR="00C34658" w:rsidRPr="00C60AD1" w:rsidRDefault="00C34658" w:rsidP="00C34658">
      <w:pPr>
        <w:pStyle w:val="ListParagraph"/>
        <w:ind w:left="1440"/>
        <w:rPr>
          <w:i/>
        </w:rPr>
      </w:pPr>
      <w:r w:rsidRPr="00C60AD1">
        <w:t xml:space="preserve">“4.4 Bad and Doubtful Debts: </w:t>
      </w:r>
      <w:r w:rsidRPr="00C60AD1">
        <w:rPr>
          <w:i/>
        </w:rPr>
        <w:t xml:space="preserve">Bad and Doubtful Debts shall be allowed as a legitimate business expense with the ceiling limit of 2% of the revenue receivables </w:t>
      </w:r>
      <w:r w:rsidRPr="00C60AD1">
        <w:rPr>
          <w:b/>
          <w:i/>
          <w:u w:val="single"/>
        </w:rPr>
        <w:t>provided the distribution licensee actually identifies and writes off bad debts as per the transparent policy approved by the Commission</w:t>
      </w:r>
      <w:r w:rsidRPr="00C60AD1">
        <w:rPr>
          <w:i/>
        </w:rPr>
        <w:t>. In case there is any recovery of bad debts already written off, the recovered bad debt will be treated as other income.”</w:t>
      </w:r>
      <w:r w:rsidRPr="00C60AD1">
        <w:rPr>
          <w:b/>
          <w:i/>
        </w:rPr>
        <w:t>(Emphasis added)</w:t>
      </w:r>
    </w:p>
    <w:p w:rsidR="00023318" w:rsidRDefault="00C34658" w:rsidP="00023318">
      <w:pPr>
        <w:pStyle w:val="Heading3"/>
        <w:tabs>
          <w:tab w:val="clear" w:pos="720"/>
        </w:tabs>
        <w:spacing w:after="240"/>
        <w:ind w:left="993" w:hanging="993"/>
      </w:pPr>
      <w:r w:rsidRPr="00C60AD1">
        <w:t>However, the Petitioner has to actually identify and write-off the bad debts as per a transparent policy approved by the Commission.</w:t>
      </w:r>
      <w:bookmarkEnd w:id="1089"/>
      <w:bookmarkEnd w:id="1090"/>
    </w:p>
    <w:p w:rsidR="00023318" w:rsidRDefault="00C34658" w:rsidP="00023318">
      <w:pPr>
        <w:pStyle w:val="Heading3"/>
        <w:tabs>
          <w:tab w:val="clear" w:pos="720"/>
        </w:tabs>
        <w:spacing w:after="240"/>
        <w:ind w:left="993" w:hanging="993"/>
      </w:pPr>
      <w:bookmarkStart w:id="1091" w:name="_Toc357349093"/>
      <w:bookmarkStart w:id="1092" w:name="_Toc357356146"/>
      <w:r w:rsidRPr="00C60AD1">
        <w:t xml:space="preserve">The Commission in its Tariff Order for FY 2014-15 dated October 1, 2014 has disallowed the provision for bad and doubtful debts on account of lack of proper and transparent policy for actual identification and write-off the bad </w:t>
      </w:r>
      <w:r w:rsidRPr="00C60AD1">
        <w:lastRenderedPageBreak/>
        <w:t>debts. The relevant extract of the Commission’s aforesaid Order is reproduced below:</w:t>
      </w:r>
    </w:p>
    <w:p w:rsidR="00C34658" w:rsidRPr="00C60AD1" w:rsidRDefault="00C34658" w:rsidP="00C34658">
      <w:pPr>
        <w:pStyle w:val="Heading3"/>
        <w:numPr>
          <w:ilvl w:val="0"/>
          <w:numId w:val="0"/>
        </w:numPr>
        <w:tabs>
          <w:tab w:val="clear" w:pos="720"/>
        </w:tabs>
        <w:spacing w:after="240"/>
        <w:ind w:left="1440"/>
        <w:rPr>
          <w:b/>
          <w:i/>
        </w:rPr>
      </w:pPr>
      <w:r w:rsidRPr="00C60AD1">
        <w:rPr>
          <w:i/>
        </w:rPr>
        <w:t>“...The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Regulations, the Commission disallows the Petitioner’s claim towards provision for bad an</w:t>
      </w:r>
      <w:r w:rsidRPr="00C60AD1">
        <w:rPr>
          <w:bCs w:val="0"/>
          <w:i/>
        </w:rPr>
        <w:t xml:space="preserve">d doubtful debts for FY 2014-15 </w:t>
      </w:r>
      <w:bookmarkStart w:id="1093" w:name="_Toc357349094"/>
      <w:bookmarkStart w:id="1094" w:name="_Toc357356147"/>
      <w:bookmarkEnd w:id="1091"/>
      <w:bookmarkEnd w:id="1092"/>
      <w:r w:rsidRPr="00C60AD1">
        <w:rPr>
          <w:i/>
        </w:rPr>
        <w:t>.</w:t>
      </w:r>
      <w:bookmarkEnd w:id="1093"/>
      <w:bookmarkEnd w:id="1094"/>
      <w:r w:rsidRPr="00C60AD1">
        <w:rPr>
          <w:i/>
        </w:rPr>
        <w:t>..”</w:t>
      </w:r>
    </w:p>
    <w:p w:rsidR="00023318" w:rsidRDefault="00C34658" w:rsidP="00023318">
      <w:pPr>
        <w:pStyle w:val="Heading3"/>
        <w:tabs>
          <w:tab w:val="clear" w:pos="720"/>
        </w:tabs>
        <w:spacing w:after="240"/>
        <w:ind w:left="993" w:hanging="993"/>
      </w:pPr>
      <w:r w:rsidRPr="00C60AD1">
        <w:t>The Petitioner has repeatedly pointed out that provisioning towards bad and doubtful debts is an accepted industry norm. However, the Petitioner should also recognize that as per prudent practices, every business should also ensure that the amount of debtors do not increase to an alarming level. Further, every prudent management would ensure to recover the dues and prevent them from becoming bad. It has been observed that despite the Commission’s directions in the regard in the previous Tariff Orders, there has been no improvement on the part of the Petitioner.</w:t>
      </w:r>
    </w:p>
    <w:p w:rsidR="00023318" w:rsidRDefault="00C34658" w:rsidP="00023318">
      <w:pPr>
        <w:pStyle w:val="Heading3"/>
        <w:tabs>
          <w:tab w:val="clear" w:pos="720"/>
        </w:tabs>
        <w:spacing w:after="240"/>
        <w:ind w:left="993" w:hanging="993"/>
        <w:rPr>
          <w:szCs w:val="24"/>
        </w:rPr>
      </w:pPr>
      <w:r w:rsidRPr="008B0C65">
        <w:rPr>
          <w:szCs w:val="24"/>
        </w:rPr>
        <w:t xml:space="preserve">In reply to the status of compliance to the Commission’s directive regarding submission of a policy to be followed by Licensee for identification and writing off actual bad debts and </w:t>
      </w:r>
      <w:r w:rsidRPr="008B0C65">
        <w:rPr>
          <w:rFonts w:cstheme="minorHAnsi"/>
          <w:szCs w:val="24"/>
        </w:rPr>
        <w:t xml:space="preserve">submission of  ten sample cases of LT &amp; HT consumers where orders have been issued for writing off bad debts, </w:t>
      </w:r>
      <w:r w:rsidRPr="008B0C65">
        <w:rPr>
          <w:szCs w:val="24"/>
        </w:rPr>
        <w:t xml:space="preserve">the Petitioner submitted that it has recently framed a policy for identifying and writing off old arrears, which has been provided to the Commission during the proceedings in respect of ARR and Tariff Petition for FY 2014-15 and appropriate directions have been issued to the field units to compile the sample cases based on this recently issued order by the licensee. </w:t>
      </w:r>
    </w:p>
    <w:p w:rsidR="00023318" w:rsidRDefault="00C34658" w:rsidP="00023318">
      <w:pPr>
        <w:pStyle w:val="Heading3"/>
        <w:tabs>
          <w:tab w:val="clear" w:pos="720"/>
        </w:tabs>
        <w:spacing w:after="240"/>
        <w:ind w:left="993" w:hanging="993"/>
        <w:rPr>
          <w:szCs w:val="24"/>
        </w:rPr>
      </w:pPr>
      <w:r w:rsidRPr="008B0C65">
        <w:rPr>
          <w:szCs w:val="24"/>
        </w:rPr>
        <w:t>As discussed in earlier paragraphs it is observed that the</w:t>
      </w:r>
      <w:r>
        <w:rPr>
          <w:szCs w:val="24"/>
        </w:rPr>
        <w:t xml:space="preserve"> so called policy submitted by the </w:t>
      </w:r>
      <w:r w:rsidRPr="008B0C65">
        <w:rPr>
          <w:szCs w:val="24"/>
        </w:rPr>
        <w:t xml:space="preserve">Petitioner </w:t>
      </w:r>
      <w:r>
        <w:rPr>
          <w:szCs w:val="24"/>
        </w:rPr>
        <w:t xml:space="preserve">is just </w:t>
      </w:r>
      <w:r w:rsidRPr="008B0C65">
        <w:rPr>
          <w:szCs w:val="24"/>
        </w:rPr>
        <w:t xml:space="preserve">the </w:t>
      </w:r>
      <w:r>
        <w:rPr>
          <w:szCs w:val="24"/>
        </w:rPr>
        <w:t xml:space="preserve">basic </w:t>
      </w:r>
      <w:r w:rsidRPr="008B0C65">
        <w:rPr>
          <w:szCs w:val="24"/>
        </w:rPr>
        <w:t xml:space="preserve">approach for creation of provision of bad debts instead of the </w:t>
      </w:r>
      <w:r>
        <w:rPr>
          <w:szCs w:val="24"/>
        </w:rPr>
        <w:t xml:space="preserve">detailed </w:t>
      </w:r>
      <w:r w:rsidRPr="008B0C65">
        <w:rPr>
          <w:szCs w:val="24"/>
        </w:rPr>
        <w:t xml:space="preserve">policy </w:t>
      </w:r>
      <w:r>
        <w:rPr>
          <w:szCs w:val="24"/>
        </w:rPr>
        <w:t xml:space="preserve">to be </w:t>
      </w:r>
      <w:r w:rsidRPr="008B0C65">
        <w:rPr>
          <w:szCs w:val="24"/>
        </w:rPr>
        <w:t>followed by it for identification of actual bad debts and writing off the same.</w:t>
      </w:r>
    </w:p>
    <w:p w:rsidR="00023318" w:rsidRDefault="00C34658" w:rsidP="00023318">
      <w:pPr>
        <w:pStyle w:val="Heading3"/>
        <w:tabs>
          <w:tab w:val="clear" w:pos="720"/>
        </w:tabs>
        <w:spacing w:after="240"/>
        <w:ind w:left="993" w:hanging="993"/>
      </w:pPr>
      <w:r w:rsidRPr="008B0C65">
        <w:t xml:space="preserve">The very fact that the Petitioner has not been able to identify and write off any amount towards bad and doubtful debts till now clearly indicates lack of proper policy framework for identification, recognition, and management of provision for bad and doubtful debts. Therefore, in accordance with the </w:t>
      </w:r>
      <w:r w:rsidRPr="008B0C65">
        <w:lastRenderedPageBreak/>
        <w:t>Regulations, the Commission has not allowed the Petitioner’s claim towards provision for bad and doubtful debts for FY 2016-17.</w:t>
      </w:r>
    </w:p>
    <w:p w:rsidR="00023318" w:rsidRPr="006C08CE" w:rsidRDefault="00C34658" w:rsidP="00023318">
      <w:pPr>
        <w:pStyle w:val="Heading3"/>
        <w:tabs>
          <w:tab w:val="clear" w:pos="720"/>
        </w:tabs>
        <w:spacing w:after="240"/>
        <w:ind w:left="993" w:hanging="993"/>
        <w:rPr>
          <w:b/>
        </w:rPr>
      </w:pPr>
      <w:r w:rsidRPr="008B0C65">
        <w:rPr>
          <w:b/>
        </w:rPr>
        <w:t xml:space="preserve">In view of the above, the Commission directs the Petitioner to frame guidelines and procedures for identifying, physically verifying and writing off the bad debts and also to fix responsibility of its employees in this regard </w:t>
      </w:r>
      <w:r w:rsidR="00E00E94">
        <w:rPr>
          <w:b/>
        </w:rPr>
        <w:t>immediately</w:t>
      </w:r>
      <w:r w:rsidRPr="008B0C65">
        <w:rPr>
          <w:b/>
        </w:rPr>
        <w:t xml:space="preserve"> and submit the same to the Commission for its approval.</w:t>
      </w:r>
      <w:r w:rsidR="009039B0">
        <w:rPr>
          <w:b/>
        </w:rPr>
        <w:t xml:space="preserve"> </w:t>
      </w:r>
      <w:r w:rsidRPr="00C60AD1">
        <w:rPr>
          <w:rFonts w:cstheme="minorHAnsi"/>
          <w:color w:val="000000" w:themeColor="text1"/>
        </w:rPr>
        <w:t xml:space="preserve">As lack of approved transparent policy on identifying and writing off bad debts is hindering allowance of bad debts as an ARR component; </w:t>
      </w:r>
      <w:r w:rsidRPr="00FA7B1E">
        <w:rPr>
          <w:rFonts w:cstheme="minorHAnsi"/>
          <w:b/>
          <w:color w:val="000000" w:themeColor="text1"/>
        </w:rPr>
        <w:t>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r>
        <w:rPr>
          <w:rFonts w:cstheme="minorHAnsi"/>
          <w:b/>
          <w:color w:val="000000" w:themeColor="text1"/>
        </w:rPr>
        <w:t>.</w:t>
      </w:r>
    </w:p>
    <w:p w:rsidR="006C08CE" w:rsidRDefault="006C08CE" w:rsidP="006C08CE">
      <w:pPr>
        <w:pStyle w:val="Heading3"/>
        <w:numPr>
          <w:ilvl w:val="0"/>
          <w:numId w:val="0"/>
        </w:numPr>
        <w:tabs>
          <w:tab w:val="clear" w:pos="720"/>
        </w:tabs>
        <w:spacing w:before="0"/>
        <w:ind w:left="993"/>
        <w:rPr>
          <w:b/>
        </w:rPr>
      </w:pPr>
    </w:p>
    <w:p w:rsidR="00C34658" w:rsidRPr="00C60AD1" w:rsidRDefault="00C34658" w:rsidP="006C08CE">
      <w:pPr>
        <w:pStyle w:val="Heading2"/>
        <w:numPr>
          <w:ilvl w:val="1"/>
          <w:numId w:val="14"/>
        </w:numPr>
        <w:spacing w:before="0"/>
      </w:pPr>
      <w:bookmarkStart w:id="1095" w:name="_Toc356322608"/>
      <w:bookmarkStart w:id="1096" w:name="_Toc357718673"/>
      <w:bookmarkStart w:id="1097" w:name="_Toc396573845"/>
      <w:bookmarkStart w:id="1098" w:name="_Toc419992300"/>
      <w:bookmarkStart w:id="1099" w:name="_Toc453367622"/>
      <w:bookmarkStart w:id="1100" w:name="_Toc457355500"/>
      <w:r w:rsidRPr="00C60AD1">
        <w:t>OTHER INCOME</w:t>
      </w:r>
      <w:bookmarkEnd w:id="1095"/>
      <w:bookmarkEnd w:id="1096"/>
      <w:bookmarkEnd w:id="1097"/>
      <w:bookmarkEnd w:id="1098"/>
      <w:bookmarkEnd w:id="1099"/>
      <w:bookmarkEnd w:id="1100"/>
    </w:p>
    <w:p w:rsidR="00023318" w:rsidRDefault="00C34658" w:rsidP="00023318">
      <w:pPr>
        <w:pStyle w:val="Heading3"/>
        <w:tabs>
          <w:tab w:val="clear" w:pos="720"/>
        </w:tabs>
        <w:spacing w:after="240"/>
        <w:ind w:left="993" w:hanging="993"/>
      </w:pPr>
      <w:r w:rsidRPr="00C60AD1">
        <w:t xml:space="preserve">The Petitioner submitted that other income includes non tariff income such as interest on loans &amp; advances to employees, income from fixed rate investment deposits and other miscellaneous income from retail sources. The Petitioner submitted that the other income for FY </w:t>
      </w:r>
      <w:r>
        <w:t>2016-17</w:t>
      </w:r>
      <w:r w:rsidRPr="00C60AD1">
        <w:t xml:space="preserve"> has been projected to grow at the rate of inflation index from the actual of FY 201</w:t>
      </w:r>
      <w:r>
        <w:t>4</w:t>
      </w:r>
      <w:r w:rsidRPr="00C60AD1">
        <w:t>-1</w:t>
      </w:r>
      <w:r>
        <w:t>5</w:t>
      </w:r>
      <w:r w:rsidRPr="00C60AD1">
        <w:t>.</w:t>
      </w:r>
    </w:p>
    <w:p w:rsidR="00023318" w:rsidRDefault="00C34658" w:rsidP="00023318">
      <w:pPr>
        <w:pStyle w:val="Heading3"/>
        <w:tabs>
          <w:tab w:val="clear" w:pos="720"/>
        </w:tabs>
        <w:spacing w:after="240"/>
        <w:ind w:left="993" w:hanging="993"/>
      </w:pPr>
      <w:r w:rsidRPr="00C60AD1">
        <w:t>As per Regulation 5.1 (2) of the Distribution Tariff Regulations, 2006, the indicative heads to be considered in Non-Tariff are as follows:</w:t>
      </w:r>
    </w:p>
    <w:p w:rsidR="00C34658" w:rsidRPr="00C60AD1" w:rsidRDefault="00C34658" w:rsidP="00C34658">
      <w:pPr>
        <w:pStyle w:val="Heading3"/>
        <w:numPr>
          <w:ilvl w:val="0"/>
          <w:numId w:val="0"/>
        </w:numPr>
        <w:tabs>
          <w:tab w:val="clear" w:pos="720"/>
          <w:tab w:val="left" w:pos="1440"/>
        </w:tabs>
        <w:ind w:left="1710"/>
        <w:rPr>
          <w:i/>
        </w:rPr>
      </w:pPr>
      <w:r w:rsidRPr="00C60AD1">
        <w:rPr>
          <w:i/>
        </w:rPr>
        <w:t>“5.1 Forecast of Revenues:</w:t>
      </w:r>
    </w:p>
    <w:p w:rsidR="00C34658" w:rsidRPr="00C60AD1" w:rsidRDefault="00C34658" w:rsidP="00C34658">
      <w:pPr>
        <w:pStyle w:val="Heading3"/>
        <w:numPr>
          <w:ilvl w:val="0"/>
          <w:numId w:val="0"/>
        </w:numPr>
        <w:tabs>
          <w:tab w:val="clear" w:pos="720"/>
          <w:tab w:val="left" w:pos="1440"/>
        </w:tabs>
        <w:ind w:left="1710"/>
        <w:rPr>
          <w:i/>
        </w:rPr>
      </w:pPr>
      <w:r w:rsidRPr="00C60AD1">
        <w:rPr>
          <w:i/>
        </w:rPr>
        <w:t>...2. The non-tariff income shall comprise of:</w:t>
      </w:r>
    </w:p>
    <w:p w:rsidR="00C34658" w:rsidRPr="00C60AD1" w:rsidRDefault="00C34658" w:rsidP="00C34658">
      <w:pPr>
        <w:pStyle w:val="Heading3"/>
        <w:numPr>
          <w:ilvl w:val="0"/>
          <w:numId w:val="0"/>
        </w:numPr>
        <w:tabs>
          <w:tab w:val="clear" w:pos="720"/>
          <w:tab w:val="left" w:pos="1440"/>
        </w:tabs>
        <w:ind w:left="1710"/>
        <w:rPr>
          <w:i/>
        </w:rPr>
      </w:pPr>
      <w:r w:rsidRPr="00C60AD1">
        <w:rPr>
          <w:i/>
        </w:rPr>
        <w:t>(a) Delayed Payment Surcharge,</w:t>
      </w:r>
    </w:p>
    <w:p w:rsidR="00C34658" w:rsidRPr="00C60AD1" w:rsidRDefault="00C34658" w:rsidP="00C34658">
      <w:pPr>
        <w:pStyle w:val="Heading3"/>
        <w:numPr>
          <w:ilvl w:val="0"/>
          <w:numId w:val="0"/>
        </w:numPr>
        <w:tabs>
          <w:tab w:val="clear" w:pos="720"/>
          <w:tab w:val="left" w:pos="1440"/>
        </w:tabs>
        <w:ind w:left="1710"/>
        <w:rPr>
          <w:i/>
        </w:rPr>
      </w:pPr>
      <w:r w:rsidRPr="00C60AD1">
        <w:rPr>
          <w:i/>
        </w:rPr>
        <w:t>(b) Meter Rent,</w:t>
      </w:r>
    </w:p>
    <w:p w:rsidR="00C34658" w:rsidRPr="00C60AD1" w:rsidRDefault="00C34658" w:rsidP="00C34658">
      <w:pPr>
        <w:pStyle w:val="Heading3"/>
        <w:numPr>
          <w:ilvl w:val="0"/>
          <w:numId w:val="0"/>
        </w:numPr>
        <w:tabs>
          <w:tab w:val="clear" w:pos="720"/>
          <w:tab w:val="left" w:pos="1440"/>
        </w:tabs>
        <w:ind w:left="1710"/>
        <w:rPr>
          <w:i/>
        </w:rPr>
      </w:pPr>
      <w:r w:rsidRPr="00C60AD1">
        <w:rPr>
          <w:i/>
        </w:rPr>
        <w:t>(c) Income from investments,</w:t>
      </w:r>
    </w:p>
    <w:p w:rsidR="00C34658" w:rsidRPr="00C60AD1" w:rsidRDefault="00C34658" w:rsidP="00C34658">
      <w:pPr>
        <w:pStyle w:val="Heading3"/>
        <w:numPr>
          <w:ilvl w:val="0"/>
          <w:numId w:val="0"/>
        </w:numPr>
        <w:tabs>
          <w:tab w:val="clear" w:pos="720"/>
          <w:tab w:val="left" w:pos="1440"/>
        </w:tabs>
        <w:ind w:left="1710"/>
        <w:rPr>
          <w:i/>
        </w:rPr>
      </w:pPr>
      <w:r w:rsidRPr="00C60AD1">
        <w:rPr>
          <w:i/>
        </w:rPr>
        <w:t>(d) Miscellaneous receipts from consumers,</w:t>
      </w:r>
    </w:p>
    <w:p w:rsidR="00C34658" w:rsidRPr="00C60AD1" w:rsidRDefault="00C34658" w:rsidP="00C34658">
      <w:pPr>
        <w:pStyle w:val="Heading3"/>
        <w:numPr>
          <w:ilvl w:val="0"/>
          <w:numId w:val="0"/>
        </w:numPr>
        <w:tabs>
          <w:tab w:val="clear" w:pos="720"/>
          <w:tab w:val="left" w:pos="1440"/>
        </w:tabs>
        <w:ind w:left="1710"/>
        <w:rPr>
          <w:i/>
        </w:rPr>
      </w:pPr>
      <w:r w:rsidRPr="00C60AD1">
        <w:rPr>
          <w:i/>
        </w:rPr>
        <w:t>(e) Trading income</w:t>
      </w:r>
    </w:p>
    <w:p w:rsidR="00C34658" w:rsidRPr="00C60AD1" w:rsidRDefault="00C34658" w:rsidP="00C34658">
      <w:pPr>
        <w:pStyle w:val="Heading3"/>
        <w:numPr>
          <w:ilvl w:val="0"/>
          <w:numId w:val="0"/>
        </w:numPr>
        <w:tabs>
          <w:tab w:val="clear" w:pos="720"/>
          <w:tab w:val="left" w:pos="1440"/>
        </w:tabs>
        <w:ind w:left="1710"/>
        <w:rPr>
          <w:i/>
        </w:rPr>
      </w:pPr>
      <w:r w:rsidRPr="00C60AD1">
        <w:rPr>
          <w:i/>
        </w:rPr>
        <w:t>(f) Share of income from the other businesses of the distribution licensee</w:t>
      </w:r>
    </w:p>
    <w:p w:rsidR="00C34658" w:rsidRPr="00C60AD1" w:rsidRDefault="00C34658" w:rsidP="00C34658">
      <w:pPr>
        <w:pStyle w:val="Heading3"/>
        <w:numPr>
          <w:ilvl w:val="0"/>
          <w:numId w:val="0"/>
        </w:numPr>
        <w:tabs>
          <w:tab w:val="clear" w:pos="720"/>
          <w:tab w:val="left" w:pos="1440"/>
        </w:tabs>
        <w:ind w:left="1710"/>
      </w:pPr>
      <w:r w:rsidRPr="00C60AD1">
        <w:rPr>
          <w:i/>
        </w:rPr>
        <w:t>(g) Any other income....”</w:t>
      </w:r>
    </w:p>
    <w:p w:rsidR="00023318" w:rsidRDefault="00710D06" w:rsidP="00023318">
      <w:pPr>
        <w:pStyle w:val="Heading3"/>
        <w:tabs>
          <w:tab w:val="clear" w:pos="720"/>
        </w:tabs>
        <w:spacing w:after="240"/>
        <w:ind w:left="993" w:hanging="993"/>
      </w:pPr>
      <w:bookmarkStart w:id="1101" w:name="_Toc455487368"/>
      <w:bookmarkStart w:id="1102" w:name="_Toc455487735"/>
      <w:bookmarkStart w:id="1103" w:name="_Toc455487802"/>
      <w:bookmarkStart w:id="1104" w:name="_Toc455487870"/>
      <w:bookmarkStart w:id="1105" w:name="_Toc455487938"/>
      <w:bookmarkStart w:id="1106" w:name="_Toc455493594"/>
      <w:bookmarkStart w:id="1107" w:name="_Toc455493663"/>
      <w:bookmarkStart w:id="1108" w:name="_Toc455493795"/>
      <w:bookmarkStart w:id="1109" w:name="_Toc455496487"/>
      <w:bookmarkStart w:id="1110" w:name="_Toc455496557"/>
      <w:bookmarkStart w:id="1111" w:name="_Toc455496628"/>
      <w:bookmarkStart w:id="1112" w:name="_Toc455502197"/>
      <w:bookmarkStart w:id="1113" w:name="_Toc455502328"/>
      <w:bookmarkStart w:id="1114" w:name="_Toc455502435"/>
      <w:bookmarkStart w:id="1115" w:name="_Toc455502708"/>
      <w:bookmarkStart w:id="1116" w:name="_Toc455503243"/>
      <w:bookmarkStart w:id="1117" w:name="_Toc455503501"/>
      <w:bookmarkStart w:id="1118" w:name="_Toc455506768"/>
      <w:bookmarkStart w:id="1119" w:name="_Toc455506841"/>
      <w:bookmarkStart w:id="1120" w:name="_Toc455575159"/>
      <w:bookmarkStart w:id="1121" w:name="_Toc455673775"/>
      <w:bookmarkStart w:id="1122" w:name="_Toc455698169"/>
      <w:bookmarkStart w:id="1123" w:name="_Toc357718674"/>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r w:rsidRPr="00C60AD1">
        <w:lastRenderedPageBreak/>
        <w:t xml:space="preserve">Accordingly, the Commission approves Non-Tariff Income to the tune of Rs. </w:t>
      </w:r>
      <w:r>
        <w:t>7.39</w:t>
      </w:r>
      <w:r w:rsidRPr="00C60AD1">
        <w:t xml:space="preserve"> Crore as claimed by the Petitioner for FY </w:t>
      </w:r>
      <w:r>
        <w:t>2016-17.</w:t>
      </w:r>
    </w:p>
    <w:p w:rsidR="00023318" w:rsidRDefault="00710D06" w:rsidP="00023318">
      <w:pPr>
        <w:pStyle w:val="Heading3"/>
        <w:tabs>
          <w:tab w:val="clear" w:pos="720"/>
        </w:tabs>
        <w:spacing w:after="240"/>
        <w:ind w:left="993" w:hanging="993"/>
      </w:pPr>
      <w:r w:rsidRPr="00C60AD1">
        <w:t xml:space="preserve">Further, any variation on this account would be taken up at the time of True-up of FY </w:t>
      </w:r>
      <w:r>
        <w:t>2016-17</w:t>
      </w:r>
      <w:r w:rsidRPr="00C60AD1">
        <w:t xml:space="preserve"> based on the audited accounts</w:t>
      </w:r>
      <w:r>
        <w:t>.</w:t>
      </w:r>
    </w:p>
    <w:p w:rsidR="006C08CE" w:rsidRDefault="006C08CE" w:rsidP="006C08CE">
      <w:pPr>
        <w:pStyle w:val="Heading3"/>
        <w:numPr>
          <w:ilvl w:val="0"/>
          <w:numId w:val="0"/>
        </w:numPr>
        <w:tabs>
          <w:tab w:val="clear" w:pos="720"/>
        </w:tabs>
        <w:spacing w:before="0"/>
        <w:ind w:left="993"/>
      </w:pPr>
    </w:p>
    <w:p w:rsidR="00C34658" w:rsidRPr="00C60AD1" w:rsidRDefault="00C34658" w:rsidP="006C08CE">
      <w:pPr>
        <w:pStyle w:val="Heading2"/>
        <w:numPr>
          <w:ilvl w:val="1"/>
          <w:numId w:val="14"/>
        </w:numPr>
        <w:spacing w:before="0"/>
      </w:pPr>
      <w:bookmarkStart w:id="1124" w:name="_Toc455417453"/>
      <w:bookmarkStart w:id="1125" w:name="_Toc455486971"/>
      <w:bookmarkStart w:id="1126" w:name="_Toc455487270"/>
      <w:bookmarkStart w:id="1127" w:name="_Toc455487637"/>
      <w:bookmarkStart w:id="1128" w:name="_Toc455494064"/>
      <w:bookmarkStart w:id="1129" w:name="_Toc455494364"/>
      <w:bookmarkStart w:id="1130" w:name="_Toc455494661"/>
      <w:bookmarkStart w:id="1131" w:name="_Toc455496389"/>
      <w:bookmarkStart w:id="1132" w:name="_Toc455507108"/>
      <w:bookmarkStart w:id="1133" w:name="_Toc455507405"/>
      <w:bookmarkStart w:id="1134" w:name="_Toc455575050"/>
      <w:bookmarkStart w:id="1135" w:name="_Toc455673661"/>
      <w:bookmarkStart w:id="1136" w:name="_Toc357733336"/>
      <w:bookmarkStart w:id="1137" w:name="_Toc396573846"/>
      <w:bookmarkStart w:id="1138" w:name="_Toc419992301"/>
      <w:bookmarkStart w:id="1139" w:name="_Toc453367623"/>
      <w:bookmarkStart w:id="1140" w:name="_Toc457355501"/>
      <w:bookmarkEnd w:id="1124"/>
      <w:bookmarkEnd w:id="1125"/>
      <w:bookmarkEnd w:id="1126"/>
      <w:bookmarkEnd w:id="1127"/>
      <w:bookmarkEnd w:id="1128"/>
      <w:bookmarkEnd w:id="1129"/>
      <w:bookmarkEnd w:id="1130"/>
      <w:bookmarkEnd w:id="1131"/>
      <w:bookmarkEnd w:id="1132"/>
      <w:bookmarkEnd w:id="1133"/>
      <w:bookmarkEnd w:id="1134"/>
      <w:bookmarkEnd w:id="1135"/>
      <w:r w:rsidRPr="00C60AD1">
        <w:t>RETURN ON EQUITY</w:t>
      </w:r>
      <w:bookmarkEnd w:id="1136"/>
      <w:bookmarkEnd w:id="1137"/>
      <w:bookmarkEnd w:id="1138"/>
      <w:bookmarkEnd w:id="1139"/>
      <w:bookmarkEnd w:id="1140"/>
    </w:p>
    <w:p w:rsidR="00023318" w:rsidRDefault="00C34658" w:rsidP="00023318">
      <w:pPr>
        <w:pStyle w:val="Heading3"/>
        <w:tabs>
          <w:tab w:val="clear" w:pos="720"/>
        </w:tabs>
        <w:spacing w:after="240"/>
        <w:ind w:left="993" w:hanging="993"/>
      </w:pPr>
      <w:r w:rsidRPr="003739AE">
        <w:t xml:space="preserve">The Petitioner </w:t>
      </w:r>
      <w:r>
        <w:t>has s</w:t>
      </w:r>
      <w:r w:rsidRPr="003739AE">
        <w:t>ubmit</w:t>
      </w:r>
      <w:r>
        <w:t>ted</w:t>
      </w:r>
      <w:r w:rsidRPr="003739AE">
        <w:t xml:space="preserve"> that the </w:t>
      </w:r>
      <w:r>
        <w:t xml:space="preserve">return on equity </w:t>
      </w:r>
      <w:r w:rsidRPr="003739AE">
        <w:t xml:space="preserve">may be allowed to cover subsidization of departmental employees under LMV-10 dispensation to the extent of 50% as has been historically allowed by the </w:t>
      </w:r>
      <w:r>
        <w:t>C</w:t>
      </w:r>
      <w:r w:rsidRPr="003739AE">
        <w:t xml:space="preserve">ommission and making good of waived surcharge in case of applicability of OTS, if required.  </w:t>
      </w:r>
    </w:p>
    <w:p w:rsidR="00023318" w:rsidRDefault="00C34658" w:rsidP="00023318">
      <w:pPr>
        <w:pStyle w:val="Heading3"/>
        <w:tabs>
          <w:tab w:val="clear" w:pos="720"/>
        </w:tabs>
        <w:spacing w:after="240"/>
        <w:ind w:left="993" w:hanging="993"/>
      </w:pPr>
      <w:r>
        <w:t>Regulation 4.10</w:t>
      </w:r>
      <w:r w:rsidRPr="00C60AD1">
        <w:t xml:space="preserve"> of the Distribution Tariff Regulations, 2006 provides for </w:t>
      </w:r>
      <w:r>
        <w:t>return on equity @16%</w:t>
      </w:r>
      <w:r w:rsidRPr="00C60AD1">
        <w:t xml:space="preserve"> as specified below:</w:t>
      </w:r>
    </w:p>
    <w:p w:rsidR="00C34658" w:rsidRPr="008B0C65" w:rsidRDefault="00C34658" w:rsidP="00C34658">
      <w:pPr>
        <w:pStyle w:val="Heading3"/>
        <w:numPr>
          <w:ilvl w:val="0"/>
          <w:numId w:val="0"/>
        </w:numPr>
        <w:tabs>
          <w:tab w:val="clear" w:pos="720"/>
        </w:tabs>
        <w:spacing w:after="240"/>
        <w:ind w:left="1440"/>
        <w:rPr>
          <w:b/>
          <w:i/>
        </w:rPr>
      </w:pPr>
      <w:r>
        <w:rPr>
          <w:b/>
          <w:i/>
        </w:rPr>
        <w:t>“</w:t>
      </w:r>
      <w:r w:rsidRPr="008B0C65">
        <w:rPr>
          <w:b/>
          <w:i/>
        </w:rPr>
        <w:t>4.10 Return on Equity:</w:t>
      </w:r>
    </w:p>
    <w:p w:rsidR="00C34658" w:rsidRPr="00D80D75" w:rsidRDefault="00C34658" w:rsidP="00EC6AAC">
      <w:pPr>
        <w:numPr>
          <w:ilvl w:val="0"/>
          <w:numId w:val="60"/>
        </w:numPr>
        <w:spacing w:before="0" w:after="240" w:line="240" w:lineRule="auto"/>
        <w:ind w:left="1843"/>
        <w:rPr>
          <w:rFonts w:cs="Calibri"/>
          <w:i/>
        </w:rPr>
      </w:pPr>
      <w:r w:rsidRPr="00D80D75">
        <w:rPr>
          <w:rFonts w:cs="Calibri"/>
          <w:i/>
        </w:rPr>
        <w:t>Return on equity shall be allowed @16%, on the equity base determined in accordance with regulation 4.7. However, the Commission may reduce/raise the rate of return subject to performance of the distribution licensee vis-à-vis performance benchmarks set by the Commission.</w:t>
      </w:r>
    </w:p>
    <w:p w:rsidR="00C34658" w:rsidRPr="00D80D75" w:rsidRDefault="00C34658" w:rsidP="00EC6AAC">
      <w:pPr>
        <w:numPr>
          <w:ilvl w:val="0"/>
          <w:numId w:val="60"/>
        </w:numPr>
        <w:spacing w:before="0" w:after="240" w:line="240" w:lineRule="auto"/>
        <w:ind w:left="1843"/>
        <w:rPr>
          <w:rFonts w:cs="Calibri"/>
          <w:i/>
        </w:rPr>
      </w:pPr>
      <w:r w:rsidRPr="00D80D75">
        <w:rPr>
          <w:rFonts w:cs="Calibri"/>
          <w:i/>
        </w:rPr>
        <w:t>Equity invested in foreign currency shall be allowed a return up to the prescribed limit in the same currency and the payment on this account shall be made in Indian Rupees based on the prevailing exchange rate.</w:t>
      </w:r>
    </w:p>
    <w:p w:rsidR="00C34658" w:rsidRPr="00D80D75" w:rsidRDefault="00C34658" w:rsidP="00EC6AAC">
      <w:pPr>
        <w:numPr>
          <w:ilvl w:val="0"/>
          <w:numId w:val="60"/>
        </w:numPr>
        <w:spacing w:before="0" w:after="240" w:line="240" w:lineRule="auto"/>
        <w:ind w:left="1843"/>
        <w:rPr>
          <w:rFonts w:cs="Calibri"/>
          <w:i/>
        </w:rPr>
      </w:pPr>
      <w:r w:rsidRPr="00D80D75">
        <w:rPr>
          <w:rFonts w:cs="Calibri"/>
          <w:i/>
        </w:rPr>
        <w:t>The premium raised by the distribution licensee while issuing share capital and investment of internal resources created out of free reserves, if any, for the funding of the project, shall also be reckoned as paid up capital for the purpose of computing return on equity, provided such share capital, premium amount and internal resources are actually utilized for meeting the capital expenditure of the distribution system and forms part of the approved financial package.</w:t>
      </w:r>
    </w:p>
    <w:p w:rsidR="00C34658" w:rsidRDefault="00C34658" w:rsidP="00C34658">
      <w:pPr>
        <w:pStyle w:val="Heading3"/>
        <w:numPr>
          <w:ilvl w:val="0"/>
          <w:numId w:val="0"/>
        </w:numPr>
        <w:tabs>
          <w:tab w:val="clear" w:pos="720"/>
        </w:tabs>
        <w:spacing w:after="240"/>
        <w:ind w:left="1843"/>
      </w:pPr>
      <w:r w:rsidRPr="00D80D75">
        <w:rPr>
          <w:rFonts w:cs="Calibri"/>
          <w:i/>
        </w:rPr>
        <w:t>Return on equity shall be chargeable from the first year of operation. In case of infusion of equity during the year, return on equity shall be charged on pro-rata basis.</w:t>
      </w:r>
      <w:r>
        <w:rPr>
          <w:rFonts w:cs="Calibri"/>
          <w:i/>
        </w:rPr>
        <w:t>”</w:t>
      </w:r>
    </w:p>
    <w:p w:rsidR="00023318" w:rsidRDefault="00C34658" w:rsidP="00023318">
      <w:pPr>
        <w:pStyle w:val="Heading3"/>
        <w:tabs>
          <w:tab w:val="clear" w:pos="720"/>
        </w:tabs>
        <w:spacing w:after="240"/>
        <w:ind w:left="993" w:hanging="993"/>
      </w:pPr>
      <w:r w:rsidRPr="00D80D75">
        <w:rPr>
          <w:rFonts w:cs="Calibri"/>
        </w:rPr>
        <w:t>Under the provisions of the Distribution Tariff Regulations</w:t>
      </w:r>
      <w:r>
        <w:rPr>
          <w:rFonts w:cs="Calibri"/>
        </w:rPr>
        <w:t xml:space="preserve">, 2006Licensees are permitted </w:t>
      </w:r>
      <w:r w:rsidRPr="00D80D75">
        <w:rPr>
          <w:rFonts w:cs="Calibri"/>
        </w:rPr>
        <w:t xml:space="preserve">return on equity @ 16% </w:t>
      </w:r>
      <w:r w:rsidRPr="00DD67DD">
        <w:rPr>
          <w:rFonts w:cs="Calibri"/>
        </w:rPr>
        <w:t xml:space="preserve">on the equity base determined in </w:t>
      </w:r>
      <w:r w:rsidRPr="00DD67DD">
        <w:rPr>
          <w:rFonts w:cs="Calibri"/>
        </w:rPr>
        <w:lastRenderedPageBreak/>
        <w:t xml:space="preserve">accordance with </w:t>
      </w:r>
      <w:r>
        <w:rPr>
          <w:rFonts w:cs="Calibri"/>
        </w:rPr>
        <w:t>R</w:t>
      </w:r>
      <w:r w:rsidRPr="00DD67DD">
        <w:rPr>
          <w:rFonts w:cs="Calibri"/>
        </w:rPr>
        <w:t>egulation 4.7</w:t>
      </w:r>
      <w:r w:rsidR="00710D06">
        <w:rPr>
          <w:rFonts w:cs="Calibri"/>
        </w:rPr>
        <w:t xml:space="preserve"> </w:t>
      </w:r>
      <w:r w:rsidRPr="00D80D75">
        <w:rPr>
          <w:rFonts w:cs="Calibri"/>
        </w:rPr>
        <w:t>of the Distribution Tariff Regulations</w:t>
      </w:r>
      <w:r>
        <w:rPr>
          <w:rFonts w:cs="Calibri"/>
        </w:rPr>
        <w:t>, 2006</w:t>
      </w:r>
      <w:r w:rsidRPr="00DD67DD">
        <w:rPr>
          <w:rFonts w:cs="Calibri"/>
        </w:rPr>
        <w:t>. However, the Commission may reduce/raise the rate of return subject to performance of the distribution licensee vis-à-vis performance benchmarks set by the Commission</w:t>
      </w:r>
      <w:r>
        <w:rPr>
          <w:rFonts w:cs="Calibri"/>
        </w:rPr>
        <w:t xml:space="preserve">. </w:t>
      </w:r>
      <w:r w:rsidRPr="008B0C65">
        <w:t>The Commission is of the view that there is huge under recovery under the distribution segment and</w:t>
      </w:r>
      <w:r w:rsidR="00714865">
        <w:t xml:space="preserve"> </w:t>
      </w:r>
      <w:r w:rsidRPr="008B0C65">
        <w:t>the</w:t>
      </w:r>
      <w:r>
        <w:t xml:space="preserve"> Commission</w:t>
      </w:r>
      <w:r w:rsidRPr="008B0C65">
        <w:t xml:space="preserve"> do</w:t>
      </w:r>
      <w:r>
        <w:t>es</w:t>
      </w:r>
      <w:r w:rsidRPr="008B0C65">
        <w:t xml:space="preserve"> not want to burden the consumers by </w:t>
      </w:r>
      <w:r>
        <w:t>allowing</w:t>
      </w:r>
      <w:r w:rsidRPr="008B0C65">
        <w:t xml:space="preserve"> return on equity as it will further increase the gap. </w:t>
      </w:r>
    </w:p>
    <w:p w:rsidR="00023318" w:rsidRDefault="00C34658" w:rsidP="00023318">
      <w:pPr>
        <w:pStyle w:val="Heading3"/>
        <w:tabs>
          <w:tab w:val="clear" w:pos="720"/>
        </w:tabs>
        <w:ind w:left="993" w:hanging="993"/>
      </w:pPr>
      <w:r w:rsidRPr="008B0C65">
        <w:t>Hence, the Commission has not approved any amounts towards return on equity for FY 2016-17.</w:t>
      </w:r>
    </w:p>
    <w:p w:rsidR="00332CAE" w:rsidRDefault="00332CAE" w:rsidP="006C08CE">
      <w:pPr>
        <w:pStyle w:val="Heading2"/>
        <w:numPr>
          <w:ilvl w:val="0"/>
          <w:numId w:val="0"/>
        </w:numPr>
        <w:spacing w:before="0"/>
        <w:ind w:left="780"/>
      </w:pPr>
      <w:bookmarkStart w:id="1141" w:name="_Toc357733337"/>
      <w:bookmarkStart w:id="1142" w:name="_Toc396573847"/>
      <w:bookmarkStart w:id="1143" w:name="_Toc419992302"/>
      <w:bookmarkStart w:id="1144" w:name="_Toc453367624"/>
    </w:p>
    <w:p w:rsidR="00332CAE" w:rsidRDefault="00332CAE">
      <w:pPr>
        <w:pStyle w:val="Heading2"/>
        <w:numPr>
          <w:ilvl w:val="0"/>
          <w:numId w:val="0"/>
        </w:numPr>
        <w:ind w:left="780"/>
      </w:pPr>
    </w:p>
    <w:p w:rsidR="00C34658" w:rsidRPr="00C60AD1" w:rsidRDefault="00C34658" w:rsidP="006C08CE">
      <w:pPr>
        <w:pStyle w:val="Heading2"/>
        <w:numPr>
          <w:ilvl w:val="1"/>
          <w:numId w:val="14"/>
        </w:numPr>
        <w:spacing w:before="0"/>
      </w:pPr>
      <w:bookmarkStart w:id="1145" w:name="_Toc457355502"/>
      <w:r w:rsidRPr="00C60AD1">
        <w:t>CONTRIBUTION TO CONTINGENCY RESERVE</w:t>
      </w:r>
      <w:bookmarkEnd w:id="1141"/>
      <w:bookmarkEnd w:id="1142"/>
      <w:bookmarkEnd w:id="1143"/>
      <w:bookmarkEnd w:id="1144"/>
      <w:bookmarkEnd w:id="1145"/>
    </w:p>
    <w:p w:rsidR="00023318" w:rsidRDefault="00C34658" w:rsidP="00023318">
      <w:pPr>
        <w:pStyle w:val="Heading3"/>
        <w:tabs>
          <w:tab w:val="clear" w:pos="720"/>
        </w:tabs>
        <w:spacing w:after="240"/>
        <w:ind w:left="993" w:hanging="993"/>
      </w:pPr>
      <w:r w:rsidRPr="00C60AD1">
        <w:t>The Petitioner submitted that the Distribution Tariff Regulations, 2006 provides for the contribution to the contingency reserves up to 0.50% of opening GFA to be included in the ARR of Licensees and the contingency reserve so created shall be utilized to meet cost of replacement of equipment damaged due to force majeure situations. The Licensee shall invest in Contingency Reserve as allowed by the Commission in Government securities. However, the use of such reserve is only with the prior permission of the Commission.</w:t>
      </w:r>
    </w:p>
    <w:p w:rsidR="00023318" w:rsidRDefault="00C34658" w:rsidP="00023318">
      <w:pPr>
        <w:pStyle w:val="Heading3"/>
        <w:tabs>
          <w:tab w:val="clear" w:pos="720"/>
        </w:tabs>
        <w:spacing w:after="240"/>
        <w:ind w:left="993" w:hanging="993"/>
      </w:pPr>
      <w:r w:rsidRPr="00C60AD1">
        <w:t xml:space="preserve">The Petitioner submitted that since there is a substantial revenue gap between ARR and revenue forecast, any amounts allowed on this account will only go to enhance the already large gap and create extra burden on the consumers. The Petitioner has not claimed any contribution to contingency reserve for the year under review. </w:t>
      </w:r>
    </w:p>
    <w:p w:rsidR="00023318" w:rsidRPr="006C08CE" w:rsidRDefault="00C34658" w:rsidP="00023318">
      <w:pPr>
        <w:pStyle w:val="Heading3"/>
        <w:tabs>
          <w:tab w:val="clear" w:pos="720"/>
        </w:tabs>
        <w:spacing w:after="240"/>
        <w:ind w:left="993" w:hanging="993"/>
        <w:rPr>
          <w:b/>
        </w:rPr>
      </w:pPr>
      <w:r w:rsidRPr="00C60AD1">
        <w:t>In view of the same, the Commission has not approved any amounts under the said component in the present Order</w:t>
      </w:r>
      <w:r>
        <w:t xml:space="preserve"> for FY 2016-17</w:t>
      </w:r>
      <w:r w:rsidRPr="00C60AD1">
        <w:t>.</w:t>
      </w:r>
    </w:p>
    <w:p w:rsidR="006C08CE" w:rsidRDefault="006C08CE" w:rsidP="006C08CE">
      <w:pPr>
        <w:pStyle w:val="Heading3"/>
        <w:numPr>
          <w:ilvl w:val="0"/>
          <w:numId w:val="0"/>
        </w:numPr>
        <w:tabs>
          <w:tab w:val="clear" w:pos="720"/>
        </w:tabs>
        <w:spacing w:before="0"/>
        <w:ind w:left="993"/>
        <w:rPr>
          <w:b/>
        </w:rPr>
      </w:pPr>
    </w:p>
    <w:p w:rsidR="00C34658" w:rsidRPr="00C60AD1" w:rsidRDefault="00C34658" w:rsidP="004F705F">
      <w:pPr>
        <w:pStyle w:val="Heading2"/>
        <w:numPr>
          <w:ilvl w:val="1"/>
          <w:numId w:val="14"/>
        </w:numPr>
        <w:spacing w:before="0"/>
      </w:pPr>
      <w:bookmarkStart w:id="1146" w:name="_Toc357702893"/>
      <w:bookmarkStart w:id="1147" w:name="_Toc357703274"/>
      <w:bookmarkStart w:id="1148" w:name="_Toc357703464"/>
      <w:bookmarkStart w:id="1149" w:name="_Toc357707333"/>
      <w:bookmarkStart w:id="1150" w:name="_Toc357702894"/>
      <w:bookmarkStart w:id="1151" w:name="_Toc357703275"/>
      <w:bookmarkStart w:id="1152" w:name="_Toc357703465"/>
      <w:bookmarkStart w:id="1153" w:name="_Toc357707334"/>
      <w:bookmarkStart w:id="1154" w:name="_Toc373269571"/>
      <w:bookmarkStart w:id="1155" w:name="_Toc396573848"/>
      <w:bookmarkStart w:id="1156" w:name="_Toc419992303"/>
      <w:bookmarkStart w:id="1157" w:name="_Toc453367625"/>
      <w:bookmarkStart w:id="1158" w:name="_Toc457355503"/>
      <w:bookmarkEnd w:id="1146"/>
      <w:bookmarkEnd w:id="1147"/>
      <w:bookmarkEnd w:id="1148"/>
      <w:bookmarkEnd w:id="1149"/>
      <w:bookmarkEnd w:id="1150"/>
      <w:bookmarkEnd w:id="1151"/>
      <w:bookmarkEnd w:id="1152"/>
      <w:bookmarkEnd w:id="1153"/>
      <w:r w:rsidRPr="00C60AD1">
        <w:t>APPORTIONMENT OF O&amp;M EXPENSES AND INTEREST &amp; FINANCE CHARGES OF UPPCL</w:t>
      </w:r>
      <w:bookmarkEnd w:id="1154"/>
      <w:bookmarkEnd w:id="1155"/>
      <w:bookmarkEnd w:id="1156"/>
      <w:bookmarkEnd w:id="1157"/>
      <w:bookmarkEnd w:id="1158"/>
    </w:p>
    <w:p w:rsidR="00023318" w:rsidRDefault="00E00E94" w:rsidP="00023318">
      <w:pPr>
        <w:pStyle w:val="Heading3"/>
        <w:tabs>
          <w:tab w:val="clear" w:pos="720"/>
        </w:tabs>
        <w:spacing w:after="240"/>
        <w:ind w:left="993" w:hanging="993"/>
      </w:pPr>
      <w:r>
        <w:t xml:space="preserve">The </w:t>
      </w:r>
      <w:r w:rsidR="00C34658" w:rsidRPr="00C60AD1">
        <w:t>Petitioner submitted that in FY 2014</w:t>
      </w:r>
      <w:r w:rsidR="002D58DD">
        <w:t>-15</w:t>
      </w:r>
      <w:r w:rsidR="00C34658" w:rsidRPr="00C60AD1">
        <w:t xml:space="preserve"> Tariff Order the Commission had directed the Distribution Companies to consider the apportionment of the O&amp;M expenses of UPPCL and submit the share of each Distribution Licensees and accordingly, the O&amp;M expenses of UPPCL for FY 201</w:t>
      </w:r>
      <w:r w:rsidR="00C34658">
        <w:t>4</w:t>
      </w:r>
      <w:r w:rsidR="00C34658" w:rsidRPr="00C60AD1">
        <w:t>-1</w:t>
      </w:r>
      <w:r w:rsidR="00C34658">
        <w:t>5</w:t>
      </w:r>
      <w:r w:rsidR="00C34658" w:rsidRPr="00C60AD1">
        <w:t xml:space="preserve"> as per </w:t>
      </w:r>
      <w:r w:rsidR="00C34658" w:rsidRPr="00C60AD1">
        <w:lastRenderedPageBreak/>
        <w:t xml:space="preserve">provisional accounts have been considered as base expenses and the same have been escalated for FY </w:t>
      </w:r>
      <w:r w:rsidR="00C34658">
        <w:t>2016-17</w:t>
      </w:r>
      <w:r w:rsidR="00C34658" w:rsidRPr="00C60AD1">
        <w:t xml:space="preserve"> based on the escalation indices. </w:t>
      </w:r>
    </w:p>
    <w:p w:rsidR="00023318" w:rsidRDefault="00C34658" w:rsidP="00023318">
      <w:pPr>
        <w:pStyle w:val="Heading3"/>
        <w:tabs>
          <w:tab w:val="clear" w:pos="720"/>
        </w:tabs>
        <w:spacing w:after="240"/>
        <w:ind w:left="993" w:hanging="993"/>
      </w:pPr>
      <w:r w:rsidRPr="00C60AD1">
        <w:t xml:space="preserve">The Petitioner submitted that considering the above, the same have also been apportioned to all the Distribution Licensees including the Petitioner in the power purchase ratio for each relevant year. The Petitioner submitted that the share of apportionment of O&amp;M charges of UPPCL is Rs. </w:t>
      </w:r>
      <w:r w:rsidR="00710D06">
        <w:t>6.06</w:t>
      </w:r>
      <w:r w:rsidRPr="00C60AD1">
        <w:t xml:space="preserve"> Crore for FY </w:t>
      </w:r>
      <w:r>
        <w:t>2016-17</w:t>
      </w:r>
      <w:r w:rsidRPr="00C60AD1">
        <w:t xml:space="preserve"> and accordingly the same have been considered as part of ARR to be recovered from retail consumers.</w:t>
      </w:r>
    </w:p>
    <w:p w:rsidR="00023318" w:rsidRDefault="00C34658" w:rsidP="00023318">
      <w:pPr>
        <w:pStyle w:val="Heading3"/>
        <w:tabs>
          <w:tab w:val="clear" w:pos="720"/>
        </w:tabs>
        <w:spacing w:after="240"/>
        <w:ind w:left="993" w:hanging="993"/>
      </w:pPr>
      <w:r w:rsidRPr="00C60AD1">
        <w:t>Petitioner submitted that UPPCL resorts to short term borrowings on behalf of Distribution Companies to meet the power purchase liabilities of Licensees and incurs interest expenses on behalf of such working capital loans. Also it incurs expenditure towards LC and OD charges incidental to power purchase expenses. Petitioner requested the Commission to consider these expenses and allow UPPCL to claim such expenses from the Petitioner and other Distribution Companies through an internal adjustment without any impact on the ARR.</w:t>
      </w:r>
    </w:p>
    <w:p w:rsidR="00023318" w:rsidRDefault="00C34658" w:rsidP="00023318">
      <w:pPr>
        <w:pStyle w:val="Heading3"/>
        <w:tabs>
          <w:tab w:val="clear" w:pos="720"/>
        </w:tabs>
        <w:spacing w:after="240"/>
        <w:ind w:left="993" w:hanging="993"/>
        <w:rPr>
          <w:b/>
        </w:rPr>
      </w:pPr>
      <w:r w:rsidRPr="00C60AD1">
        <w:t>The Commission in this Order while computing the Bulk Supply Tariff for FY 2013</w:t>
      </w:r>
      <w:r>
        <w:t>-14</w:t>
      </w:r>
      <w:r w:rsidRPr="00C60AD1">
        <w:t xml:space="preserve"> has allowed such expenses based on actual based on the audited accounts of UPPCL. Further, as discussed in the Truing-up section, since, the above expenses have been incurred by UPPCL, mostly for procuring the power for the Licensees, the above expenses have been allowed while doing the Truing up of FY 2013</w:t>
      </w:r>
      <w:r>
        <w:t>-14</w:t>
      </w:r>
      <w:r w:rsidRPr="00C60AD1">
        <w:t>. However, it may be noted that procurement of power is the responsibility of the Distribution Licensees and the Commission allows considerable amount of O&amp;M Expenses and the interest on working capital to the Licensees for this purpose. The Commission has allowed such expenses for the past years, but in its Tariff Order for FY 2014-15 dated October 1, 2014 the Commission has specifically mentioned that, such expense will not be allowed for future years i.e., FY 2014-15 onwards. The relevant extract of the aforementioned Order is reproduced below:</w:t>
      </w:r>
    </w:p>
    <w:p w:rsidR="00C34658" w:rsidRPr="00C60AD1" w:rsidRDefault="00C34658" w:rsidP="00C34658">
      <w:pPr>
        <w:pStyle w:val="Heading3"/>
        <w:numPr>
          <w:ilvl w:val="0"/>
          <w:numId w:val="0"/>
        </w:numPr>
        <w:tabs>
          <w:tab w:val="clear" w:pos="720"/>
        </w:tabs>
        <w:spacing w:after="240"/>
        <w:ind w:left="1440"/>
        <w:rPr>
          <w:i/>
        </w:rPr>
      </w:pPr>
      <w:r w:rsidRPr="00C60AD1">
        <w:rPr>
          <w:i/>
        </w:rPr>
        <w:t xml:space="preserve">“The Commission has allowed such expenses for the past years, however for future years, i.e., from FY 2014-15 onwards, the Commission disallows the claim of additional expenses towards allocation of O&amp;M expenses for UPPCL and directs the Petitioner to manage such additional Expenses for </w:t>
      </w:r>
      <w:r w:rsidRPr="00C60AD1">
        <w:rPr>
          <w:i/>
        </w:rPr>
        <w:lastRenderedPageBreak/>
        <w:t>procuring the power from the O&amp;M Expenses allowed to it for the relevant year.”</w:t>
      </w:r>
    </w:p>
    <w:p w:rsidR="00023318" w:rsidRPr="004F705F" w:rsidRDefault="00C34658" w:rsidP="00023318">
      <w:pPr>
        <w:pStyle w:val="Heading3"/>
        <w:tabs>
          <w:tab w:val="clear" w:pos="720"/>
        </w:tabs>
        <w:spacing w:after="240"/>
        <w:ind w:left="993" w:hanging="993"/>
        <w:rPr>
          <w:b/>
        </w:rPr>
      </w:pPr>
      <w:r w:rsidRPr="00C60AD1">
        <w:t xml:space="preserve">Thus, the Commission has not considered the claim of additional expenses towards allocation of O&amp;M expenses for UPPCL for FY </w:t>
      </w:r>
      <w:r>
        <w:t>2016-17</w:t>
      </w:r>
      <w:r w:rsidRPr="00C60AD1">
        <w:t>.</w:t>
      </w:r>
    </w:p>
    <w:p w:rsidR="004F705F" w:rsidRPr="00023318" w:rsidRDefault="004F705F" w:rsidP="004F705F">
      <w:pPr>
        <w:pStyle w:val="Heading3"/>
        <w:numPr>
          <w:ilvl w:val="0"/>
          <w:numId w:val="0"/>
        </w:numPr>
        <w:tabs>
          <w:tab w:val="clear" w:pos="720"/>
        </w:tabs>
        <w:spacing w:before="0"/>
        <w:ind w:left="993"/>
        <w:rPr>
          <w:b/>
        </w:rPr>
      </w:pPr>
    </w:p>
    <w:p w:rsidR="00C34658" w:rsidRPr="006F7A51" w:rsidRDefault="00C34658" w:rsidP="004F705F">
      <w:pPr>
        <w:pStyle w:val="Heading2"/>
        <w:numPr>
          <w:ilvl w:val="1"/>
          <w:numId w:val="14"/>
        </w:numPr>
        <w:spacing w:before="0"/>
      </w:pPr>
      <w:bookmarkStart w:id="1159" w:name="_Toc455417457"/>
      <w:bookmarkStart w:id="1160" w:name="_Toc455486975"/>
      <w:bookmarkStart w:id="1161" w:name="_Toc455487274"/>
      <w:bookmarkStart w:id="1162" w:name="_Toc455487641"/>
      <w:bookmarkStart w:id="1163" w:name="_Toc455494068"/>
      <w:bookmarkStart w:id="1164" w:name="_Toc455494368"/>
      <w:bookmarkStart w:id="1165" w:name="_Toc455494665"/>
      <w:bookmarkStart w:id="1166" w:name="_Toc455496393"/>
      <w:bookmarkStart w:id="1167" w:name="_Toc455507112"/>
      <w:bookmarkStart w:id="1168" w:name="_Toc455507409"/>
      <w:bookmarkStart w:id="1169" w:name="_Toc455575054"/>
      <w:bookmarkStart w:id="1170" w:name="_Toc455673665"/>
      <w:bookmarkStart w:id="1171" w:name="_Toc455417458"/>
      <w:bookmarkStart w:id="1172" w:name="_Toc455486976"/>
      <w:bookmarkStart w:id="1173" w:name="_Toc455487275"/>
      <w:bookmarkStart w:id="1174" w:name="_Toc455487642"/>
      <w:bookmarkStart w:id="1175" w:name="_Toc455494069"/>
      <w:bookmarkStart w:id="1176" w:name="_Toc455494369"/>
      <w:bookmarkStart w:id="1177" w:name="_Toc455494666"/>
      <w:bookmarkStart w:id="1178" w:name="_Toc455496394"/>
      <w:bookmarkStart w:id="1179" w:name="_Toc455507113"/>
      <w:bookmarkStart w:id="1180" w:name="_Toc455507410"/>
      <w:bookmarkStart w:id="1181" w:name="_Toc455575055"/>
      <w:bookmarkStart w:id="1182" w:name="_Toc455673666"/>
      <w:bookmarkStart w:id="1183" w:name="_Toc455417459"/>
      <w:bookmarkStart w:id="1184" w:name="_Toc455486977"/>
      <w:bookmarkStart w:id="1185" w:name="_Toc455487276"/>
      <w:bookmarkStart w:id="1186" w:name="_Toc455487643"/>
      <w:bookmarkStart w:id="1187" w:name="_Toc455494070"/>
      <w:bookmarkStart w:id="1188" w:name="_Toc455494370"/>
      <w:bookmarkStart w:id="1189" w:name="_Toc455494667"/>
      <w:bookmarkStart w:id="1190" w:name="_Toc455496395"/>
      <w:bookmarkStart w:id="1191" w:name="_Toc455507114"/>
      <w:bookmarkStart w:id="1192" w:name="_Toc455507411"/>
      <w:bookmarkStart w:id="1193" w:name="_Toc455575056"/>
      <w:bookmarkStart w:id="1194" w:name="_Toc455673667"/>
      <w:bookmarkStart w:id="1195" w:name="_Toc455417460"/>
      <w:bookmarkStart w:id="1196" w:name="_Toc455486978"/>
      <w:bookmarkStart w:id="1197" w:name="_Toc455487277"/>
      <w:bookmarkStart w:id="1198" w:name="_Toc455487644"/>
      <w:bookmarkStart w:id="1199" w:name="_Toc455494071"/>
      <w:bookmarkStart w:id="1200" w:name="_Toc455494371"/>
      <w:bookmarkStart w:id="1201" w:name="_Toc455494668"/>
      <w:bookmarkStart w:id="1202" w:name="_Toc455496396"/>
      <w:bookmarkStart w:id="1203" w:name="_Toc455507115"/>
      <w:bookmarkStart w:id="1204" w:name="_Toc455507412"/>
      <w:bookmarkStart w:id="1205" w:name="_Toc455575057"/>
      <w:bookmarkStart w:id="1206" w:name="_Toc455673668"/>
      <w:bookmarkStart w:id="1207" w:name="_Toc455417461"/>
      <w:bookmarkStart w:id="1208" w:name="_Toc455486979"/>
      <w:bookmarkStart w:id="1209" w:name="_Toc455487278"/>
      <w:bookmarkStart w:id="1210" w:name="_Toc455487645"/>
      <w:bookmarkStart w:id="1211" w:name="_Toc455494072"/>
      <w:bookmarkStart w:id="1212" w:name="_Toc455494372"/>
      <w:bookmarkStart w:id="1213" w:name="_Toc455494669"/>
      <w:bookmarkStart w:id="1214" w:name="_Toc455496397"/>
      <w:bookmarkStart w:id="1215" w:name="_Toc455507116"/>
      <w:bookmarkStart w:id="1216" w:name="_Toc455507413"/>
      <w:bookmarkStart w:id="1217" w:name="_Toc455575058"/>
      <w:bookmarkStart w:id="1218" w:name="_Toc455673669"/>
      <w:bookmarkStart w:id="1219" w:name="_Toc455417462"/>
      <w:bookmarkStart w:id="1220" w:name="_Toc455486980"/>
      <w:bookmarkStart w:id="1221" w:name="_Toc455487279"/>
      <w:bookmarkStart w:id="1222" w:name="_Toc455487646"/>
      <w:bookmarkStart w:id="1223" w:name="_Toc455494073"/>
      <w:bookmarkStart w:id="1224" w:name="_Toc455494373"/>
      <w:bookmarkStart w:id="1225" w:name="_Toc455494670"/>
      <w:bookmarkStart w:id="1226" w:name="_Toc455496398"/>
      <w:bookmarkStart w:id="1227" w:name="_Toc455507117"/>
      <w:bookmarkStart w:id="1228" w:name="_Toc455507414"/>
      <w:bookmarkStart w:id="1229" w:name="_Toc455575059"/>
      <w:bookmarkStart w:id="1230" w:name="_Toc455673670"/>
      <w:bookmarkStart w:id="1231" w:name="_Toc455417463"/>
      <w:bookmarkStart w:id="1232" w:name="_Toc455486981"/>
      <w:bookmarkStart w:id="1233" w:name="_Toc455487280"/>
      <w:bookmarkStart w:id="1234" w:name="_Toc455487647"/>
      <w:bookmarkStart w:id="1235" w:name="_Toc455494074"/>
      <w:bookmarkStart w:id="1236" w:name="_Toc455494374"/>
      <w:bookmarkStart w:id="1237" w:name="_Toc455494671"/>
      <w:bookmarkStart w:id="1238" w:name="_Toc455496399"/>
      <w:bookmarkStart w:id="1239" w:name="_Toc455507118"/>
      <w:bookmarkStart w:id="1240" w:name="_Toc455507415"/>
      <w:bookmarkStart w:id="1241" w:name="_Toc455575060"/>
      <w:bookmarkStart w:id="1242" w:name="_Toc455673671"/>
      <w:bookmarkStart w:id="1243" w:name="_Toc455417464"/>
      <w:bookmarkStart w:id="1244" w:name="_Toc455486982"/>
      <w:bookmarkStart w:id="1245" w:name="_Toc455487281"/>
      <w:bookmarkStart w:id="1246" w:name="_Toc455487648"/>
      <w:bookmarkStart w:id="1247" w:name="_Toc455494075"/>
      <w:bookmarkStart w:id="1248" w:name="_Toc455494375"/>
      <w:bookmarkStart w:id="1249" w:name="_Toc455494672"/>
      <w:bookmarkStart w:id="1250" w:name="_Toc455496400"/>
      <w:bookmarkStart w:id="1251" w:name="_Toc455507119"/>
      <w:bookmarkStart w:id="1252" w:name="_Toc455507416"/>
      <w:bookmarkStart w:id="1253" w:name="_Toc455575061"/>
      <w:bookmarkStart w:id="1254" w:name="_Toc455673672"/>
      <w:bookmarkStart w:id="1255" w:name="_Toc455417465"/>
      <w:bookmarkStart w:id="1256" w:name="_Toc455486983"/>
      <w:bookmarkStart w:id="1257" w:name="_Toc455487282"/>
      <w:bookmarkStart w:id="1258" w:name="_Toc455487649"/>
      <w:bookmarkStart w:id="1259" w:name="_Toc455494076"/>
      <w:bookmarkStart w:id="1260" w:name="_Toc455494376"/>
      <w:bookmarkStart w:id="1261" w:name="_Toc455494673"/>
      <w:bookmarkStart w:id="1262" w:name="_Toc455496401"/>
      <w:bookmarkStart w:id="1263" w:name="_Toc455507120"/>
      <w:bookmarkStart w:id="1264" w:name="_Toc455507417"/>
      <w:bookmarkStart w:id="1265" w:name="_Toc455575062"/>
      <w:bookmarkStart w:id="1266" w:name="_Toc455673673"/>
      <w:bookmarkStart w:id="1267" w:name="_Toc455417466"/>
      <w:bookmarkStart w:id="1268" w:name="_Toc455486984"/>
      <w:bookmarkStart w:id="1269" w:name="_Toc455487283"/>
      <w:bookmarkStart w:id="1270" w:name="_Toc455487650"/>
      <w:bookmarkStart w:id="1271" w:name="_Toc455494077"/>
      <w:bookmarkStart w:id="1272" w:name="_Toc455494377"/>
      <w:bookmarkStart w:id="1273" w:name="_Toc455494674"/>
      <w:bookmarkStart w:id="1274" w:name="_Toc455496402"/>
      <w:bookmarkStart w:id="1275" w:name="_Toc455507121"/>
      <w:bookmarkStart w:id="1276" w:name="_Toc455507418"/>
      <w:bookmarkStart w:id="1277" w:name="_Toc455575063"/>
      <w:bookmarkStart w:id="1278" w:name="_Toc455673674"/>
      <w:bookmarkStart w:id="1279" w:name="_Toc455417467"/>
      <w:bookmarkStart w:id="1280" w:name="_Toc455486985"/>
      <w:bookmarkStart w:id="1281" w:name="_Toc455487284"/>
      <w:bookmarkStart w:id="1282" w:name="_Toc455487651"/>
      <w:bookmarkStart w:id="1283" w:name="_Toc455494078"/>
      <w:bookmarkStart w:id="1284" w:name="_Toc455494378"/>
      <w:bookmarkStart w:id="1285" w:name="_Toc455494675"/>
      <w:bookmarkStart w:id="1286" w:name="_Toc455496403"/>
      <w:bookmarkStart w:id="1287" w:name="_Toc455507122"/>
      <w:bookmarkStart w:id="1288" w:name="_Toc455507419"/>
      <w:bookmarkStart w:id="1289" w:name="_Toc455575064"/>
      <w:bookmarkStart w:id="1290" w:name="_Toc455673675"/>
      <w:bookmarkStart w:id="1291" w:name="_Toc455417468"/>
      <w:bookmarkStart w:id="1292" w:name="_Toc455486986"/>
      <w:bookmarkStart w:id="1293" w:name="_Toc455487285"/>
      <w:bookmarkStart w:id="1294" w:name="_Toc455487652"/>
      <w:bookmarkStart w:id="1295" w:name="_Toc455494079"/>
      <w:bookmarkStart w:id="1296" w:name="_Toc455494379"/>
      <w:bookmarkStart w:id="1297" w:name="_Toc455494676"/>
      <w:bookmarkStart w:id="1298" w:name="_Toc455496404"/>
      <w:bookmarkStart w:id="1299" w:name="_Toc455507123"/>
      <w:bookmarkStart w:id="1300" w:name="_Toc455507420"/>
      <w:bookmarkStart w:id="1301" w:name="_Toc455575065"/>
      <w:bookmarkStart w:id="1302" w:name="_Toc455673676"/>
      <w:bookmarkStart w:id="1303" w:name="_Toc455417469"/>
      <w:bookmarkStart w:id="1304" w:name="_Toc455486987"/>
      <w:bookmarkStart w:id="1305" w:name="_Toc455487286"/>
      <w:bookmarkStart w:id="1306" w:name="_Toc455487653"/>
      <w:bookmarkStart w:id="1307" w:name="_Toc455494080"/>
      <w:bookmarkStart w:id="1308" w:name="_Toc455494380"/>
      <w:bookmarkStart w:id="1309" w:name="_Toc455494677"/>
      <w:bookmarkStart w:id="1310" w:name="_Toc455496405"/>
      <w:bookmarkStart w:id="1311" w:name="_Toc455507124"/>
      <w:bookmarkStart w:id="1312" w:name="_Toc455507421"/>
      <w:bookmarkStart w:id="1313" w:name="_Toc455575066"/>
      <w:bookmarkStart w:id="1314" w:name="_Toc455673677"/>
      <w:bookmarkStart w:id="1315" w:name="_Toc455417470"/>
      <w:bookmarkStart w:id="1316" w:name="_Toc455486988"/>
      <w:bookmarkStart w:id="1317" w:name="_Toc455487287"/>
      <w:bookmarkStart w:id="1318" w:name="_Toc455487654"/>
      <w:bookmarkStart w:id="1319" w:name="_Toc455494081"/>
      <w:bookmarkStart w:id="1320" w:name="_Toc455494381"/>
      <w:bookmarkStart w:id="1321" w:name="_Toc455494678"/>
      <w:bookmarkStart w:id="1322" w:name="_Toc455496406"/>
      <w:bookmarkStart w:id="1323" w:name="_Toc455507125"/>
      <w:bookmarkStart w:id="1324" w:name="_Toc455507422"/>
      <w:bookmarkStart w:id="1325" w:name="_Toc455575067"/>
      <w:bookmarkStart w:id="1326" w:name="_Toc455673678"/>
      <w:bookmarkStart w:id="1327" w:name="_Toc455417471"/>
      <w:bookmarkStart w:id="1328" w:name="_Toc455486989"/>
      <w:bookmarkStart w:id="1329" w:name="_Toc455487288"/>
      <w:bookmarkStart w:id="1330" w:name="_Toc455487655"/>
      <w:bookmarkStart w:id="1331" w:name="_Toc455494082"/>
      <w:bookmarkStart w:id="1332" w:name="_Toc455494382"/>
      <w:bookmarkStart w:id="1333" w:name="_Toc455494679"/>
      <w:bookmarkStart w:id="1334" w:name="_Toc455496407"/>
      <w:bookmarkStart w:id="1335" w:name="_Toc455507126"/>
      <w:bookmarkStart w:id="1336" w:name="_Toc455507423"/>
      <w:bookmarkStart w:id="1337" w:name="_Toc455575068"/>
      <w:bookmarkStart w:id="1338" w:name="_Toc455673679"/>
      <w:bookmarkStart w:id="1339" w:name="_Toc455417472"/>
      <w:bookmarkStart w:id="1340" w:name="_Toc455486990"/>
      <w:bookmarkStart w:id="1341" w:name="_Toc455487289"/>
      <w:bookmarkStart w:id="1342" w:name="_Toc455487656"/>
      <w:bookmarkStart w:id="1343" w:name="_Toc455494083"/>
      <w:bookmarkStart w:id="1344" w:name="_Toc455494383"/>
      <w:bookmarkStart w:id="1345" w:name="_Toc455494680"/>
      <w:bookmarkStart w:id="1346" w:name="_Toc455496408"/>
      <w:bookmarkStart w:id="1347" w:name="_Toc455507127"/>
      <w:bookmarkStart w:id="1348" w:name="_Toc455507424"/>
      <w:bookmarkStart w:id="1349" w:name="_Toc455575069"/>
      <w:bookmarkStart w:id="1350" w:name="_Toc455673680"/>
      <w:bookmarkStart w:id="1351" w:name="_Toc356322611"/>
      <w:bookmarkStart w:id="1352" w:name="_Toc357718678"/>
      <w:bookmarkStart w:id="1353" w:name="_Toc396573851"/>
      <w:bookmarkStart w:id="1354" w:name="_Toc419992306"/>
      <w:bookmarkStart w:id="1355" w:name="_Toc453367628"/>
      <w:bookmarkStart w:id="1356" w:name="_Toc457355504"/>
      <w:bookmarkEnd w:id="1123"/>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r w:rsidRPr="00C60AD1">
        <w:t xml:space="preserve">REVENUE </w:t>
      </w:r>
      <w:r w:rsidR="00023318" w:rsidRPr="00023318">
        <w:t>FROM SALE OF ELECTRICITY</w:t>
      </w:r>
      <w:bookmarkEnd w:id="1351"/>
      <w:bookmarkEnd w:id="1352"/>
      <w:bookmarkEnd w:id="1353"/>
      <w:bookmarkEnd w:id="1354"/>
      <w:bookmarkEnd w:id="1355"/>
      <w:bookmarkEnd w:id="1356"/>
    </w:p>
    <w:p w:rsidR="002127C6" w:rsidRDefault="002127C6">
      <w:pPr>
        <w:pStyle w:val="Heading2"/>
        <w:numPr>
          <w:ilvl w:val="0"/>
          <w:numId w:val="0"/>
        </w:numPr>
        <w:ind w:left="780"/>
      </w:pPr>
    </w:p>
    <w:p w:rsidR="00023318" w:rsidRDefault="00C34658" w:rsidP="00023318">
      <w:pPr>
        <w:pStyle w:val="Heading3"/>
        <w:tabs>
          <w:tab w:val="clear" w:pos="720"/>
        </w:tabs>
        <w:spacing w:after="240"/>
        <w:ind w:left="993" w:hanging="993"/>
        <w:rPr>
          <w:lang w:eastAsia="en-IN"/>
        </w:rPr>
      </w:pPr>
      <w:bookmarkStart w:id="1357" w:name="_Toc357349105"/>
      <w:bookmarkStart w:id="1358" w:name="_Toc357356164"/>
      <w:r w:rsidRPr="00C60AD1">
        <w:t xml:space="preserve">For FY </w:t>
      </w:r>
      <w:r>
        <w:t>2016-17</w:t>
      </w:r>
      <w:r w:rsidRPr="00C60AD1">
        <w:t xml:space="preserve">, the Petitioner has estimated the revenue from existing tariffs to </w:t>
      </w:r>
      <w:r w:rsidRPr="00C60AD1">
        <w:rPr>
          <w:lang w:eastAsia="en-IN"/>
        </w:rPr>
        <w:t xml:space="preserve">the tune of Rs. </w:t>
      </w:r>
      <w:r w:rsidR="001A08F8">
        <w:rPr>
          <w:lang w:eastAsia="en-IN"/>
        </w:rPr>
        <w:t>2,1</w:t>
      </w:r>
      <w:r w:rsidR="00D948FF">
        <w:rPr>
          <w:lang w:eastAsia="en-IN"/>
        </w:rPr>
        <w:t>42</w:t>
      </w:r>
      <w:r w:rsidR="00E00E94">
        <w:rPr>
          <w:lang w:eastAsia="en-IN"/>
        </w:rPr>
        <w:t>.0</w:t>
      </w:r>
      <w:r w:rsidR="00D948FF">
        <w:rPr>
          <w:lang w:eastAsia="en-IN"/>
        </w:rPr>
        <w:t>3</w:t>
      </w:r>
      <w:r w:rsidRPr="00C60AD1">
        <w:rPr>
          <w:lang w:eastAsia="en-IN"/>
        </w:rPr>
        <w:t xml:space="preserve"> Crore, i.e., based on approved Tariff as per Tariff Order dated </w:t>
      </w:r>
      <w:r>
        <w:rPr>
          <w:lang w:eastAsia="en-IN"/>
        </w:rPr>
        <w:t>June 18, 2015</w:t>
      </w:r>
      <w:r w:rsidRPr="00C60AD1">
        <w:rPr>
          <w:lang w:eastAsia="en-IN"/>
        </w:rPr>
        <w:t>.</w:t>
      </w:r>
    </w:p>
    <w:p w:rsidR="00023318" w:rsidRDefault="00C34658" w:rsidP="00023318">
      <w:pPr>
        <w:pStyle w:val="Heading3"/>
        <w:tabs>
          <w:tab w:val="clear" w:pos="720"/>
        </w:tabs>
        <w:spacing w:after="240"/>
        <w:ind w:left="993" w:hanging="993"/>
        <w:rPr>
          <w:b/>
        </w:rPr>
      </w:pPr>
      <w:r w:rsidRPr="00C60AD1">
        <w:rPr>
          <w:lang w:eastAsia="en-IN"/>
        </w:rPr>
        <w:t xml:space="preserve">The Commission has computed the revenue at existing tariffs by applying the tariff rates as per Tariff Order dated </w:t>
      </w:r>
      <w:r>
        <w:rPr>
          <w:lang w:eastAsia="en-IN"/>
        </w:rPr>
        <w:t>June 18, 2015</w:t>
      </w:r>
      <w:r w:rsidRPr="00C60AD1">
        <w:rPr>
          <w:lang w:eastAsia="en-IN"/>
        </w:rPr>
        <w:t xml:space="preserve"> to the approved consumption for FY </w:t>
      </w:r>
      <w:r>
        <w:rPr>
          <w:lang w:eastAsia="en-IN"/>
        </w:rPr>
        <w:t>2016-17</w:t>
      </w:r>
      <w:r w:rsidRPr="00C60AD1">
        <w:rPr>
          <w:lang w:eastAsia="en-IN"/>
        </w:rPr>
        <w:t xml:space="preserve">. </w:t>
      </w:r>
      <w:r w:rsidRPr="00C60AD1">
        <w:t xml:space="preserve">Further, the Commission has also approved tariffs and computed resultant revenue by applying the approved tariff rates to the approved consumption parameters for FY </w:t>
      </w:r>
      <w:r>
        <w:t>2016-17</w:t>
      </w:r>
      <w:r w:rsidRPr="00C60AD1">
        <w:t xml:space="preserve">. The following Table summarizes the revenue approved by Commission for FY </w:t>
      </w:r>
      <w:r>
        <w:t>2016-17</w:t>
      </w:r>
      <w:r w:rsidRPr="00C60AD1">
        <w:t xml:space="preserve"> at both existing as well as revised tariffs.</w:t>
      </w:r>
    </w:p>
    <w:p w:rsidR="00C34658" w:rsidRPr="00C60AD1" w:rsidRDefault="00C34658" w:rsidP="00C34658">
      <w:pPr>
        <w:jc w:val="center"/>
        <w:rPr>
          <w:rFonts w:cstheme="minorHAnsi"/>
          <w:b/>
          <w:sz w:val="22"/>
        </w:rPr>
      </w:pPr>
      <w:bookmarkStart w:id="1359" w:name="_Toc338310721"/>
      <w:bookmarkStart w:id="1360" w:name="_Toc338419551"/>
      <w:bookmarkStart w:id="1361" w:name="_Toc357718760"/>
      <w:bookmarkStart w:id="1362" w:name="_Toc395657982"/>
      <w:bookmarkStart w:id="1363" w:name="_Toc396574033"/>
      <w:bookmarkStart w:id="1364" w:name="_Toc419992329"/>
      <w:bookmarkStart w:id="1365" w:name="_Toc453367711"/>
      <w:bookmarkStart w:id="1366" w:name="_Toc457355652"/>
      <w:bookmarkEnd w:id="1357"/>
      <w:bookmarkEnd w:id="1358"/>
      <w:r w:rsidRPr="00C60AD1">
        <w:rPr>
          <w:rFonts w:cstheme="minorHAnsi"/>
          <w:b/>
          <w:sz w:val="22"/>
        </w:rPr>
        <w:t xml:space="preserve">Table </w:t>
      </w:r>
      <w:r w:rsidR="004A2D9E" w:rsidRPr="00C60AD1">
        <w:rPr>
          <w:rFonts w:cstheme="minorHAnsi"/>
          <w:b/>
          <w:sz w:val="22"/>
        </w:rPr>
        <w:fldChar w:fldCharType="begin"/>
      </w:r>
      <w:r w:rsidRPr="00C60AD1">
        <w:rPr>
          <w:rFonts w:cstheme="minorHAnsi"/>
          <w:b/>
          <w:sz w:val="22"/>
        </w:rPr>
        <w:instrText xml:space="preserve"> STYLEREF 1 \s </w:instrText>
      </w:r>
      <w:r w:rsidR="004A2D9E" w:rsidRPr="00C60AD1">
        <w:rPr>
          <w:rFonts w:cstheme="minorHAnsi"/>
          <w:b/>
          <w:sz w:val="22"/>
        </w:rPr>
        <w:fldChar w:fldCharType="separate"/>
      </w:r>
      <w:r w:rsidR="0011185B">
        <w:rPr>
          <w:rFonts w:cstheme="minorHAnsi"/>
          <w:b/>
          <w:noProof/>
          <w:sz w:val="22"/>
        </w:rPr>
        <w:t>5</w:t>
      </w:r>
      <w:r w:rsidR="004A2D9E" w:rsidRPr="00C60AD1">
        <w:rPr>
          <w:rFonts w:cstheme="minorHAnsi"/>
          <w:b/>
          <w:sz w:val="22"/>
        </w:rPr>
        <w:fldChar w:fldCharType="end"/>
      </w:r>
      <w:r w:rsidRPr="00C60AD1">
        <w:rPr>
          <w:rFonts w:cstheme="minorHAnsi"/>
          <w:b/>
          <w:sz w:val="22"/>
        </w:rPr>
        <w:noBreakHyphen/>
      </w:r>
      <w:r w:rsidR="004A2D9E" w:rsidRPr="00C60AD1">
        <w:rPr>
          <w:rFonts w:cstheme="minorHAnsi"/>
          <w:b/>
          <w:sz w:val="22"/>
        </w:rPr>
        <w:fldChar w:fldCharType="begin"/>
      </w:r>
      <w:r w:rsidRPr="00C60AD1">
        <w:rPr>
          <w:rFonts w:cstheme="minorHAnsi"/>
          <w:b/>
          <w:sz w:val="22"/>
        </w:rPr>
        <w:instrText xml:space="preserve"> SEQ Table \* ARABIC \s 1 </w:instrText>
      </w:r>
      <w:r w:rsidR="004A2D9E" w:rsidRPr="00C60AD1">
        <w:rPr>
          <w:rFonts w:cstheme="minorHAnsi"/>
          <w:b/>
          <w:sz w:val="22"/>
        </w:rPr>
        <w:fldChar w:fldCharType="separate"/>
      </w:r>
      <w:r w:rsidR="0011185B">
        <w:rPr>
          <w:rFonts w:cstheme="minorHAnsi"/>
          <w:b/>
          <w:noProof/>
          <w:sz w:val="22"/>
        </w:rPr>
        <w:t>28</w:t>
      </w:r>
      <w:r w:rsidR="004A2D9E" w:rsidRPr="00C60AD1">
        <w:rPr>
          <w:rFonts w:cstheme="minorHAnsi"/>
          <w:b/>
          <w:sz w:val="22"/>
        </w:rPr>
        <w:fldChar w:fldCharType="end"/>
      </w:r>
      <w:r w:rsidRPr="00C60AD1">
        <w:rPr>
          <w:rFonts w:cstheme="minorHAnsi"/>
          <w:b/>
          <w:sz w:val="22"/>
        </w:rPr>
        <w:t xml:space="preserve">: EXISTING &amp; APPROVED TARIFF REVENUES: FY </w:t>
      </w:r>
      <w:r>
        <w:rPr>
          <w:rFonts w:cstheme="minorHAnsi"/>
          <w:b/>
          <w:sz w:val="22"/>
        </w:rPr>
        <w:t>2016-17</w:t>
      </w:r>
      <w:r w:rsidRPr="00C60AD1">
        <w:rPr>
          <w:rFonts w:cstheme="minorHAnsi"/>
          <w:b/>
          <w:sz w:val="22"/>
        </w:rPr>
        <w:t xml:space="preserve"> (Rs. Crore)</w:t>
      </w:r>
      <w:bookmarkEnd w:id="1359"/>
      <w:bookmarkEnd w:id="1360"/>
      <w:bookmarkEnd w:id="1361"/>
      <w:bookmarkEnd w:id="1362"/>
      <w:bookmarkEnd w:id="1363"/>
      <w:bookmarkEnd w:id="1364"/>
      <w:bookmarkEnd w:id="1365"/>
      <w:bookmarkEnd w:id="1366"/>
    </w:p>
    <w:tbl>
      <w:tblPr>
        <w:tblW w:w="7495" w:type="dxa"/>
        <w:jc w:val="center"/>
        <w:tblInd w:w="26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382"/>
        <w:gridCol w:w="2043"/>
        <w:gridCol w:w="2070"/>
      </w:tblGrid>
      <w:tr w:rsidR="00460BF7" w:rsidRPr="00D46561" w:rsidTr="004F012E">
        <w:trPr>
          <w:trHeight w:val="611"/>
          <w:tblHeader/>
          <w:jc w:val="center"/>
        </w:trPr>
        <w:tc>
          <w:tcPr>
            <w:tcW w:w="3382" w:type="dxa"/>
            <w:shd w:val="clear" w:color="000000" w:fill="DBE5F1"/>
            <w:noWrap/>
            <w:hideMark/>
          </w:tcPr>
          <w:p w:rsidR="007B43DD" w:rsidRDefault="00C45328">
            <w:pPr>
              <w:spacing w:before="0"/>
              <w:jc w:val="center"/>
              <w:rPr>
                <w:rFonts w:asciiTheme="minorHAnsi" w:hAnsiTheme="minorHAnsi" w:cstheme="minorHAnsi"/>
                <w:b/>
                <w:sz w:val="22"/>
                <w:szCs w:val="22"/>
              </w:rPr>
            </w:pPr>
            <w:r>
              <w:rPr>
                <w:rFonts w:asciiTheme="minorHAnsi" w:hAnsiTheme="minorHAnsi" w:cstheme="minorHAnsi"/>
                <w:b/>
                <w:sz w:val="22"/>
                <w:szCs w:val="22"/>
              </w:rPr>
              <w:t>Consumer Categories</w:t>
            </w:r>
          </w:p>
        </w:tc>
        <w:tc>
          <w:tcPr>
            <w:tcW w:w="2043" w:type="dxa"/>
            <w:shd w:val="clear" w:color="000000" w:fill="DBE5F1"/>
            <w:hideMark/>
          </w:tcPr>
          <w:p w:rsidR="007B43DD" w:rsidRDefault="00C45328">
            <w:pPr>
              <w:spacing w:before="0"/>
              <w:jc w:val="center"/>
              <w:rPr>
                <w:rFonts w:asciiTheme="minorHAnsi" w:hAnsiTheme="minorHAnsi" w:cstheme="minorHAnsi"/>
                <w:b/>
                <w:sz w:val="22"/>
                <w:szCs w:val="22"/>
              </w:rPr>
            </w:pPr>
            <w:r>
              <w:rPr>
                <w:rFonts w:asciiTheme="minorHAnsi" w:hAnsiTheme="minorHAnsi" w:cstheme="minorHAnsi"/>
                <w:b/>
                <w:sz w:val="22"/>
                <w:szCs w:val="22"/>
              </w:rPr>
              <w:t>Approved</w:t>
            </w:r>
          </w:p>
          <w:p w:rsidR="007B43DD" w:rsidRDefault="00C45328">
            <w:pPr>
              <w:spacing w:before="0"/>
              <w:jc w:val="center"/>
              <w:rPr>
                <w:rFonts w:asciiTheme="minorHAnsi" w:hAnsiTheme="minorHAnsi" w:cstheme="minorHAnsi"/>
                <w:b/>
                <w:sz w:val="22"/>
                <w:szCs w:val="22"/>
              </w:rPr>
            </w:pPr>
            <w:r>
              <w:rPr>
                <w:rFonts w:asciiTheme="minorHAnsi" w:hAnsiTheme="minorHAnsi" w:cstheme="minorHAnsi"/>
                <w:b/>
                <w:sz w:val="22"/>
                <w:szCs w:val="22"/>
              </w:rPr>
              <w:t>(At Existing Tariff)</w:t>
            </w:r>
          </w:p>
        </w:tc>
        <w:tc>
          <w:tcPr>
            <w:tcW w:w="2070" w:type="dxa"/>
            <w:shd w:val="clear" w:color="000000" w:fill="DBE5F1"/>
            <w:hideMark/>
          </w:tcPr>
          <w:p w:rsidR="007B43DD" w:rsidRDefault="00C45328">
            <w:pPr>
              <w:spacing w:before="0"/>
              <w:jc w:val="center"/>
              <w:rPr>
                <w:rFonts w:asciiTheme="minorHAnsi" w:hAnsiTheme="minorHAnsi" w:cstheme="minorHAnsi"/>
                <w:b/>
                <w:sz w:val="22"/>
                <w:szCs w:val="22"/>
              </w:rPr>
            </w:pPr>
            <w:r>
              <w:rPr>
                <w:rFonts w:asciiTheme="minorHAnsi" w:hAnsiTheme="minorHAnsi" w:cstheme="minorHAnsi"/>
                <w:b/>
                <w:sz w:val="22"/>
                <w:szCs w:val="22"/>
              </w:rPr>
              <w:t>Approved</w:t>
            </w:r>
          </w:p>
          <w:p w:rsidR="007B43DD" w:rsidRDefault="00C45328">
            <w:pPr>
              <w:spacing w:before="0"/>
              <w:jc w:val="center"/>
              <w:rPr>
                <w:rFonts w:asciiTheme="minorHAnsi" w:hAnsiTheme="minorHAnsi" w:cstheme="minorHAnsi"/>
                <w:b/>
                <w:sz w:val="22"/>
                <w:szCs w:val="22"/>
              </w:rPr>
            </w:pPr>
            <w:r>
              <w:rPr>
                <w:rFonts w:asciiTheme="minorHAnsi" w:hAnsiTheme="minorHAnsi" w:cstheme="minorHAnsi"/>
                <w:b/>
                <w:sz w:val="22"/>
                <w:szCs w:val="22"/>
              </w:rPr>
              <w:t>(At Revised Tariff)</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LMV-1: Domestic</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1,072.37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1,072.37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LMV-2:Non-Domestic</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187.11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19</w:t>
            </w:r>
            <w:r w:rsidR="001035D2">
              <w:rPr>
                <w:rFonts w:asciiTheme="minorHAnsi" w:hAnsiTheme="minorHAnsi"/>
                <w:color w:val="000000"/>
                <w:sz w:val="22"/>
                <w:szCs w:val="22"/>
              </w:rPr>
              <w:t>8</w:t>
            </w:r>
            <w:r w:rsidR="0002226F">
              <w:rPr>
                <w:rFonts w:asciiTheme="minorHAnsi" w:hAnsiTheme="minorHAnsi"/>
                <w:color w:val="000000"/>
                <w:sz w:val="22"/>
                <w:szCs w:val="22"/>
              </w:rPr>
              <w:t>.</w:t>
            </w:r>
            <w:r w:rsidR="001035D2">
              <w:rPr>
                <w:rFonts w:asciiTheme="minorHAnsi" w:hAnsiTheme="minorHAnsi"/>
                <w:color w:val="000000"/>
                <w:sz w:val="22"/>
                <w:szCs w:val="22"/>
              </w:rPr>
              <w:t>50</w:t>
            </w:r>
            <w:r w:rsidRPr="00023318">
              <w:rPr>
                <w:rFonts w:asciiTheme="minorHAnsi" w:hAnsiTheme="minorHAnsi"/>
                <w:color w:val="000000"/>
                <w:sz w:val="22"/>
                <w:szCs w:val="22"/>
              </w:rPr>
              <w:t xml:space="preserve">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LMV-3: Public Lamps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50.82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5</w:t>
            </w:r>
            <w:r w:rsidR="001035D2">
              <w:rPr>
                <w:rFonts w:asciiTheme="minorHAnsi" w:hAnsiTheme="minorHAnsi"/>
                <w:color w:val="000000"/>
                <w:sz w:val="22"/>
                <w:szCs w:val="22"/>
              </w:rPr>
              <w:t>6.47</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LMV-4: Institutions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47.56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49.</w:t>
            </w:r>
            <w:r w:rsidR="001035D2">
              <w:rPr>
                <w:rFonts w:asciiTheme="minorHAnsi" w:hAnsiTheme="minorHAnsi"/>
                <w:color w:val="000000"/>
                <w:sz w:val="22"/>
                <w:szCs w:val="22"/>
              </w:rPr>
              <w:t>1</w:t>
            </w:r>
            <w:r w:rsidRPr="00023318">
              <w:rPr>
                <w:rFonts w:asciiTheme="minorHAnsi" w:hAnsiTheme="minorHAnsi"/>
                <w:color w:val="000000"/>
                <w:sz w:val="22"/>
                <w:szCs w:val="22"/>
              </w:rPr>
              <w:t xml:space="preserve">0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LMV-5: Private Tube Wells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 6: Small and Medium Power</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249.13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2</w:t>
            </w:r>
            <w:r w:rsidR="001035D2">
              <w:rPr>
                <w:rFonts w:asciiTheme="minorHAnsi" w:hAnsiTheme="minorHAnsi"/>
                <w:color w:val="000000"/>
                <w:sz w:val="22"/>
                <w:szCs w:val="22"/>
              </w:rPr>
              <w:t>58.87</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LMV-7: Public Water Works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35.25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38.5</w:t>
            </w:r>
            <w:r w:rsidR="001035D2">
              <w:rPr>
                <w:rFonts w:asciiTheme="minorHAnsi" w:hAnsiTheme="minorHAnsi"/>
                <w:color w:val="000000"/>
                <w:sz w:val="22"/>
                <w:szCs w:val="22"/>
              </w:rPr>
              <w:t>4</w:t>
            </w:r>
            <w:r w:rsidRPr="00023318">
              <w:rPr>
                <w:rFonts w:asciiTheme="minorHAnsi" w:hAnsiTheme="minorHAnsi"/>
                <w:color w:val="000000"/>
                <w:sz w:val="22"/>
                <w:szCs w:val="22"/>
              </w:rPr>
              <w:t xml:space="preserve">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LMV-8: State Tube Wells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LMV-9: Temporary Supply</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LMV-10: Departmental Employees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4.69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5.0</w:t>
            </w:r>
            <w:r w:rsidR="001035D2">
              <w:rPr>
                <w:rFonts w:asciiTheme="minorHAnsi" w:hAnsiTheme="minorHAnsi"/>
                <w:color w:val="000000"/>
                <w:sz w:val="22"/>
                <w:szCs w:val="22"/>
              </w:rPr>
              <w:t>2</w:t>
            </w:r>
            <w:r w:rsidRPr="00023318">
              <w:rPr>
                <w:rFonts w:asciiTheme="minorHAnsi" w:hAnsiTheme="minorHAnsi"/>
                <w:color w:val="000000"/>
                <w:sz w:val="22"/>
                <w:szCs w:val="22"/>
              </w:rPr>
              <w:t xml:space="preserve">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HV-1: Non-Industrial Bulk Loads</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120.86 </w:t>
            </w:r>
          </w:p>
        </w:tc>
        <w:tc>
          <w:tcPr>
            <w:tcW w:w="2070" w:type="dxa"/>
            <w:shd w:val="clear" w:color="auto" w:fill="auto"/>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13</w:t>
            </w:r>
            <w:r w:rsidR="001035D2">
              <w:rPr>
                <w:rFonts w:asciiTheme="minorHAnsi" w:hAnsiTheme="minorHAnsi"/>
                <w:color w:val="000000"/>
                <w:sz w:val="22"/>
                <w:szCs w:val="22"/>
              </w:rPr>
              <w:t>0.69</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HV-2: Large and Heavy Power</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355.23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355.23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HV-3: Railway Traction</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HV-4: Lift Irrigation</w:t>
            </w:r>
          </w:p>
        </w:tc>
        <w:tc>
          <w:tcPr>
            <w:tcW w:w="2043" w:type="dxa"/>
            <w:shd w:val="clear" w:color="auto" w:fill="auto"/>
            <w:noWrap/>
            <w:vAlign w:val="center"/>
            <w:hideMark/>
          </w:tcPr>
          <w:p w:rsidR="00D46561" w:rsidRPr="00D46561" w:rsidRDefault="00023318">
            <w:pPr>
              <w:spacing w:before="0" w:line="240" w:lineRule="auto"/>
              <w:jc w:val="right"/>
              <w:rPr>
                <w:rFonts w:asciiTheme="minorHAnsi" w:hAnsiTheme="minorHAnsi" w:cstheme="minorHAnsi"/>
                <w:bCs/>
                <w:sz w:val="22"/>
                <w:szCs w:val="22"/>
              </w:rPr>
            </w:pPr>
            <w:r w:rsidRPr="00023318">
              <w:rPr>
                <w:rFonts w:asciiTheme="minorHAnsi" w:hAnsiTheme="minorHAnsi"/>
                <w:color w:val="000000"/>
                <w:sz w:val="22"/>
                <w:szCs w:val="22"/>
              </w:rPr>
              <w:t xml:space="preserve">                             -   </w:t>
            </w:r>
          </w:p>
        </w:tc>
        <w:tc>
          <w:tcPr>
            <w:tcW w:w="2070" w:type="dxa"/>
            <w:shd w:val="clear" w:color="auto" w:fill="auto"/>
            <w:vAlign w:val="center"/>
            <w:hideMark/>
          </w:tcPr>
          <w:p w:rsidR="00D46561" w:rsidRPr="00D46561"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b/>
                <w:sz w:val="22"/>
                <w:szCs w:val="22"/>
                <w:lang w:val="en-US"/>
              </w:rPr>
            </w:pPr>
            <w:r>
              <w:rPr>
                <w:rFonts w:asciiTheme="minorHAnsi" w:eastAsia="Calibri" w:hAnsiTheme="minorHAnsi" w:cstheme="minorHAnsi"/>
                <w:b/>
                <w:sz w:val="22"/>
                <w:szCs w:val="22"/>
                <w:lang w:val="en-US"/>
              </w:rPr>
              <w:t>Sub-total</w:t>
            </w:r>
          </w:p>
        </w:tc>
        <w:tc>
          <w:tcPr>
            <w:tcW w:w="2043" w:type="dxa"/>
            <w:shd w:val="clear" w:color="auto" w:fill="auto"/>
            <w:noWrap/>
            <w:vAlign w:val="center"/>
            <w:hideMark/>
          </w:tcPr>
          <w:p w:rsidR="00D46561" w:rsidRPr="00A70631" w:rsidRDefault="00023318">
            <w:pPr>
              <w:spacing w:before="0" w:line="240" w:lineRule="auto"/>
              <w:jc w:val="right"/>
              <w:rPr>
                <w:rFonts w:asciiTheme="minorHAnsi" w:hAnsiTheme="minorHAnsi" w:cstheme="minorHAnsi"/>
                <w:b/>
                <w:sz w:val="22"/>
                <w:szCs w:val="22"/>
              </w:rPr>
            </w:pPr>
            <w:r w:rsidRPr="00023318">
              <w:rPr>
                <w:rFonts w:asciiTheme="minorHAnsi" w:hAnsiTheme="minorHAnsi"/>
                <w:b/>
                <w:color w:val="000000"/>
                <w:sz w:val="22"/>
                <w:szCs w:val="22"/>
              </w:rPr>
              <w:t xml:space="preserve">                2,123.02 </w:t>
            </w:r>
          </w:p>
        </w:tc>
        <w:tc>
          <w:tcPr>
            <w:tcW w:w="2070" w:type="dxa"/>
            <w:shd w:val="clear" w:color="auto" w:fill="auto"/>
            <w:vAlign w:val="center"/>
            <w:hideMark/>
          </w:tcPr>
          <w:p w:rsidR="00D741AB" w:rsidRPr="00A70631" w:rsidRDefault="00023318">
            <w:pPr>
              <w:spacing w:before="0" w:line="240" w:lineRule="auto"/>
              <w:jc w:val="right"/>
              <w:rPr>
                <w:rFonts w:asciiTheme="minorHAnsi" w:hAnsiTheme="minorHAnsi" w:cs="Calibri"/>
                <w:b/>
                <w:color w:val="000000"/>
                <w:sz w:val="22"/>
                <w:szCs w:val="22"/>
              </w:rPr>
            </w:pPr>
            <w:r w:rsidRPr="00023318">
              <w:rPr>
                <w:rFonts w:asciiTheme="minorHAnsi" w:hAnsiTheme="minorHAnsi"/>
                <w:b/>
                <w:color w:val="000000"/>
                <w:sz w:val="22"/>
                <w:szCs w:val="22"/>
              </w:rPr>
              <w:t xml:space="preserve">                2,164.79</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sz w:val="22"/>
                <w:szCs w:val="22"/>
                <w:lang w:val="en-US"/>
              </w:rPr>
            </w:pPr>
            <w:r>
              <w:rPr>
                <w:rFonts w:asciiTheme="minorHAnsi" w:eastAsia="Calibri" w:hAnsiTheme="minorHAnsi" w:cstheme="minorHAnsi"/>
                <w:sz w:val="22"/>
                <w:szCs w:val="22"/>
                <w:lang w:val="en-US"/>
              </w:rPr>
              <w:t>Extra state &amp; Bulk</w:t>
            </w:r>
          </w:p>
        </w:tc>
        <w:tc>
          <w:tcPr>
            <w:tcW w:w="2043" w:type="dxa"/>
            <w:shd w:val="clear" w:color="auto" w:fill="auto"/>
            <w:noWrap/>
            <w:vAlign w:val="center"/>
            <w:hideMark/>
          </w:tcPr>
          <w:p w:rsidR="00D46561" w:rsidRPr="00A70631" w:rsidRDefault="00023318">
            <w:pPr>
              <w:spacing w:before="0" w:line="240" w:lineRule="auto"/>
              <w:jc w:val="right"/>
              <w:rPr>
                <w:rFonts w:asciiTheme="minorHAnsi" w:hAnsiTheme="minorHAnsi" w:cstheme="minorHAnsi"/>
                <w:b/>
                <w:bCs/>
                <w:sz w:val="22"/>
                <w:szCs w:val="22"/>
              </w:rPr>
            </w:pPr>
            <w:r w:rsidRPr="00023318">
              <w:rPr>
                <w:rFonts w:asciiTheme="minorHAnsi" w:hAnsiTheme="minorHAnsi"/>
                <w:b/>
                <w:color w:val="000000"/>
                <w:sz w:val="22"/>
                <w:szCs w:val="22"/>
              </w:rPr>
              <w:t xml:space="preserve">                             -   </w:t>
            </w:r>
          </w:p>
        </w:tc>
        <w:tc>
          <w:tcPr>
            <w:tcW w:w="2070" w:type="dxa"/>
            <w:shd w:val="clear" w:color="auto" w:fill="auto"/>
            <w:vAlign w:val="center"/>
            <w:hideMark/>
          </w:tcPr>
          <w:p w:rsidR="00D46561" w:rsidRPr="00A70631" w:rsidRDefault="00023318">
            <w:pPr>
              <w:spacing w:before="0" w:line="240" w:lineRule="auto"/>
              <w:jc w:val="right"/>
              <w:rPr>
                <w:rFonts w:asciiTheme="minorHAnsi" w:hAnsiTheme="minorHAnsi" w:cs="Calibri"/>
                <w:b/>
                <w:color w:val="000000"/>
                <w:sz w:val="22"/>
                <w:szCs w:val="22"/>
              </w:rPr>
            </w:pPr>
            <w:r w:rsidRPr="00023318">
              <w:rPr>
                <w:rFonts w:asciiTheme="minorHAnsi" w:hAnsiTheme="minorHAnsi"/>
                <w:b/>
                <w:color w:val="000000"/>
                <w:sz w:val="22"/>
                <w:szCs w:val="22"/>
              </w:rPr>
              <w:t xml:space="preserve">                             -   </w:t>
            </w:r>
          </w:p>
        </w:tc>
      </w:tr>
      <w:tr w:rsidR="00D46561" w:rsidRPr="00D46561" w:rsidTr="00E7728F">
        <w:trPr>
          <w:cantSplit/>
          <w:trHeight w:val="77"/>
          <w:jc w:val="center"/>
        </w:trPr>
        <w:tc>
          <w:tcPr>
            <w:tcW w:w="3382" w:type="dxa"/>
            <w:shd w:val="clear" w:color="auto" w:fill="auto"/>
            <w:noWrap/>
            <w:vAlign w:val="center"/>
            <w:hideMark/>
          </w:tcPr>
          <w:p w:rsidR="00023318" w:rsidRDefault="00C45328" w:rsidP="00023318">
            <w:pPr>
              <w:spacing w:before="0" w:line="240" w:lineRule="auto"/>
              <w:jc w:val="left"/>
              <w:rPr>
                <w:rFonts w:asciiTheme="minorHAnsi" w:hAnsiTheme="minorHAnsi" w:cstheme="minorHAnsi"/>
                <w:b/>
                <w:sz w:val="22"/>
                <w:szCs w:val="22"/>
                <w:lang w:val="en-US"/>
              </w:rPr>
            </w:pPr>
            <w:r>
              <w:rPr>
                <w:rFonts w:asciiTheme="minorHAnsi" w:eastAsia="Calibri" w:hAnsiTheme="minorHAnsi" w:cstheme="minorHAnsi"/>
                <w:b/>
                <w:sz w:val="22"/>
                <w:szCs w:val="22"/>
                <w:lang w:val="en-US"/>
              </w:rPr>
              <w:t>Total</w:t>
            </w:r>
          </w:p>
        </w:tc>
        <w:tc>
          <w:tcPr>
            <w:tcW w:w="2043" w:type="dxa"/>
            <w:shd w:val="clear" w:color="auto" w:fill="auto"/>
            <w:noWrap/>
            <w:vAlign w:val="center"/>
            <w:hideMark/>
          </w:tcPr>
          <w:p w:rsidR="00D46561" w:rsidRPr="00A70631" w:rsidRDefault="00023318">
            <w:pPr>
              <w:spacing w:before="0" w:line="240" w:lineRule="auto"/>
              <w:jc w:val="right"/>
              <w:rPr>
                <w:rFonts w:asciiTheme="minorHAnsi" w:hAnsiTheme="minorHAnsi" w:cstheme="minorHAnsi"/>
                <w:b/>
                <w:sz w:val="22"/>
                <w:szCs w:val="22"/>
              </w:rPr>
            </w:pPr>
            <w:r w:rsidRPr="00023318">
              <w:rPr>
                <w:rFonts w:asciiTheme="minorHAnsi" w:hAnsiTheme="minorHAnsi"/>
                <w:b/>
                <w:color w:val="000000"/>
                <w:sz w:val="22"/>
                <w:szCs w:val="22"/>
              </w:rPr>
              <w:t xml:space="preserve">                2,123.02 </w:t>
            </w:r>
          </w:p>
        </w:tc>
        <w:tc>
          <w:tcPr>
            <w:tcW w:w="2070" w:type="dxa"/>
            <w:shd w:val="clear" w:color="auto" w:fill="auto"/>
            <w:vAlign w:val="center"/>
            <w:hideMark/>
          </w:tcPr>
          <w:p w:rsidR="00D741AB" w:rsidRPr="00A70631" w:rsidRDefault="00023318">
            <w:pPr>
              <w:spacing w:before="0" w:line="240" w:lineRule="auto"/>
              <w:jc w:val="right"/>
              <w:rPr>
                <w:rFonts w:asciiTheme="minorHAnsi" w:hAnsiTheme="minorHAnsi" w:cs="Calibri"/>
                <w:b/>
                <w:color w:val="000000"/>
                <w:sz w:val="22"/>
                <w:szCs w:val="22"/>
              </w:rPr>
            </w:pPr>
            <w:r w:rsidRPr="00023318">
              <w:rPr>
                <w:rFonts w:asciiTheme="minorHAnsi" w:hAnsiTheme="minorHAnsi"/>
                <w:b/>
                <w:color w:val="000000"/>
                <w:sz w:val="22"/>
                <w:szCs w:val="22"/>
              </w:rPr>
              <w:t xml:space="preserve">                2,164.79</w:t>
            </w:r>
          </w:p>
        </w:tc>
      </w:tr>
    </w:tbl>
    <w:p w:rsidR="00023318" w:rsidRDefault="00C34658" w:rsidP="00023318">
      <w:pPr>
        <w:tabs>
          <w:tab w:val="left" w:pos="270"/>
          <w:tab w:val="left" w:pos="864"/>
        </w:tabs>
        <w:spacing w:before="0"/>
        <w:ind w:left="270"/>
        <w:outlineLvl w:val="2"/>
        <w:rPr>
          <w:rFonts w:cs="Arial"/>
          <w:bCs/>
          <w:i/>
          <w:szCs w:val="26"/>
        </w:rPr>
      </w:pPr>
      <w:r w:rsidRPr="00C60AD1">
        <w:rPr>
          <w:rFonts w:cs="Arial"/>
          <w:b/>
          <w:bCs/>
          <w:i/>
          <w:sz w:val="22"/>
          <w:szCs w:val="26"/>
        </w:rPr>
        <w:lastRenderedPageBreak/>
        <w:t>Note:</w:t>
      </w:r>
      <w:r w:rsidRPr="00C60AD1">
        <w:rPr>
          <w:rFonts w:cs="Arial"/>
          <w:bCs/>
          <w:i/>
          <w:sz w:val="22"/>
          <w:szCs w:val="26"/>
        </w:rPr>
        <w:t xml:space="preserve"> Revenue at approved tariffs depicted in the table above have been considered effective for </w:t>
      </w:r>
      <w:r w:rsidR="001035D2">
        <w:rPr>
          <w:rFonts w:cs="Arial"/>
          <w:bCs/>
          <w:i/>
          <w:sz w:val="22"/>
          <w:szCs w:val="26"/>
        </w:rPr>
        <w:t>8</w:t>
      </w:r>
      <w:r w:rsidRPr="00C60AD1">
        <w:rPr>
          <w:rFonts w:cs="Arial"/>
          <w:bCs/>
          <w:i/>
          <w:sz w:val="22"/>
          <w:szCs w:val="26"/>
        </w:rPr>
        <w:t xml:space="preserve"> months in FY </w:t>
      </w:r>
      <w:r>
        <w:rPr>
          <w:rFonts w:cs="Arial"/>
          <w:bCs/>
          <w:i/>
          <w:sz w:val="22"/>
          <w:szCs w:val="26"/>
        </w:rPr>
        <w:t>2016-17</w:t>
      </w:r>
      <w:r w:rsidRPr="00C60AD1">
        <w:rPr>
          <w:rFonts w:cs="Arial"/>
          <w:bCs/>
          <w:i/>
          <w:sz w:val="22"/>
          <w:szCs w:val="26"/>
        </w:rPr>
        <w:t>.</w:t>
      </w:r>
    </w:p>
    <w:p w:rsidR="00C34658" w:rsidRDefault="00C34658" w:rsidP="00C34658">
      <w:pPr>
        <w:pStyle w:val="Heading4"/>
        <w:numPr>
          <w:ilvl w:val="0"/>
          <w:numId w:val="0"/>
        </w:numPr>
        <w:spacing w:before="0"/>
        <w:jc w:val="right"/>
      </w:pPr>
    </w:p>
    <w:p w:rsidR="00C34658" w:rsidRPr="00C60AD1" w:rsidRDefault="00C34658" w:rsidP="00BA3941">
      <w:pPr>
        <w:pStyle w:val="Heading2"/>
        <w:numPr>
          <w:ilvl w:val="1"/>
          <w:numId w:val="14"/>
        </w:numPr>
      </w:pPr>
      <w:bookmarkStart w:id="1367" w:name="_Toc455417474"/>
      <w:bookmarkStart w:id="1368" w:name="_Toc455486992"/>
      <w:bookmarkStart w:id="1369" w:name="_Toc455487291"/>
      <w:bookmarkStart w:id="1370" w:name="_Toc455487658"/>
      <w:bookmarkStart w:id="1371" w:name="_Toc455494085"/>
      <w:bookmarkStart w:id="1372" w:name="_Toc455494385"/>
      <w:bookmarkStart w:id="1373" w:name="_Toc455494682"/>
      <w:bookmarkStart w:id="1374" w:name="_Toc455496410"/>
      <w:bookmarkStart w:id="1375" w:name="_Toc455507129"/>
      <w:bookmarkStart w:id="1376" w:name="_Toc455507426"/>
      <w:bookmarkStart w:id="1377" w:name="_Toc455575071"/>
      <w:bookmarkStart w:id="1378" w:name="_Toc455673682"/>
      <w:bookmarkStart w:id="1379" w:name="_Toc356322612"/>
      <w:bookmarkStart w:id="1380" w:name="_Toc357718679"/>
      <w:bookmarkStart w:id="1381" w:name="_Toc396573852"/>
      <w:bookmarkStart w:id="1382" w:name="_Toc419992307"/>
      <w:bookmarkStart w:id="1383" w:name="_Toc453367629"/>
      <w:bookmarkStart w:id="1384" w:name="_Toc457355505"/>
      <w:bookmarkEnd w:id="1367"/>
      <w:bookmarkEnd w:id="1368"/>
      <w:bookmarkEnd w:id="1369"/>
      <w:bookmarkEnd w:id="1370"/>
      <w:bookmarkEnd w:id="1371"/>
      <w:bookmarkEnd w:id="1372"/>
      <w:bookmarkEnd w:id="1373"/>
      <w:bookmarkEnd w:id="1374"/>
      <w:bookmarkEnd w:id="1375"/>
      <w:bookmarkEnd w:id="1376"/>
      <w:bookmarkEnd w:id="1377"/>
      <w:bookmarkEnd w:id="1378"/>
      <w:r w:rsidRPr="00C60AD1">
        <w:t>APPROVED ARR SUMMARY, REVENUE FROM TARIFFS AND RESULTANT GAP</w:t>
      </w:r>
      <w:bookmarkEnd w:id="1379"/>
      <w:bookmarkEnd w:id="1380"/>
      <w:bookmarkEnd w:id="1381"/>
      <w:bookmarkEnd w:id="1382"/>
      <w:bookmarkEnd w:id="1383"/>
      <w:bookmarkEnd w:id="1384"/>
    </w:p>
    <w:p w:rsidR="00023318" w:rsidRDefault="00C34658" w:rsidP="00023318">
      <w:pPr>
        <w:pStyle w:val="Heading3"/>
        <w:tabs>
          <w:tab w:val="clear" w:pos="720"/>
        </w:tabs>
        <w:spacing w:after="240"/>
        <w:ind w:left="993" w:hanging="993"/>
      </w:pPr>
      <w:bookmarkStart w:id="1385" w:name="_Toc357349107"/>
      <w:bookmarkStart w:id="1386" w:name="_Toc357356166"/>
      <w:r w:rsidRPr="00C60AD1">
        <w:t xml:space="preserve">In the preceding Sections, the Commission has detailed the expenses submitted by the Petitioner and that approved by the Commission under various heads for FY </w:t>
      </w:r>
      <w:r>
        <w:t>2016-17</w:t>
      </w:r>
      <w:r w:rsidRPr="00C60AD1">
        <w:t xml:space="preserve">. The Commission has also approved the revenue from existing tariffs and revenue from revised tariffs. </w:t>
      </w:r>
    </w:p>
    <w:p w:rsidR="005E05AA" w:rsidRPr="004F705F" w:rsidRDefault="00C34658" w:rsidP="004F705F">
      <w:pPr>
        <w:pStyle w:val="Heading3"/>
        <w:tabs>
          <w:tab w:val="clear" w:pos="720"/>
        </w:tabs>
        <w:spacing w:after="240"/>
        <w:ind w:left="993" w:hanging="993"/>
      </w:pPr>
      <w:r w:rsidRPr="00C60AD1">
        <w:t xml:space="preserve">The Commission has assessed the ARR for FY </w:t>
      </w:r>
      <w:r>
        <w:t>2016-17</w:t>
      </w:r>
      <w:r w:rsidRPr="00C60AD1">
        <w:t xml:space="preserve"> on standalone basis. Based on the above, the approved ARR and the revenue from tariffs for FY </w:t>
      </w:r>
      <w:r>
        <w:t>2016-17</w:t>
      </w:r>
      <w:r w:rsidRPr="00C60AD1">
        <w:t xml:space="preserve"> are summarized in the Table below:</w:t>
      </w:r>
      <w:bookmarkStart w:id="1387" w:name="_Toc338310722"/>
      <w:bookmarkStart w:id="1388" w:name="_Toc338419552"/>
      <w:bookmarkStart w:id="1389" w:name="_Toc357718761"/>
      <w:bookmarkStart w:id="1390" w:name="_Toc395657983"/>
      <w:bookmarkStart w:id="1391" w:name="_Toc396574035"/>
      <w:bookmarkStart w:id="1392" w:name="_Toc419992330"/>
      <w:bookmarkStart w:id="1393" w:name="_Toc453367712"/>
      <w:bookmarkEnd w:id="1385"/>
      <w:bookmarkEnd w:id="1386"/>
    </w:p>
    <w:p w:rsidR="00C34658" w:rsidRPr="004F705F" w:rsidRDefault="00C34658" w:rsidP="00C34658">
      <w:pPr>
        <w:spacing w:before="0" w:line="240" w:lineRule="auto"/>
        <w:jc w:val="center"/>
        <w:rPr>
          <w:rFonts w:cstheme="minorHAnsi"/>
          <w:b/>
          <w:sz w:val="22"/>
        </w:rPr>
      </w:pPr>
      <w:bookmarkStart w:id="1394" w:name="_Toc457355653"/>
      <w:r w:rsidRPr="004F705F">
        <w:rPr>
          <w:rFonts w:cstheme="minorHAnsi"/>
          <w:b/>
          <w:sz w:val="22"/>
        </w:rPr>
        <w:t xml:space="preserve">Table </w:t>
      </w:r>
      <w:r w:rsidR="004A2D9E" w:rsidRPr="004F705F">
        <w:rPr>
          <w:rFonts w:cstheme="minorHAnsi"/>
          <w:b/>
          <w:sz w:val="22"/>
        </w:rPr>
        <w:fldChar w:fldCharType="begin"/>
      </w:r>
      <w:r w:rsidRPr="004F705F">
        <w:rPr>
          <w:rFonts w:cstheme="minorHAnsi"/>
          <w:b/>
          <w:sz w:val="22"/>
        </w:rPr>
        <w:instrText xml:space="preserve"> STYLEREF 1 \s </w:instrText>
      </w:r>
      <w:r w:rsidR="004A2D9E" w:rsidRPr="004F705F">
        <w:rPr>
          <w:rFonts w:cstheme="minorHAnsi"/>
          <w:b/>
          <w:sz w:val="22"/>
        </w:rPr>
        <w:fldChar w:fldCharType="separate"/>
      </w:r>
      <w:r w:rsidR="0011185B" w:rsidRPr="004F705F">
        <w:rPr>
          <w:rFonts w:cstheme="minorHAnsi"/>
          <w:b/>
          <w:noProof/>
          <w:sz w:val="22"/>
        </w:rPr>
        <w:t>5</w:t>
      </w:r>
      <w:r w:rsidR="004A2D9E" w:rsidRPr="004F705F">
        <w:rPr>
          <w:rFonts w:cstheme="minorHAnsi"/>
          <w:b/>
          <w:sz w:val="22"/>
        </w:rPr>
        <w:fldChar w:fldCharType="end"/>
      </w:r>
      <w:r w:rsidRPr="004F705F">
        <w:rPr>
          <w:rFonts w:cstheme="minorHAnsi"/>
          <w:b/>
          <w:sz w:val="22"/>
        </w:rPr>
        <w:noBreakHyphen/>
      </w:r>
      <w:r w:rsidR="004A2D9E" w:rsidRPr="004F705F">
        <w:rPr>
          <w:rFonts w:cstheme="minorHAnsi"/>
          <w:b/>
          <w:sz w:val="22"/>
        </w:rPr>
        <w:fldChar w:fldCharType="begin"/>
      </w:r>
      <w:r w:rsidRPr="004F705F">
        <w:rPr>
          <w:rFonts w:cstheme="minorHAnsi"/>
          <w:b/>
          <w:sz w:val="22"/>
        </w:rPr>
        <w:instrText xml:space="preserve"> SEQ Table \* ARABIC \s 1 </w:instrText>
      </w:r>
      <w:r w:rsidR="004A2D9E" w:rsidRPr="004F705F">
        <w:rPr>
          <w:rFonts w:cstheme="minorHAnsi"/>
          <w:b/>
          <w:sz w:val="22"/>
        </w:rPr>
        <w:fldChar w:fldCharType="separate"/>
      </w:r>
      <w:r w:rsidR="0011185B" w:rsidRPr="004F705F">
        <w:rPr>
          <w:rFonts w:cstheme="minorHAnsi"/>
          <w:b/>
          <w:noProof/>
          <w:sz w:val="22"/>
        </w:rPr>
        <w:t>29</w:t>
      </w:r>
      <w:r w:rsidR="004A2D9E" w:rsidRPr="004F705F">
        <w:rPr>
          <w:rFonts w:cstheme="minorHAnsi"/>
          <w:b/>
          <w:sz w:val="22"/>
        </w:rPr>
        <w:fldChar w:fldCharType="end"/>
      </w:r>
      <w:r w:rsidRPr="004F705F">
        <w:rPr>
          <w:rFonts w:cstheme="minorHAnsi"/>
          <w:b/>
          <w:sz w:val="22"/>
        </w:rPr>
        <w:t>: ARR, REVENUE AND GAP SUMMARY FOR FY 2016-17 (Rs. Crore)</w:t>
      </w:r>
      <w:bookmarkEnd w:id="1387"/>
      <w:bookmarkEnd w:id="1388"/>
      <w:bookmarkEnd w:id="1389"/>
      <w:bookmarkEnd w:id="1390"/>
      <w:bookmarkEnd w:id="1391"/>
      <w:bookmarkEnd w:id="1392"/>
      <w:bookmarkEnd w:id="1393"/>
      <w:bookmarkEnd w:id="1394"/>
    </w:p>
    <w:tbl>
      <w:tblPr>
        <w:tblW w:w="5000" w:type="pct"/>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958"/>
        <w:gridCol w:w="1541"/>
        <w:gridCol w:w="1386"/>
      </w:tblGrid>
      <w:tr w:rsidR="00C34658" w:rsidRPr="0099674E" w:rsidTr="0099674E">
        <w:trPr>
          <w:trHeight w:val="600"/>
          <w:tblHeader/>
        </w:trPr>
        <w:tc>
          <w:tcPr>
            <w:tcW w:w="3353"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br w:type="page"/>
              <w:t>Particulars</w:t>
            </w:r>
          </w:p>
        </w:tc>
        <w:tc>
          <w:tcPr>
            <w:tcW w:w="867"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Petition</w:t>
            </w:r>
          </w:p>
        </w:tc>
        <w:tc>
          <w:tcPr>
            <w:tcW w:w="780" w:type="pct"/>
            <w:shd w:val="clear" w:color="000000" w:fill="DBE5F1"/>
            <w:hideMark/>
          </w:tcPr>
          <w:p w:rsidR="003267CD" w:rsidRDefault="00027D0D">
            <w:pPr>
              <w:spacing w:before="0" w:line="240" w:lineRule="auto"/>
              <w:jc w:val="center"/>
              <w:rPr>
                <w:rFonts w:asciiTheme="minorHAnsi" w:hAnsiTheme="minorHAnsi"/>
                <w:b/>
                <w:sz w:val="22"/>
                <w:szCs w:val="22"/>
              </w:rPr>
            </w:pPr>
            <w:r>
              <w:rPr>
                <w:rFonts w:asciiTheme="minorHAnsi" w:hAnsiTheme="minorHAnsi"/>
                <w:b/>
                <w:sz w:val="22"/>
                <w:szCs w:val="22"/>
              </w:rPr>
              <w:t>FY 2016-17 (Approved)</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rPr>
            </w:pPr>
            <w:r w:rsidRPr="007132A6">
              <w:rPr>
                <w:rFonts w:asciiTheme="minorHAnsi" w:hAnsiTheme="minorHAnsi"/>
                <w:sz w:val="22"/>
              </w:rPr>
              <w:t>Power Purchase Expenses (including PGCIL charges)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1866.26</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1803.23</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Transmission Charges - Intra state (including SLDC Charges)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 xml:space="preserve">81.36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68.58 </w:t>
            </w:r>
          </w:p>
        </w:tc>
      </w:tr>
      <w:tr w:rsidR="00460BF7" w:rsidRPr="0099674E" w:rsidTr="00C364DA">
        <w:trPr>
          <w:trHeight w:val="300"/>
        </w:trPr>
        <w:tc>
          <w:tcPr>
            <w:tcW w:w="3353" w:type="pct"/>
            <w:shd w:val="clear" w:color="auto" w:fill="auto"/>
            <w:vAlign w:val="center"/>
            <w:hideMark/>
          </w:tcPr>
          <w:p w:rsidR="00023318" w:rsidRDefault="00460BF7" w:rsidP="00023318">
            <w:pPr>
              <w:spacing w:before="0" w:line="240" w:lineRule="auto"/>
              <w:rPr>
                <w:rFonts w:asciiTheme="minorHAnsi" w:hAnsiTheme="minorHAnsi"/>
                <w:b/>
                <w:sz w:val="22"/>
                <w:szCs w:val="18"/>
              </w:rPr>
            </w:pPr>
            <w:r w:rsidRPr="007132A6">
              <w:rPr>
                <w:rFonts w:asciiTheme="minorHAnsi" w:hAnsiTheme="minorHAnsi"/>
                <w:b/>
                <w:sz w:val="22"/>
              </w:rPr>
              <w:t>Gross O&amp;M Expenses</w:t>
            </w:r>
          </w:p>
        </w:tc>
        <w:tc>
          <w:tcPr>
            <w:tcW w:w="867" w:type="pct"/>
            <w:shd w:val="clear" w:color="auto" w:fill="auto"/>
            <w:noWrap/>
            <w:vAlign w:val="center"/>
            <w:hideMark/>
          </w:tcPr>
          <w:p w:rsidR="00460BF7" w:rsidRPr="003E08D9" w:rsidRDefault="00023318" w:rsidP="00C364DA">
            <w:pPr>
              <w:spacing w:before="0" w:line="240" w:lineRule="auto"/>
              <w:jc w:val="right"/>
              <w:rPr>
                <w:rFonts w:asciiTheme="minorHAnsi" w:hAnsiTheme="minorHAnsi" w:cs="Calibri"/>
                <w:b/>
                <w:sz w:val="22"/>
                <w:szCs w:val="22"/>
              </w:rPr>
            </w:pPr>
            <w:r w:rsidRPr="00023318">
              <w:rPr>
                <w:rFonts w:asciiTheme="minorHAnsi" w:hAnsiTheme="minorHAnsi"/>
                <w:b/>
                <w:color w:val="000000"/>
                <w:sz w:val="22"/>
                <w:szCs w:val="22"/>
              </w:rPr>
              <w:t>233.16</w:t>
            </w:r>
          </w:p>
        </w:tc>
        <w:tc>
          <w:tcPr>
            <w:tcW w:w="780" w:type="pct"/>
            <w:shd w:val="clear" w:color="auto" w:fill="auto"/>
            <w:noWrap/>
            <w:vAlign w:val="center"/>
            <w:hideMark/>
          </w:tcPr>
          <w:p w:rsidR="00460BF7" w:rsidRPr="003E08D9" w:rsidRDefault="00023318" w:rsidP="00C364DA">
            <w:pPr>
              <w:spacing w:before="0" w:line="240" w:lineRule="auto"/>
              <w:jc w:val="right"/>
              <w:rPr>
                <w:rFonts w:asciiTheme="minorHAnsi" w:hAnsiTheme="minorHAnsi" w:cs="Calibri"/>
                <w:b/>
                <w:sz w:val="22"/>
                <w:szCs w:val="22"/>
              </w:rPr>
            </w:pPr>
            <w:r w:rsidRPr="00023318">
              <w:rPr>
                <w:rFonts w:asciiTheme="minorHAnsi" w:hAnsiTheme="minorHAnsi"/>
                <w:b/>
                <w:color w:val="000000"/>
                <w:sz w:val="22"/>
                <w:szCs w:val="22"/>
              </w:rPr>
              <w:t>206.79</w:t>
            </w:r>
          </w:p>
        </w:tc>
      </w:tr>
      <w:tr w:rsidR="00C364DA" w:rsidRPr="0099674E" w:rsidTr="00C364DA">
        <w:trPr>
          <w:trHeight w:val="215"/>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Gross Employee cost</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 xml:space="preserve">118.77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141.19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Gross A&amp;G expenses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61.33</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9.18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Gross R&amp;M expenses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53.05</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56.42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Gross Interest &amp; Finance charges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 xml:space="preserve">59.30 </w:t>
            </w:r>
          </w:p>
        </w:tc>
        <w:tc>
          <w:tcPr>
            <w:tcW w:w="780" w:type="pct"/>
            <w:shd w:val="clear" w:color="auto" w:fill="auto"/>
            <w:noWrap/>
            <w:vAlign w:val="center"/>
            <w:hideMark/>
          </w:tcPr>
          <w:p w:rsidR="00D741AB" w:rsidRDefault="00023318">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51.3</w:t>
            </w:r>
            <w:r w:rsidR="008D4699">
              <w:rPr>
                <w:rFonts w:asciiTheme="minorHAnsi" w:hAnsiTheme="minorHAnsi" w:cs="Arial"/>
                <w:sz w:val="22"/>
                <w:szCs w:val="22"/>
              </w:rPr>
              <w:t>2</w:t>
            </w:r>
            <w:r w:rsidRPr="00023318">
              <w:rPr>
                <w:rFonts w:asciiTheme="minorHAnsi" w:hAnsiTheme="minorHAnsi" w:cs="Arial"/>
                <w:sz w:val="22"/>
                <w:szCs w:val="22"/>
              </w:rPr>
              <w:t xml:space="preserve">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Depreciation</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47.38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33.06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Total Expenditure</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2,287.46 </w:t>
            </w:r>
          </w:p>
        </w:tc>
        <w:tc>
          <w:tcPr>
            <w:tcW w:w="780" w:type="pct"/>
            <w:shd w:val="clear" w:color="auto" w:fill="auto"/>
            <w:noWrap/>
            <w:vAlign w:val="center"/>
            <w:hideMark/>
          </w:tcPr>
          <w:p w:rsidR="00D741AB" w:rsidRDefault="00023318">
            <w:pPr>
              <w:spacing w:before="0" w:line="240" w:lineRule="auto"/>
              <w:jc w:val="right"/>
              <w:rPr>
                <w:rFonts w:asciiTheme="minorHAnsi" w:hAnsiTheme="minorHAnsi"/>
                <w:b/>
                <w:bCs/>
                <w:color w:val="000000"/>
                <w:sz w:val="22"/>
                <w:szCs w:val="22"/>
              </w:rPr>
            </w:pPr>
            <w:r w:rsidRPr="00023318">
              <w:rPr>
                <w:rFonts w:asciiTheme="minorHAnsi" w:hAnsiTheme="minorHAnsi" w:cs="Arial"/>
                <w:b/>
                <w:bCs/>
                <w:color w:val="000000"/>
                <w:sz w:val="22"/>
                <w:szCs w:val="22"/>
              </w:rPr>
              <w:t>2,16</w:t>
            </w:r>
            <w:r w:rsidR="008D4699">
              <w:rPr>
                <w:rFonts w:asciiTheme="minorHAnsi" w:hAnsiTheme="minorHAnsi" w:cs="Arial"/>
                <w:b/>
                <w:bCs/>
                <w:color w:val="000000"/>
                <w:sz w:val="22"/>
                <w:szCs w:val="22"/>
              </w:rPr>
              <w:t>2.98</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Expense capitalization</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41.31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25.00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Net Expenditure</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2,246.15 </w:t>
            </w:r>
          </w:p>
        </w:tc>
        <w:tc>
          <w:tcPr>
            <w:tcW w:w="780" w:type="pct"/>
            <w:shd w:val="clear" w:color="auto" w:fill="auto"/>
            <w:noWrap/>
            <w:vAlign w:val="center"/>
            <w:hideMark/>
          </w:tcPr>
          <w:p w:rsidR="00D741AB" w:rsidRDefault="00023318">
            <w:pPr>
              <w:spacing w:before="0" w:line="240" w:lineRule="auto"/>
              <w:jc w:val="right"/>
              <w:rPr>
                <w:rFonts w:asciiTheme="minorHAnsi" w:hAnsiTheme="minorHAnsi"/>
                <w:b/>
                <w:bCs/>
                <w:color w:val="000000"/>
                <w:sz w:val="22"/>
                <w:szCs w:val="22"/>
              </w:rPr>
            </w:pPr>
            <w:r w:rsidRPr="00023318">
              <w:rPr>
                <w:rFonts w:asciiTheme="minorHAnsi" w:hAnsiTheme="minorHAnsi" w:cs="Arial"/>
                <w:b/>
                <w:bCs/>
                <w:color w:val="000000"/>
                <w:sz w:val="22"/>
                <w:szCs w:val="22"/>
              </w:rPr>
              <w:t>2,13</w:t>
            </w:r>
            <w:r w:rsidR="008D4699">
              <w:rPr>
                <w:rFonts w:asciiTheme="minorHAnsi" w:hAnsiTheme="minorHAnsi" w:cs="Arial"/>
                <w:b/>
                <w:bCs/>
                <w:color w:val="000000"/>
                <w:sz w:val="22"/>
                <w:szCs w:val="22"/>
              </w:rPr>
              <w:t>7.98</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Special Appropriations</w:t>
            </w:r>
          </w:p>
        </w:tc>
        <w:tc>
          <w:tcPr>
            <w:tcW w:w="867" w:type="pct"/>
            <w:shd w:val="clear" w:color="auto" w:fill="auto"/>
            <w:vAlign w:val="center"/>
            <w:hideMark/>
          </w:tcPr>
          <w:p w:rsidR="00C364DA" w:rsidRPr="00C364DA" w:rsidRDefault="00C364DA" w:rsidP="00C364DA">
            <w:pPr>
              <w:spacing w:before="0" w:line="240" w:lineRule="auto"/>
              <w:jc w:val="right"/>
              <w:rPr>
                <w:rFonts w:asciiTheme="minorHAnsi" w:hAnsiTheme="minorHAnsi" w:cs="Calibri"/>
                <w:b/>
                <w:bCs/>
                <w:sz w:val="22"/>
                <w:szCs w:val="22"/>
              </w:rPr>
            </w:pPr>
          </w:p>
        </w:tc>
        <w:tc>
          <w:tcPr>
            <w:tcW w:w="780" w:type="pct"/>
            <w:shd w:val="clear" w:color="auto" w:fill="auto"/>
            <w:noWrap/>
            <w:vAlign w:val="center"/>
            <w:hideMark/>
          </w:tcPr>
          <w:p w:rsidR="00C364DA" w:rsidRPr="00C364DA" w:rsidRDefault="00C364DA" w:rsidP="00C364DA">
            <w:pPr>
              <w:spacing w:before="0" w:line="240" w:lineRule="auto"/>
              <w:jc w:val="right"/>
              <w:rPr>
                <w:rFonts w:asciiTheme="minorHAnsi" w:hAnsiTheme="minorHAnsi" w:cs="Calibri"/>
                <w:color w:val="000000"/>
                <w:sz w:val="22"/>
                <w:szCs w:val="22"/>
              </w:rPr>
            </w:pP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Provision for Bad &amp; Doubtful debts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20.34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0.00</w:t>
            </w:r>
          </w:p>
        </w:tc>
      </w:tr>
      <w:tr w:rsidR="00C364DA" w:rsidTr="00C364DA">
        <w:trPr>
          <w:trHeight w:val="503"/>
        </w:trPr>
        <w:tc>
          <w:tcPr>
            <w:tcW w:w="3353" w:type="pct"/>
            <w:shd w:val="clear" w:color="auto" w:fill="auto"/>
            <w:vAlign w:val="center"/>
            <w:hideMark/>
          </w:tcPr>
          <w:p w:rsidR="00023318" w:rsidRDefault="00C364DA" w:rsidP="00023318">
            <w:pPr>
              <w:spacing w:before="0" w:line="240" w:lineRule="auto"/>
              <w:rPr>
                <w:rFonts w:asciiTheme="minorHAnsi" w:hAnsiTheme="minorHAnsi"/>
                <w:sz w:val="22"/>
              </w:rPr>
            </w:pPr>
            <w:r w:rsidRPr="007132A6">
              <w:rPr>
                <w:rFonts w:asciiTheme="minorHAnsi" w:hAnsiTheme="minorHAnsi"/>
                <w:sz w:val="22"/>
              </w:rPr>
              <w:t>Apportionment of O&amp;M Expenses &amp; Interest &amp; Finance Charges of UPPCL</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6.06</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sz w:val="22"/>
                <w:szCs w:val="22"/>
              </w:rPr>
            </w:pPr>
            <w:r w:rsidRPr="00023318">
              <w:rPr>
                <w:rFonts w:asciiTheme="minorHAnsi" w:hAnsiTheme="minorHAnsi" w:cs="Arial"/>
                <w:sz w:val="22"/>
                <w:szCs w:val="22"/>
              </w:rPr>
              <w:t>0.00</w:t>
            </w:r>
          </w:p>
        </w:tc>
      </w:tr>
      <w:tr w:rsidR="00C364DA" w:rsidRPr="0099674E" w:rsidTr="00C364DA">
        <w:trPr>
          <w:trHeight w:val="251"/>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Total net expenditure with provisions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2,272.55 </w:t>
            </w:r>
          </w:p>
        </w:tc>
        <w:tc>
          <w:tcPr>
            <w:tcW w:w="780" w:type="pct"/>
            <w:shd w:val="clear" w:color="auto" w:fill="auto"/>
            <w:noWrap/>
            <w:vAlign w:val="center"/>
            <w:hideMark/>
          </w:tcPr>
          <w:p w:rsidR="00D741AB" w:rsidRDefault="00023318">
            <w:pPr>
              <w:spacing w:before="0" w:line="240" w:lineRule="auto"/>
              <w:jc w:val="right"/>
              <w:rPr>
                <w:rFonts w:asciiTheme="minorHAnsi" w:hAnsiTheme="minorHAnsi"/>
                <w:b/>
                <w:bCs/>
                <w:color w:val="000000"/>
                <w:sz w:val="22"/>
                <w:szCs w:val="22"/>
              </w:rPr>
            </w:pPr>
            <w:r w:rsidRPr="00023318">
              <w:rPr>
                <w:rFonts w:asciiTheme="minorHAnsi" w:hAnsiTheme="minorHAnsi" w:cs="Arial"/>
                <w:b/>
                <w:bCs/>
                <w:color w:val="000000"/>
                <w:sz w:val="22"/>
                <w:szCs w:val="22"/>
              </w:rPr>
              <w:t>2,13</w:t>
            </w:r>
            <w:r w:rsidR="008D4699">
              <w:rPr>
                <w:rFonts w:asciiTheme="minorHAnsi" w:hAnsiTheme="minorHAnsi" w:cs="Arial"/>
                <w:b/>
                <w:bCs/>
                <w:color w:val="000000"/>
                <w:sz w:val="22"/>
                <w:szCs w:val="22"/>
              </w:rPr>
              <w:t>7.98</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Add: Return on Equity</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0</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0</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Less: Non Tariff Income</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7.39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color w:val="000000"/>
                <w:sz w:val="22"/>
                <w:szCs w:val="22"/>
              </w:rPr>
            </w:pPr>
            <w:r w:rsidRPr="00023318">
              <w:rPr>
                <w:rFonts w:asciiTheme="minorHAnsi" w:hAnsiTheme="minorHAnsi" w:cs="Arial"/>
                <w:sz w:val="22"/>
                <w:szCs w:val="22"/>
              </w:rPr>
              <w:t xml:space="preserve">7.39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Annual Revenue Requirement (ARR)</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
                <w:bCs/>
                <w:color w:val="000000"/>
                <w:sz w:val="22"/>
                <w:szCs w:val="22"/>
              </w:rPr>
            </w:pPr>
            <w:r w:rsidRPr="00023318">
              <w:rPr>
                <w:rFonts w:asciiTheme="minorHAnsi" w:hAnsiTheme="minorHAnsi" w:cs="Arial"/>
                <w:b/>
                <w:bCs/>
                <w:color w:val="000000"/>
                <w:sz w:val="22"/>
                <w:szCs w:val="22"/>
              </w:rPr>
              <w:t xml:space="preserve">2,265.16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b/>
                <w:bCs/>
                <w:color w:val="000000"/>
                <w:sz w:val="22"/>
                <w:szCs w:val="22"/>
              </w:rPr>
            </w:pPr>
            <w:r w:rsidRPr="00023318">
              <w:rPr>
                <w:rFonts w:asciiTheme="minorHAnsi" w:hAnsiTheme="minorHAnsi" w:cs="Arial"/>
                <w:b/>
                <w:bCs/>
                <w:color w:val="000000"/>
                <w:sz w:val="22"/>
                <w:szCs w:val="22"/>
              </w:rPr>
              <w:t>2,130.</w:t>
            </w:r>
            <w:r w:rsidR="008D4699">
              <w:rPr>
                <w:rFonts w:asciiTheme="minorHAnsi" w:hAnsiTheme="minorHAnsi" w:cs="Arial"/>
                <w:b/>
                <w:bCs/>
                <w:color w:val="000000"/>
                <w:sz w:val="22"/>
                <w:szCs w:val="22"/>
              </w:rPr>
              <w:t>59</w:t>
            </w:r>
            <w:r w:rsidRPr="00023318">
              <w:rPr>
                <w:rFonts w:asciiTheme="minorHAnsi" w:hAnsiTheme="minorHAnsi" w:cs="Arial"/>
                <w:b/>
                <w:bCs/>
                <w:color w:val="000000"/>
                <w:sz w:val="22"/>
                <w:szCs w:val="22"/>
              </w:rPr>
              <w:t xml:space="preserve">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Total Revenue Requirement</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s="Calibri"/>
                <w:bCs/>
                <w:color w:val="000000"/>
                <w:sz w:val="22"/>
                <w:szCs w:val="22"/>
              </w:rPr>
            </w:pPr>
            <w:r w:rsidRPr="00023318">
              <w:rPr>
                <w:rFonts w:asciiTheme="minorHAnsi" w:hAnsiTheme="minorHAnsi" w:cs="Arial"/>
                <w:b/>
                <w:bCs/>
                <w:color w:val="000000"/>
                <w:sz w:val="22"/>
                <w:szCs w:val="22"/>
              </w:rPr>
              <w:t xml:space="preserve">2,265.16 </w:t>
            </w:r>
          </w:p>
        </w:tc>
        <w:tc>
          <w:tcPr>
            <w:tcW w:w="780" w:type="pct"/>
            <w:shd w:val="clear" w:color="auto" w:fill="auto"/>
            <w:noWrap/>
            <w:vAlign w:val="center"/>
            <w:hideMark/>
          </w:tcPr>
          <w:p w:rsidR="00D741AB" w:rsidRDefault="00023318">
            <w:pPr>
              <w:spacing w:before="0" w:line="240" w:lineRule="auto"/>
              <w:jc w:val="right"/>
              <w:rPr>
                <w:rFonts w:asciiTheme="minorHAnsi" w:hAnsiTheme="minorHAnsi"/>
                <w:b/>
                <w:bCs/>
                <w:color w:val="000000"/>
                <w:sz w:val="22"/>
                <w:szCs w:val="22"/>
              </w:rPr>
            </w:pPr>
            <w:r w:rsidRPr="00023318">
              <w:rPr>
                <w:rFonts w:asciiTheme="minorHAnsi" w:hAnsiTheme="minorHAnsi" w:cs="Arial"/>
                <w:b/>
                <w:bCs/>
                <w:color w:val="000000"/>
                <w:sz w:val="22"/>
                <w:szCs w:val="22"/>
              </w:rPr>
              <w:t>2,130.</w:t>
            </w:r>
            <w:r w:rsidR="008D4699">
              <w:rPr>
                <w:rFonts w:asciiTheme="minorHAnsi" w:hAnsiTheme="minorHAnsi" w:cs="Arial"/>
                <w:b/>
                <w:bCs/>
                <w:color w:val="000000"/>
                <w:sz w:val="22"/>
                <w:szCs w:val="22"/>
              </w:rPr>
              <w:t>59</w:t>
            </w:r>
            <w:r w:rsidRPr="00023318">
              <w:rPr>
                <w:rFonts w:asciiTheme="minorHAnsi" w:hAnsiTheme="minorHAnsi" w:cs="Arial"/>
                <w:b/>
                <w:bCs/>
                <w:color w:val="000000"/>
                <w:sz w:val="22"/>
                <w:szCs w:val="22"/>
              </w:rPr>
              <w:t xml:space="preserve"> </w:t>
            </w:r>
          </w:p>
        </w:tc>
      </w:tr>
      <w:tr w:rsidR="00C364DA" w:rsidRPr="0099674E" w:rsidTr="00C364DA">
        <w:trPr>
          <w:trHeight w:val="332"/>
        </w:trPr>
        <w:tc>
          <w:tcPr>
            <w:tcW w:w="3353" w:type="pct"/>
            <w:shd w:val="clear" w:color="auto" w:fill="auto"/>
            <w:vAlign w:val="center"/>
            <w:hideMark/>
          </w:tcPr>
          <w:p w:rsidR="00023318" w:rsidRDefault="00C364DA" w:rsidP="00023318">
            <w:pPr>
              <w:spacing w:before="0" w:line="240" w:lineRule="auto"/>
              <w:rPr>
                <w:rFonts w:asciiTheme="minorHAnsi" w:hAnsiTheme="minorHAnsi"/>
                <w:sz w:val="22"/>
                <w:szCs w:val="18"/>
              </w:rPr>
            </w:pPr>
            <w:r w:rsidRPr="007132A6">
              <w:rPr>
                <w:rFonts w:asciiTheme="minorHAnsi" w:hAnsiTheme="minorHAnsi"/>
                <w:sz w:val="22"/>
              </w:rPr>
              <w:t>Revenue at existing tariffs</w:t>
            </w:r>
          </w:p>
        </w:tc>
        <w:tc>
          <w:tcPr>
            <w:tcW w:w="867" w:type="pct"/>
            <w:shd w:val="clear" w:color="auto" w:fill="auto"/>
            <w:noWrap/>
            <w:vAlign w:val="center"/>
            <w:hideMark/>
          </w:tcPr>
          <w:p w:rsidR="00C364DA" w:rsidRPr="00C364DA" w:rsidRDefault="00023318" w:rsidP="00C364DA">
            <w:pPr>
              <w:spacing w:before="0" w:line="240" w:lineRule="auto"/>
              <w:jc w:val="right"/>
              <w:rPr>
                <w:rFonts w:asciiTheme="minorHAnsi" w:hAnsiTheme="minorHAnsi"/>
                <w:sz w:val="22"/>
                <w:szCs w:val="22"/>
              </w:rPr>
            </w:pPr>
            <w:r w:rsidRPr="00023318">
              <w:rPr>
                <w:rFonts w:asciiTheme="minorHAnsi" w:hAnsiTheme="minorHAnsi" w:cs="Arial"/>
                <w:sz w:val="22"/>
                <w:szCs w:val="22"/>
              </w:rPr>
              <w:t xml:space="preserve">2,142.03 </w:t>
            </w:r>
          </w:p>
        </w:tc>
        <w:tc>
          <w:tcPr>
            <w:tcW w:w="780" w:type="pct"/>
            <w:shd w:val="clear" w:color="auto" w:fill="auto"/>
            <w:noWrap/>
            <w:vAlign w:val="center"/>
            <w:hideMark/>
          </w:tcPr>
          <w:p w:rsidR="00C364DA" w:rsidRPr="00C364DA" w:rsidRDefault="00023318" w:rsidP="00C364DA">
            <w:pPr>
              <w:spacing w:before="0" w:line="240" w:lineRule="auto"/>
              <w:jc w:val="right"/>
              <w:rPr>
                <w:rFonts w:asciiTheme="minorHAnsi" w:hAnsiTheme="minorHAnsi"/>
                <w:color w:val="000000"/>
                <w:sz w:val="22"/>
                <w:szCs w:val="22"/>
              </w:rPr>
            </w:pPr>
            <w:r w:rsidRPr="00023318">
              <w:rPr>
                <w:rFonts w:asciiTheme="minorHAnsi" w:hAnsiTheme="minorHAnsi" w:cs="Arial"/>
                <w:sz w:val="22"/>
                <w:szCs w:val="22"/>
              </w:rPr>
              <w:t xml:space="preserve">2,123.02 </w:t>
            </w:r>
          </w:p>
        </w:tc>
      </w:tr>
      <w:tr w:rsidR="00C364DA" w:rsidRPr="0099674E" w:rsidTr="00C364DA">
        <w:trPr>
          <w:trHeight w:val="300"/>
        </w:trPr>
        <w:tc>
          <w:tcPr>
            <w:tcW w:w="3353" w:type="pct"/>
            <w:shd w:val="clear" w:color="auto" w:fill="auto"/>
            <w:vAlign w:val="center"/>
            <w:hideMark/>
          </w:tcPr>
          <w:p w:rsidR="00023318" w:rsidRDefault="00C364DA" w:rsidP="00023318">
            <w:pPr>
              <w:spacing w:before="0" w:line="240" w:lineRule="auto"/>
              <w:rPr>
                <w:rFonts w:asciiTheme="minorHAnsi" w:hAnsiTheme="minorHAnsi"/>
                <w:b/>
                <w:sz w:val="22"/>
                <w:szCs w:val="18"/>
              </w:rPr>
            </w:pPr>
            <w:r w:rsidRPr="007132A6">
              <w:rPr>
                <w:rFonts w:asciiTheme="minorHAnsi" w:hAnsiTheme="minorHAnsi"/>
                <w:b/>
                <w:sz w:val="22"/>
              </w:rPr>
              <w:t>Net Gap / (Surplus) at Existing Tariff</w:t>
            </w:r>
          </w:p>
        </w:tc>
        <w:tc>
          <w:tcPr>
            <w:tcW w:w="867" w:type="pct"/>
            <w:shd w:val="clear" w:color="auto" w:fill="auto"/>
            <w:noWrap/>
            <w:vAlign w:val="center"/>
            <w:hideMark/>
          </w:tcPr>
          <w:p w:rsidR="00D741AB" w:rsidRDefault="00023318">
            <w:pPr>
              <w:spacing w:before="0" w:line="240" w:lineRule="auto"/>
              <w:jc w:val="right"/>
              <w:rPr>
                <w:rFonts w:asciiTheme="minorHAnsi" w:hAnsiTheme="minorHAnsi" w:cs="Calibri"/>
                <w:b/>
                <w:bCs/>
                <w:color w:val="000000"/>
                <w:sz w:val="22"/>
                <w:szCs w:val="22"/>
              </w:rPr>
            </w:pPr>
            <w:r w:rsidRPr="00023318">
              <w:rPr>
                <w:rFonts w:asciiTheme="minorHAnsi" w:hAnsiTheme="minorHAnsi" w:cs="Arial"/>
                <w:b/>
                <w:color w:val="000000"/>
                <w:sz w:val="22"/>
                <w:szCs w:val="22"/>
              </w:rPr>
              <w:t>123.13</w:t>
            </w:r>
          </w:p>
        </w:tc>
        <w:tc>
          <w:tcPr>
            <w:tcW w:w="780" w:type="pct"/>
            <w:shd w:val="clear" w:color="auto" w:fill="auto"/>
            <w:noWrap/>
            <w:vAlign w:val="center"/>
            <w:hideMark/>
          </w:tcPr>
          <w:p w:rsidR="00C364DA" w:rsidRPr="00C364DA" w:rsidRDefault="008D4699" w:rsidP="00C364DA">
            <w:pPr>
              <w:spacing w:before="0" w:line="240" w:lineRule="auto"/>
              <w:jc w:val="right"/>
              <w:rPr>
                <w:rFonts w:asciiTheme="minorHAnsi" w:hAnsiTheme="minorHAnsi"/>
                <w:b/>
                <w:color w:val="000000"/>
                <w:sz w:val="22"/>
                <w:szCs w:val="22"/>
              </w:rPr>
            </w:pPr>
            <w:r>
              <w:rPr>
                <w:rFonts w:asciiTheme="minorHAnsi" w:hAnsiTheme="minorHAnsi" w:cs="Arial"/>
                <w:b/>
                <w:bCs/>
                <w:color w:val="000000"/>
                <w:sz w:val="22"/>
                <w:szCs w:val="22"/>
              </w:rPr>
              <w:t>7.57</w:t>
            </w:r>
          </w:p>
        </w:tc>
      </w:tr>
    </w:tbl>
    <w:p w:rsidR="007132A6" w:rsidRDefault="007132A6" w:rsidP="007132A6">
      <w:pPr>
        <w:pStyle w:val="Heading3"/>
        <w:numPr>
          <w:ilvl w:val="0"/>
          <w:numId w:val="0"/>
        </w:numPr>
        <w:tabs>
          <w:tab w:val="clear" w:pos="720"/>
        </w:tabs>
        <w:spacing w:before="0"/>
        <w:ind w:left="993"/>
      </w:pPr>
    </w:p>
    <w:p w:rsidR="00023318" w:rsidRDefault="00C34658" w:rsidP="00023318">
      <w:pPr>
        <w:pStyle w:val="Heading3"/>
        <w:tabs>
          <w:tab w:val="clear" w:pos="720"/>
        </w:tabs>
        <w:spacing w:before="0" w:after="240"/>
        <w:ind w:left="993" w:hanging="993"/>
      </w:pPr>
      <w:r w:rsidRPr="00C60AD1">
        <w:lastRenderedPageBreak/>
        <w:t>Treatment of the above approved revenue gap / (surplus) has been discussed subsequently in this Order.</w:t>
      </w:r>
    </w:p>
    <w:p w:rsidR="00023318" w:rsidRDefault="00C34658" w:rsidP="00023318">
      <w:pPr>
        <w:pStyle w:val="Heading1"/>
        <w:rPr>
          <w:rFonts w:asciiTheme="minorHAnsi" w:hAnsiTheme="minorHAnsi" w:cstheme="minorHAnsi"/>
        </w:rPr>
      </w:pPr>
      <w:r w:rsidRPr="00C60AD1">
        <w:br w:type="page"/>
      </w:r>
      <w:bookmarkStart w:id="1395" w:name="_Toc399320592"/>
      <w:bookmarkStart w:id="1396" w:name="_Toc399623751"/>
      <w:bookmarkStart w:id="1397" w:name="_Toc422012099"/>
      <w:bookmarkStart w:id="1398" w:name="_Toc422311066"/>
      <w:bookmarkStart w:id="1399" w:name="_Toc457355506"/>
      <w:bookmarkStart w:id="1400" w:name="_Toc422311075"/>
      <w:bookmarkStart w:id="1401" w:name="_Toc399320605"/>
      <w:bookmarkStart w:id="1402" w:name="_Toc399623764"/>
      <w:bookmarkStart w:id="1403" w:name="_Toc453367640"/>
      <w:r w:rsidR="00F51A9D" w:rsidRPr="001C25B2">
        <w:rPr>
          <w:rFonts w:asciiTheme="minorHAnsi" w:hAnsiTheme="minorHAnsi" w:cstheme="minorHAnsi"/>
        </w:rPr>
        <w:lastRenderedPageBreak/>
        <w:t>OPEN ACCESS CHARGES</w:t>
      </w:r>
      <w:bookmarkEnd w:id="1395"/>
      <w:bookmarkEnd w:id="1396"/>
      <w:bookmarkEnd w:id="1397"/>
      <w:bookmarkEnd w:id="1398"/>
      <w:bookmarkEnd w:id="1399"/>
    </w:p>
    <w:p w:rsidR="00F51A9D" w:rsidRPr="004F705F" w:rsidRDefault="00F51A9D" w:rsidP="00EC6AAC">
      <w:pPr>
        <w:pStyle w:val="Heading2"/>
        <w:numPr>
          <w:ilvl w:val="1"/>
          <w:numId w:val="115"/>
        </w:numPr>
        <w:tabs>
          <w:tab w:val="num" w:pos="360"/>
        </w:tabs>
        <w:spacing w:after="120"/>
        <w:rPr>
          <w:rFonts w:cs="Calibri"/>
        </w:rPr>
      </w:pPr>
      <w:bookmarkStart w:id="1404" w:name="_Toc397332165"/>
      <w:bookmarkStart w:id="1405" w:name="_Toc399320593"/>
      <w:bookmarkStart w:id="1406" w:name="_Toc399623752"/>
      <w:bookmarkStart w:id="1407" w:name="_Toc422012100"/>
      <w:bookmarkStart w:id="1408" w:name="_Toc422311067"/>
      <w:bookmarkStart w:id="1409" w:name="_Toc457355507"/>
      <w:r w:rsidRPr="004F705F">
        <w:rPr>
          <w:rFonts w:cs="Calibri"/>
        </w:rPr>
        <w:t>BACKGROUND:</w:t>
      </w:r>
      <w:bookmarkEnd w:id="1404"/>
      <w:bookmarkEnd w:id="1405"/>
      <w:bookmarkEnd w:id="1406"/>
      <w:bookmarkEnd w:id="1407"/>
      <w:bookmarkEnd w:id="1408"/>
      <w:bookmarkEnd w:id="1409"/>
      <w:r w:rsidRPr="004F705F">
        <w:rPr>
          <w:rFonts w:cs="Calibri"/>
        </w:rPr>
        <w:t xml:space="preserve"> </w:t>
      </w:r>
    </w:p>
    <w:p w:rsidR="00F51A9D" w:rsidRDefault="00F51A9D" w:rsidP="00F51A9D">
      <w:pPr>
        <w:pStyle w:val="Heading2"/>
        <w:numPr>
          <w:ilvl w:val="0"/>
          <w:numId w:val="0"/>
        </w:numPr>
        <w:tabs>
          <w:tab w:val="num" w:pos="360"/>
        </w:tabs>
        <w:spacing w:after="120"/>
        <w:ind w:left="780"/>
        <w:rPr>
          <w:rFonts w:cs="Calibri"/>
        </w:rPr>
      </w:pPr>
    </w:p>
    <w:p w:rsidR="00023318" w:rsidRDefault="00F51A9D" w:rsidP="00023318">
      <w:pPr>
        <w:pStyle w:val="Heading3"/>
        <w:tabs>
          <w:tab w:val="clear" w:pos="720"/>
        </w:tabs>
        <w:spacing w:after="240"/>
        <w:ind w:left="993" w:hanging="993"/>
        <w:rPr>
          <w:rFonts w:asciiTheme="minorHAnsi" w:hAnsiTheme="minorHAnsi"/>
          <w:bCs w:val="0"/>
          <w:szCs w:val="24"/>
        </w:rPr>
      </w:pPr>
      <w:r w:rsidRPr="001C25B2">
        <w:t>The Commission has issued Uttar Pradesh Electricity Regulatory Commission (Terms and Conditions for Open Access) Regulations, 2004</w:t>
      </w:r>
      <w:r>
        <w:t xml:space="preserve"> </w:t>
      </w:r>
      <w:r w:rsidRPr="0003150E">
        <w:rPr>
          <w:rFonts w:asciiTheme="minorHAnsi" w:hAnsiTheme="minorHAnsi"/>
          <w:szCs w:val="24"/>
        </w:rPr>
        <w:t>(in short ‘UPERC Open Access Regulations’) vide notification no. UPERC/Secy./Regulations/05-249 dated 7</w:t>
      </w:r>
      <w:r w:rsidRPr="0003150E">
        <w:rPr>
          <w:rFonts w:asciiTheme="minorHAnsi" w:hAnsiTheme="minorHAnsi"/>
          <w:szCs w:val="24"/>
          <w:vertAlign w:val="superscript"/>
        </w:rPr>
        <w:t>th</w:t>
      </w:r>
      <w:r w:rsidRPr="0003150E">
        <w:rPr>
          <w:rFonts w:asciiTheme="minorHAnsi" w:hAnsiTheme="minorHAnsi"/>
          <w:szCs w:val="24"/>
        </w:rPr>
        <w:t xml:space="preserve"> June, 2005 to operationalize long term and short term open access in the State. The Regulations also provides that effective from 1</w:t>
      </w:r>
      <w:r w:rsidRPr="0003150E">
        <w:rPr>
          <w:rFonts w:asciiTheme="minorHAnsi" w:hAnsiTheme="minorHAnsi"/>
          <w:szCs w:val="24"/>
          <w:vertAlign w:val="superscript"/>
        </w:rPr>
        <w:t>st</w:t>
      </w:r>
      <w:r w:rsidRPr="0003150E">
        <w:rPr>
          <w:rFonts w:asciiTheme="minorHAnsi" w:hAnsiTheme="minorHAnsi"/>
          <w:szCs w:val="24"/>
        </w:rPr>
        <w:t xml:space="preserve"> April, 2008 any consumer with demand of above 1 MW can avail open access of transmission and distribution systems.</w:t>
      </w:r>
    </w:p>
    <w:p w:rsidR="00023318" w:rsidRDefault="00F51A9D" w:rsidP="00023318">
      <w:pPr>
        <w:pStyle w:val="Heading3"/>
        <w:tabs>
          <w:tab w:val="clear" w:pos="720"/>
        </w:tabs>
        <w:spacing w:after="240"/>
        <w:ind w:left="993" w:hanging="993"/>
      </w:pPr>
      <w:r w:rsidRPr="0003150E">
        <w:t>Subsequently, the Commission has also made / finalized the necessary regulatory framework as below:</w:t>
      </w:r>
    </w:p>
    <w:p w:rsidR="00F51A9D" w:rsidRPr="004469B2" w:rsidRDefault="00F51A9D" w:rsidP="00BA3941">
      <w:pPr>
        <w:numPr>
          <w:ilvl w:val="1"/>
          <w:numId w:val="20"/>
        </w:numPr>
        <w:spacing w:before="0" w:after="120"/>
      </w:pPr>
      <w:r w:rsidRPr="0003150E">
        <w:t>UPERC (Terms and Conditions for Open Access) (First Amendment) Regulations, 2009 that includes among others detailed procedure(s) for Long-Term Open Access and Short-Term Open Access for use of distribution system, with or without transmission system;</w:t>
      </w:r>
    </w:p>
    <w:p w:rsidR="00F51A9D" w:rsidRPr="004469B2" w:rsidRDefault="00F51A9D" w:rsidP="00BA3941">
      <w:pPr>
        <w:numPr>
          <w:ilvl w:val="1"/>
          <w:numId w:val="20"/>
        </w:numPr>
        <w:spacing w:before="0" w:after="120"/>
      </w:pPr>
      <w:r w:rsidRPr="0003150E">
        <w:t xml:space="preserve">Model Bulk Power Wheeling Agreement (BPWA) for availing wheeling services of Distribution Licensee(s); </w:t>
      </w:r>
    </w:p>
    <w:p w:rsidR="00F51A9D" w:rsidRDefault="00F51A9D" w:rsidP="00BA3941">
      <w:pPr>
        <w:numPr>
          <w:ilvl w:val="1"/>
          <w:numId w:val="20"/>
        </w:numPr>
        <w:spacing w:before="0" w:after="120"/>
      </w:pPr>
      <w:r w:rsidRPr="0003150E">
        <w:t>Procedures for Scheduling, Dispatch, Energy Accounting, UI Accounting and Settlement System of electricity transmitted through the State grid for the electricity drawn by Distribution Licensee(s) from outside and / or within the State.</w:t>
      </w:r>
    </w:p>
    <w:p w:rsidR="00023318" w:rsidRDefault="008F078A" w:rsidP="00023318">
      <w:pPr>
        <w:pStyle w:val="Heading3"/>
        <w:tabs>
          <w:tab w:val="clear" w:pos="720"/>
        </w:tabs>
        <w:spacing w:after="240"/>
        <w:ind w:left="993" w:hanging="993"/>
      </w:pPr>
      <w:r>
        <w:t>F</w:t>
      </w:r>
      <w:r w:rsidR="00F51A9D" w:rsidRPr="0003150E">
        <w:t xml:space="preserve">urther, the Commission has also advised the SLDC to develop procedure for energy accounting of electricity drawn from the grid by an open access consumer who is connected with the distribution system or electricity injected into the grid by a generating station embedded in the distribution system. </w:t>
      </w:r>
    </w:p>
    <w:p w:rsidR="00023318" w:rsidRDefault="00F51A9D" w:rsidP="00023318">
      <w:pPr>
        <w:pStyle w:val="Heading3"/>
        <w:tabs>
          <w:tab w:val="clear" w:pos="720"/>
        </w:tabs>
        <w:spacing w:after="240"/>
        <w:ind w:left="993" w:hanging="993"/>
      </w:pPr>
      <w:r w:rsidRPr="0003150E">
        <w:t>In absence of procedures and guidelines from State Transmission Utility (in short ‘STU’) and State Load D</w:t>
      </w:r>
      <w:r w:rsidR="00E4064C">
        <w:t>i</w:t>
      </w:r>
      <w:r w:rsidRPr="0003150E">
        <w:t>spatch Centre (in short ‘SLDC’), the Commission, on its own motion, has made detailed procedures for long term and short term open access which covers all aspects, which the Regulations direct by way of an amendment. The “Uttar Pradesh Electricity Regulatory Commission (Terms and Conditions for Open Access) (First Amendment) Regulations, 2009 dated 18.6.09”, came into force from the date it is notified in the Gazette.</w:t>
      </w:r>
    </w:p>
    <w:p w:rsidR="00F51A9D" w:rsidRPr="004469B2" w:rsidRDefault="00F51A9D" w:rsidP="00F51A9D">
      <w:pPr>
        <w:spacing w:after="120"/>
        <w:ind w:left="993"/>
        <w:outlineLvl w:val="2"/>
        <w:rPr>
          <w:rFonts w:cs="Arial"/>
          <w:bCs/>
        </w:rPr>
      </w:pPr>
    </w:p>
    <w:p w:rsidR="00023318" w:rsidRDefault="00F51A9D" w:rsidP="00023318">
      <w:pPr>
        <w:pStyle w:val="Heading3"/>
        <w:tabs>
          <w:tab w:val="clear" w:pos="720"/>
        </w:tabs>
        <w:spacing w:after="240"/>
        <w:ind w:left="993" w:hanging="993"/>
      </w:pPr>
      <w:r w:rsidRPr="0003150E">
        <w:t xml:space="preserve">The said amendment, which includes procedures for Long-Term Open Access and Short-Term Open Access mainly, focuses on: </w:t>
      </w:r>
    </w:p>
    <w:p w:rsidR="00F51A9D" w:rsidRPr="004469B2" w:rsidRDefault="00F51A9D" w:rsidP="00BA3941">
      <w:pPr>
        <w:numPr>
          <w:ilvl w:val="0"/>
          <w:numId w:val="21"/>
        </w:numPr>
        <w:spacing w:before="0" w:after="120"/>
      </w:pPr>
      <w:r w:rsidRPr="0003150E">
        <w:t xml:space="preserve">Operationalisation of long-term and short-term use of intra-State transmission and distribution system by generating companies including captive plants /renewable energy plants, distribution / trading Licensees and open access customers with sustained development of transmission and distribution systems in ‘proper and coordinated’ manner for conveyance of electricity. </w:t>
      </w:r>
    </w:p>
    <w:p w:rsidR="00F51A9D" w:rsidRPr="004469B2" w:rsidRDefault="00F51A9D" w:rsidP="00BA3941">
      <w:pPr>
        <w:numPr>
          <w:ilvl w:val="0"/>
          <w:numId w:val="21"/>
        </w:numPr>
        <w:spacing w:before="0" w:after="120"/>
      </w:pPr>
      <w:r w:rsidRPr="0003150E">
        <w:t xml:space="preserve">Operationalisation of time-block wise accounting of the quantity of electricity transmitted through State grid and stating the responsibilities of STU for weekly metering and of SLDC for scheduling, dispatch and energy accounting including UI accounting. </w:t>
      </w:r>
    </w:p>
    <w:p w:rsidR="00F51A9D" w:rsidRPr="004469B2" w:rsidRDefault="00F51A9D" w:rsidP="00BA3941">
      <w:pPr>
        <w:numPr>
          <w:ilvl w:val="0"/>
          <w:numId w:val="21"/>
        </w:numPr>
        <w:spacing w:before="0" w:after="120"/>
      </w:pPr>
      <w:r w:rsidRPr="0003150E">
        <w:t xml:space="preserve">Requirement of Bulk Power Transmission Agreement for use of transmission network and Bulk Power Wheeling Agreement for use of distribution network for long-term open access transactions. </w:t>
      </w:r>
    </w:p>
    <w:p w:rsidR="00023318" w:rsidRDefault="00F51A9D" w:rsidP="00023318">
      <w:pPr>
        <w:pStyle w:val="Heading3"/>
        <w:tabs>
          <w:tab w:val="clear" w:pos="720"/>
        </w:tabs>
        <w:spacing w:after="240"/>
        <w:ind w:left="993" w:hanging="993"/>
      </w:pPr>
      <w:r w:rsidRPr="0003150E">
        <w:t xml:space="preserve">The Electricity Act, 2003 has defined the Open Access as non discriminatory provisions for use of transmission lines or distribution system or associated facilities. </w:t>
      </w:r>
      <w:r w:rsidRPr="0003150E">
        <w:rPr>
          <w:b/>
        </w:rPr>
        <w:t>Having regards to operation constraints and other relevant factors, the Commission directs that the Open Access shall be allowed by the Distribution Licensees as per the provisions outlined by the Commission in its Regulations and amendments from time to time.</w:t>
      </w:r>
    </w:p>
    <w:p w:rsidR="00023318" w:rsidRDefault="00F51A9D" w:rsidP="00023318">
      <w:pPr>
        <w:pStyle w:val="Heading3"/>
        <w:tabs>
          <w:tab w:val="clear" w:pos="720"/>
        </w:tabs>
        <w:spacing w:after="240"/>
        <w:ind w:left="993" w:hanging="993"/>
      </w:pPr>
      <w:r w:rsidRPr="0003150E">
        <w:t xml:space="preserve">The Commission has finalized the model Bulk Power Transmission Agreement (BPTA) and Supplementary BPTA for availing transmission services of UPPTCL. </w:t>
      </w:r>
    </w:p>
    <w:p w:rsidR="00023318" w:rsidRDefault="00F51A9D" w:rsidP="00023318">
      <w:pPr>
        <w:pStyle w:val="Heading3"/>
        <w:tabs>
          <w:tab w:val="clear" w:pos="720"/>
        </w:tabs>
        <w:spacing w:after="240"/>
        <w:ind w:left="993" w:hanging="993"/>
      </w:pPr>
      <w:r w:rsidRPr="0003150E">
        <w:t>The Commission has also finalized model Bulk Power Wheeling Agreement (BPWA) which is to be signed between a Distribution Licensee and long term customer to agree therein, inter alia, to make payment of wheeling charge, surcharge and additional surcharge, if any, for use of the distribution system.</w:t>
      </w:r>
    </w:p>
    <w:p w:rsidR="00B05011" w:rsidRDefault="00F51A9D">
      <w:pPr>
        <w:pStyle w:val="Heading3"/>
        <w:tabs>
          <w:tab w:val="clear" w:pos="720"/>
        </w:tabs>
        <w:spacing w:after="240"/>
        <w:ind w:left="993" w:hanging="993"/>
      </w:pPr>
      <w:r>
        <w:t>Further, the Commission in its Order dated November 3, 2015  in the matter of review Petition filed by M/s Rimjhim</w:t>
      </w:r>
      <w:r w:rsidR="00A70631">
        <w:t xml:space="preserve"> </w:t>
      </w:r>
      <w:r>
        <w:t xml:space="preserve">Ispat Limited had held that  provisions made in the Tariff  Orders  for  FY  2014-15  &amp; FY  2015-16  regarding  open  access  cross  subsidy surcharge has failed in operationalization of open access in the State despite power prices  being  low  in the power  exchanges. So, to </w:t>
      </w:r>
      <w:r>
        <w:lastRenderedPageBreak/>
        <w:t>promote open access in the State, the Commission directed that provisions regarding open access surcharge made in the Tariff Orders for FY 2014-15 and FY 2015-16 be kept in abeyance and also directed that all open  access  consumers  may  be  levied  the  cross  subsidy  surcharge  as  per  rates approved  in  the  Tariff  Order  for  FY  2013-14. In the said Order the Commission said to revisit the issue of Cross Subsidy Surcharge in its next Tariff Order i.e. FY 2016-17. The relevant extract of the same has been reproduced below:</w:t>
      </w:r>
    </w:p>
    <w:p w:rsidR="00D66C42" w:rsidRDefault="00F51A9D">
      <w:pPr>
        <w:spacing w:after="120"/>
        <w:ind w:left="1440"/>
        <w:outlineLvl w:val="2"/>
        <w:rPr>
          <w:rFonts w:cs="Arial"/>
          <w:bCs/>
          <w:i/>
          <w:szCs w:val="26"/>
        </w:rPr>
      </w:pPr>
      <w:r w:rsidRPr="004469B2">
        <w:rPr>
          <w:rFonts w:cs="Arial"/>
          <w:bCs/>
          <w:i/>
          <w:szCs w:val="26"/>
        </w:rPr>
        <w:t xml:space="preserve">“The Commission in its Tariff Order dated October 1, 2014, has rightly computed the cross  subsidy  surcharge  as  per  the  relevant  provisions  of  the  Distribution  Tariff Regulations,  2006.However  the </w:t>
      </w:r>
      <w:r>
        <w:rPr>
          <w:rFonts w:cs="Arial"/>
          <w:bCs/>
          <w:i/>
          <w:szCs w:val="26"/>
        </w:rPr>
        <w:t xml:space="preserve"> Commission  realises  that  provisions  made  in  the Tariff  Orders  for  FY  2014-15  &amp;FY  2015-16  regarding  open  access  cross  subsidy surcharge has failed in operationalization of open access in the State despite power prices  being  low  in the power  exchanges.  Therefore to promote  open  access  in  the State,  the  Commission  directed  that  provisions  regarding  open  access  surcharge made  in the  Tariff  Orders  for  FY 2014-15  &amp;  FY  2015-16 be  kept  in  abeyance  and  all open  access  consumers  may  be  levied  the  cross  subsidy  surcharge  as  per  rates approved  in  the  Tariff  Orders  for  FY  2013-14  only.  The  Commission  would  be revisiting the issue of cross subsidy surcharge etc. in its next Tariff Order with a view to  promote  open  access  as  mandated  by  the  Electricity  Act,  2003.  Further  the Commission  directs  UPPCL  to  file  a  detailed  report  within  a  month  on  the  various aspects of open access and reasons why it is not being operationalized. Also UPPCL / SLDC are directed to submit within 15 days, the details of all open access consumers in the State along with the quantum of power wheeled through open access, charges levied etc. for FY 2012-13, FY 2013-14 &amp; FY 2014-15.”</w:t>
      </w:r>
    </w:p>
    <w:p w:rsidR="00023318" w:rsidRDefault="00F51A9D" w:rsidP="00023318">
      <w:pPr>
        <w:pStyle w:val="Heading3"/>
        <w:tabs>
          <w:tab w:val="clear" w:pos="720"/>
        </w:tabs>
        <w:spacing w:after="240"/>
        <w:ind w:left="993" w:hanging="993"/>
      </w:pPr>
      <w:r w:rsidRPr="00D92B03">
        <w:t>M/s Rimjhim</w:t>
      </w:r>
      <w:r w:rsidR="00F755EF">
        <w:t xml:space="preserve"> </w:t>
      </w:r>
      <w:r w:rsidRPr="00D92B03">
        <w:t xml:space="preserve">Ispat Limited </w:t>
      </w:r>
      <w:r>
        <w:t xml:space="preserve">again filed a review Petition on the Commission’s review Order dated November 3, 2015. During the proceeding in this matter, UPPCL in its letter dated February 26, 2016 submitted that sanction of Inter-Intra state open access has limitation on account of TTC / ATC (Total Transmission Capacity / Available Transmission Capacity) and UPPCL has been allowing all Intra-state open access transactions whereas Inter-state open access are not being considered due to limitation in transmission capacity at </w:t>
      </w:r>
      <w:r>
        <w:lastRenderedPageBreak/>
        <w:t>CTU- STU (C-T) periphery. The relevant extract of the same has been reproduced below:</w:t>
      </w:r>
    </w:p>
    <w:p w:rsidR="00F51A9D" w:rsidRDefault="00F51A9D" w:rsidP="00F51A9D">
      <w:pPr>
        <w:spacing w:after="120"/>
        <w:ind w:left="1440"/>
        <w:outlineLvl w:val="2"/>
        <w:rPr>
          <w:rFonts w:cs="Arial"/>
          <w:bCs/>
          <w:i/>
        </w:rPr>
      </w:pPr>
      <w:r>
        <w:rPr>
          <w:rFonts w:cs="Arial"/>
          <w:bCs/>
          <w:i/>
        </w:rPr>
        <w:t>“UPPTCL  has  allowed  all  Intra-  State  Short  Term  Open  Access  and  there  is  no limitation  on  account  of  sanction  from  UPSLDC.  However,  in  case  of  Inter- State STOAs  on  account  of  the  limitation  of  TTC  /  ATC  such  applications  are  not  being considered due  to  limitations in transmission  capability  at  CTU-STU  (C-T)  periphery. The  existing  capacity  is  fully  booked  on  account  of  long  term  commitments  of UPPTCL in accordance with their share in central sector energy projects and MTOAs, if  any  sanctioned.  Only  to  the  extent  of  non-utilization  of  allowed  capacity  for various reasons in real time on daily basis SDLC is given concurrence for Inter- Intra State  STOAs.  Currently,  on  an  average  100  numbers  per  month  STOAs  are sanctioned,  all  of  them  pertaining  to  UPPCL  and  NPCL  &amp;  have  top  most  priority  in allocation  of  surplus  capacity  over  other  consumers  being  a  distribution  licensee  of U.P. State.”</w:t>
      </w:r>
    </w:p>
    <w:p w:rsidR="00023318" w:rsidRDefault="00F51A9D" w:rsidP="00023318">
      <w:pPr>
        <w:pStyle w:val="Heading3"/>
        <w:tabs>
          <w:tab w:val="clear" w:pos="720"/>
        </w:tabs>
        <w:spacing w:after="240"/>
        <w:ind w:left="993" w:hanging="993"/>
      </w:pPr>
      <w:r>
        <w:t xml:space="preserve">The Commission has considered the submissions of UPPTCL and other stakeholders during various proceedings including Public Hearings. During the Public Hearing while addressing issues under Inter State transmission constraints UPPTCL submitted that it is going to increase its transmission capacity shortly to address this problem. In view of the above submissions the Commission has decided to withdraw its Order of abeyance as mentioned in its Order dated November 3, 2015 and has also determined the Open Access Charges for FY 2016-17  subsequently in this Order. </w:t>
      </w:r>
    </w:p>
    <w:p w:rsidR="00F51A9D" w:rsidRDefault="00F51A9D" w:rsidP="004F705F">
      <w:pPr>
        <w:spacing w:before="0"/>
        <w:ind w:left="1440"/>
        <w:outlineLvl w:val="2"/>
        <w:rPr>
          <w:rFonts w:cs="Arial"/>
          <w:bCs/>
          <w:i/>
        </w:rPr>
      </w:pPr>
    </w:p>
    <w:p w:rsidR="00F51A9D" w:rsidRPr="004469B2" w:rsidRDefault="00F51A9D" w:rsidP="004F705F">
      <w:pPr>
        <w:pStyle w:val="Heading2"/>
        <w:tabs>
          <w:tab w:val="num" w:pos="360"/>
        </w:tabs>
        <w:spacing w:before="0" w:after="120"/>
        <w:rPr>
          <w:rFonts w:cs="Calibri"/>
        </w:rPr>
      </w:pPr>
      <w:bookmarkStart w:id="1410" w:name="_Toc397332167"/>
      <w:bookmarkStart w:id="1411" w:name="_Toc399320595"/>
      <w:bookmarkStart w:id="1412" w:name="_Toc399623754"/>
      <w:bookmarkStart w:id="1413" w:name="_Toc422310080"/>
      <w:bookmarkStart w:id="1414" w:name="_Toc457355508"/>
      <w:r w:rsidRPr="0003150E">
        <w:rPr>
          <w:rFonts w:cs="Calibri"/>
        </w:rPr>
        <w:t>OPEN ACCESS CHARGES</w:t>
      </w:r>
      <w:bookmarkEnd w:id="1410"/>
      <w:bookmarkEnd w:id="1411"/>
      <w:bookmarkEnd w:id="1412"/>
      <w:bookmarkEnd w:id="1413"/>
      <w:bookmarkEnd w:id="1414"/>
    </w:p>
    <w:p w:rsidR="00023318" w:rsidRDefault="00F51A9D" w:rsidP="00023318">
      <w:pPr>
        <w:pStyle w:val="Heading3"/>
        <w:tabs>
          <w:tab w:val="clear" w:pos="720"/>
        </w:tabs>
        <w:spacing w:after="240"/>
        <w:ind w:left="993" w:hanging="993"/>
      </w:pPr>
      <w:r>
        <w:t>The Commission in the Tariff Order for UPPTCL has determined the Transmission Charges payable by Open Access users for use of UPPTCL transmission network for transmission of electricity. Similarly, the Commission in this Order has also determined the wheeling charges payable by the Open Access users for utilising the distribution network of the Distribution Licensees for wheeling of electricity.</w:t>
      </w:r>
    </w:p>
    <w:p w:rsidR="00023318" w:rsidRDefault="00023318" w:rsidP="00023318">
      <w:pPr>
        <w:pStyle w:val="Heading3"/>
        <w:numPr>
          <w:ilvl w:val="0"/>
          <w:numId w:val="0"/>
        </w:numPr>
        <w:tabs>
          <w:tab w:val="clear" w:pos="720"/>
        </w:tabs>
        <w:spacing w:after="240"/>
        <w:ind w:left="993"/>
      </w:pPr>
    </w:p>
    <w:p w:rsidR="00023318" w:rsidRDefault="00023318" w:rsidP="00023318">
      <w:pPr>
        <w:pStyle w:val="Heading3"/>
        <w:numPr>
          <w:ilvl w:val="0"/>
          <w:numId w:val="0"/>
        </w:numPr>
        <w:tabs>
          <w:tab w:val="clear" w:pos="720"/>
        </w:tabs>
        <w:spacing w:after="240"/>
        <w:ind w:left="993"/>
      </w:pPr>
    </w:p>
    <w:p w:rsidR="00F51A9D" w:rsidRPr="004469B2" w:rsidRDefault="00F51A9D" w:rsidP="00BA3941">
      <w:pPr>
        <w:pStyle w:val="Heading2"/>
        <w:tabs>
          <w:tab w:val="num" w:pos="360"/>
        </w:tabs>
        <w:spacing w:after="120"/>
        <w:rPr>
          <w:rFonts w:cs="Calibri"/>
        </w:rPr>
      </w:pPr>
      <w:bookmarkStart w:id="1415" w:name="_Toc397332168"/>
      <w:bookmarkStart w:id="1416" w:name="_Toc399320596"/>
      <w:bookmarkStart w:id="1417" w:name="_Toc399623755"/>
      <w:bookmarkStart w:id="1418" w:name="_Toc422310081"/>
      <w:bookmarkStart w:id="1419" w:name="_Toc457355509"/>
      <w:r w:rsidRPr="0003150E">
        <w:rPr>
          <w:rFonts w:cs="Calibri"/>
        </w:rPr>
        <w:lastRenderedPageBreak/>
        <w:t>WHEELING CHARGES</w:t>
      </w:r>
      <w:bookmarkEnd w:id="1415"/>
      <w:bookmarkEnd w:id="1416"/>
      <w:bookmarkEnd w:id="1417"/>
      <w:bookmarkEnd w:id="1418"/>
      <w:bookmarkEnd w:id="1419"/>
    </w:p>
    <w:p w:rsidR="00023318" w:rsidRDefault="00F51A9D" w:rsidP="00023318">
      <w:pPr>
        <w:pStyle w:val="Heading3"/>
        <w:tabs>
          <w:tab w:val="clear" w:pos="720"/>
        </w:tabs>
        <w:spacing w:after="240"/>
        <w:ind w:left="993" w:hanging="993"/>
      </w:pPr>
      <w:r>
        <w:t>Clauses 2.1 (2) and (3) of the Distribution Tariff Regulations, 2006 specify that the ARR / Tariff filing by the Distribution Licensee shall separately indicate Aggregate Revenue Requirement (ARR) for Wheeling function and Retail Supply function embedded in the distribution function and that till such time complete segregation of accounts between Wheeling and Retail Supply function takes place, ARR proposals for Wheeling and Retail Supply function shall be submitted on the basis of an allocation statement to be prepared by the Distribution Licensee based on their best judgment.</w:t>
      </w:r>
    </w:p>
    <w:p w:rsidR="00023318" w:rsidRDefault="00F51A9D" w:rsidP="00023318">
      <w:pPr>
        <w:pStyle w:val="Heading3"/>
        <w:tabs>
          <w:tab w:val="clear" w:pos="720"/>
        </w:tabs>
        <w:spacing w:after="240"/>
        <w:ind w:left="993" w:hanging="993"/>
      </w:pPr>
      <w:r>
        <w:t>The Licensee, in its Petition, has followed the allocation in accordance with the approach followed by the Commission in the previous Order. As there is no basis submitted by the Licensee in its filing, the Commission finds merit in considering the allocation into Retail Supply and Wheeling Function as per the methodology adopted in the previous Tariff Order. The allocation of ARR for KESCO into wheeling function and retail function as approved by the Commission for FY 2016-17 is as shown in the Table below:</w:t>
      </w:r>
    </w:p>
    <w:p w:rsidR="00F51A9D" w:rsidRPr="004F705F" w:rsidRDefault="00F51A9D" w:rsidP="00F51A9D">
      <w:pPr>
        <w:ind w:left="720"/>
        <w:jc w:val="center"/>
        <w:rPr>
          <w:b/>
          <w:sz w:val="22"/>
        </w:rPr>
      </w:pPr>
      <w:bookmarkStart w:id="1420" w:name="_Toc399324266"/>
      <w:bookmarkStart w:id="1421" w:name="_Toc399624137"/>
      <w:bookmarkStart w:id="1422" w:name="_Toc422309971"/>
      <w:bookmarkStart w:id="1423" w:name="_Toc457355654"/>
      <w:r w:rsidRPr="004F705F">
        <w:rPr>
          <w:b/>
          <w:sz w:val="22"/>
        </w:rPr>
        <w:t>Table</w:t>
      </w:r>
      <w:r w:rsidR="00BE5FBE" w:rsidRPr="004F705F">
        <w:rPr>
          <w:b/>
          <w:sz w:val="22"/>
        </w:rPr>
        <w:t xml:space="preserve"> 6</w:t>
      </w:r>
      <w:r w:rsidRPr="004F705F">
        <w:rPr>
          <w:b/>
          <w:sz w:val="22"/>
        </w:rPr>
        <w:noBreakHyphen/>
      </w:r>
      <w:r w:rsidR="004A2D9E" w:rsidRPr="004F705F">
        <w:rPr>
          <w:b/>
          <w:sz w:val="22"/>
        </w:rPr>
        <w:fldChar w:fldCharType="begin"/>
      </w:r>
      <w:r w:rsidRPr="004F705F">
        <w:rPr>
          <w:b/>
          <w:sz w:val="22"/>
        </w:rPr>
        <w:instrText xml:space="preserve"> SEQ Table \* ARABIC \s 1 </w:instrText>
      </w:r>
      <w:r w:rsidR="004A2D9E" w:rsidRPr="004F705F">
        <w:rPr>
          <w:b/>
          <w:sz w:val="22"/>
        </w:rPr>
        <w:fldChar w:fldCharType="separate"/>
      </w:r>
      <w:r w:rsidR="0011185B" w:rsidRPr="004F705F">
        <w:rPr>
          <w:b/>
          <w:noProof/>
          <w:sz w:val="22"/>
        </w:rPr>
        <w:t>1</w:t>
      </w:r>
      <w:r w:rsidR="004A2D9E" w:rsidRPr="004F705F">
        <w:rPr>
          <w:b/>
          <w:sz w:val="22"/>
        </w:rPr>
        <w:fldChar w:fldCharType="end"/>
      </w:r>
      <w:r w:rsidRPr="004F705F">
        <w:rPr>
          <w:b/>
          <w:sz w:val="22"/>
        </w:rPr>
        <w:t>: WHEELING &amp; RETAIL SUPPLY ARR FOR FY 2016-17 (Rs. Crore)</w:t>
      </w:r>
      <w:bookmarkEnd w:id="1420"/>
      <w:bookmarkEnd w:id="1421"/>
      <w:bookmarkEnd w:id="1422"/>
      <w:bookmarkEnd w:id="1423"/>
    </w:p>
    <w:tbl>
      <w:tblPr>
        <w:tblW w:w="10082" w:type="dxa"/>
        <w:jc w:val="center"/>
        <w:tblInd w:w="103" w:type="dxa"/>
        <w:tblLayout w:type="fixed"/>
        <w:tblLook w:val="04A0"/>
      </w:tblPr>
      <w:tblGrid>
        <w:gridCol w:w="4377"/>
        <w:gridCol w:w="1093"/>
        <w:gridCol w:w="864"/>
        <w:gridCol w:w="1165"/>
        <w:gridCol w:w="1412"/>
        <w:gridCol w:w="1171"/>
      </w:tblGrid>
      <w:tr w:rsidR="00F51A9D" w:rsidRPr="00F51A9D" w:rsidTr="00F51A9D">
        <w:trPr>
          <w:trHeight w:val="225"/>
          <w:tblHeader/>
          <w:jc w:val="center"/>
        </w:trPr>
        <w:tc>
          <w:tcPr>
            <w:tcW w:w="4377" w:type="dxa"/>
            <w:vMerge w:val="restart"/>
            <w:tcBorders>
              <w:top w:val="dotted" w:sz="4" w:space="0" w:color="auto"/>
              <w:left w:val="dotted" w:sz="4" w:space="0" w:color="auto"/>
              <w:bottom w:val="dotted" w:sz="4" w:space="0" w:color="auto"/>
              <w:right w:val="dotted" w:sz="4" w:space="0" w:color="auto"/>
            </w:tcBorders>
            <w:shd w:val="clear" w:color="000000" w:fill="DBE5F1"/>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Particulars</w:t>
            </w:r>
          </w:p>
        </w:tc>
        <w:tc>
          <w:tcPr>
            <w:tcW w:w="1957" w:type="dxa"/>
            <w:gridSpan w:val="2"/>
            <w:tcBorders>
              <w:top w:val="dotted" w:sz="4" w:space="0" w:color="auto"/>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Allocation %</w:t>
            </w:r>
          </w:p>
        </w:tc>
        <w:tc>
          <w:tcPr>
            <w:tcW w:w="3748" w:type="dxa"/>
            <w:gridSpan w:val="3"/>
            <w:tcBorders>
              <w:top w:val="dotted" w:sz="4" w:space="0" w:color="auto"/>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Allocation FY 2016-17</w:t>
            </w:r>
          </w:p>
        </w:tc>
      </w:tr>
      <w:tr w:rsidR="00F51A9D" w:rsidRPr="00F51A9D" w:rsidTr="00F51A9D">
        <w:trPr>
          <w:trHeight w:val="225"/>
          <w:tblHeader/>
          <w:jc w:val="center"/>
        </w:trPr>
        <w:tc>
          <w:tcPr>
            <w:tcW w:w="4377" w:type="dxa"/>
            <w:vMerge/>
            <w:tcBorders>
              <w:top w:val="dotted" w:sz="4" w:space="0" w:color="auto"/>
              <w:left w:val="dotted" w:sz="4" w:space="0" w:color="auto"/>
              <w:bottom w:val="dotted" w:sz="4" w:space="0" w:color="auto"/>
              <w:right w:val="dotted" w:sz="4" w:space="0" w:color="auto"/>
            </w:tcBorders>
            <w:hideMark/>
          </w:tcPr>
          <w:p w:rsidR="00023318" w:rsidRPr="00023318" w:rsidRDefault="00023318" w:rsidP="00023318">
            <w:pPr>
              <w:spacing w:before="0" w:line="240" w:lineRule="auto"/>
              <w:jc w:val="center"/>
              <w:rPr>
                <w:rFonts w:asciiTheme="minorHAnsi" w:eastAsia="Calibri" w:hAnsiTheme="minorHAnsi" w:cstheme="minorHAnsi"/>
                <w:b/>
                <w:bCs/>
                <w:caps/>
                <w:kern w:val="32"/>
                <w:sz w:val="22"/>
                <w:szCs w:val="22"/>
              </w:rPr>
            </w:pPr>
          </w:p>
        </w:tc>
        <w:tc>
          <w:tcPr>
            <w:tcW w:w="1093" w:type="dxa"/>
            <w:tcBorders>
              <w:top w:val="nil"/>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Wheeling</w:t>
            </w:r>
          </w:p>
        </w:tc>
        <w:tc>
          <w:tcPr>
            <w:tcW w:w="864" w:type="dxa"/>
            <w:tcBorders>
              <w:top w:val="nil"/>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Supply</w:t>
            </w:r>
          </w:p>
        </w:tc>
        <w:tc>
          <w:tcPr>
            <w:tcW w:w="1165" w:type="dxa"/>
            <w:tcBorders>
              <w:top w:val="nil"/>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Wheeling</w:t>
            </w:r>
          </w:p>
        </w:tc>
        <w:tc>
          <w:tcPr>
            <w:tcW w:w="1412" w:type="dxa"/>
            <w:tcBorders>
              <w:top w:val="nil"/>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Supply</w:t>
            </w:r>
          </w:p>
        </w:tc>
        <w:tc>
          <w:tcPr>
            <w:tcW w:w="1171" w:type="dxa"/>
            <w:tcBorders>
              <w:top w:val="nil"/>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asciiTheme="minorHAnsi" w:eastAsia="Calibri" w:hAnsiTheme="minorHAnsi" w:cstheme="minorHAnsi"/>
                <w:b/>
                <w:sz w:val="22"/>
                <w:szCs w:val="22"/>
              </w:rPr>
            </w:pPr>
            <w:r w:rsidRPr="00023318">
              <w:rPr>
                <w:rFonts w:asciiTheme="minorHAnsi" w:eastAsia="Calibri" w:hAnsiTheme="minorHAnsi" w:cstheme="minorHAnsi"/>
                <w:b/>
                <w:sz w:val="22"/>
                <w:szCs w:val="22"/>
              </w:rPr>
              <w:t>Total</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Power Purchase Expenses (incl PGCIL charges)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1,803.23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1,803.23</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Apportionment of O&amp;M Expenses &amp; Interest &amp; Finance Charges of UPPCL</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0.00</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Transmission Charges - Intra state (incl SLDC Charges)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68.58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68.58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Gross O&amp;M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cs="Calibri"/>
                <w:b/>
                <w:bCs/>
                <w:color w:val="000000"/>
                <w:sz w:val="22"/>
                <w:szCs w:val="22"/>
              </w:rPr>
            </w:pPr>
            <w:r w:rsidRPr="00023318">
              <w:rPr>
                <w:rFonts w:asciiTheme="minorHAnsi" w:hAnsiTheme="minorHAnsi"/>
                <w:b/>
                <w:color w:val="000000"/>
                <w:sz w:val="22"/>
                <w:szCs w:val="22"/>
              </w:rPr>
              <w:t xml:space="preserve">139.16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cs="Calibri"/>
                <w:b/>
                <w:bCs/>
                <w:color w:val="000000"/>
                <w:sz w:val="22"/>
                <w:szCs w:val="22"/>
              </w:rPr>
            </w:pPr>
            <w:r w:rsidRPr="00023318">
              <w:rPr>
                <w:rFonts w:asciiTheme="minorHAnsi" w:hAnsiTheme="minorHAnsi"/>
                <w:b/>
                <w:color w:val="000000"/>
                <w:sz w:val="22"/>
                <w:szCs w:val="22"/>
              </w:rPr>
              <w:t xml:space="preserve">67.63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asciiTheme="minorHAnsi" w:hAnsiTheme="minorHAnsi" w:cs="Calibri"/>
                <w:b/>
                <w:bCs/>
                <w:color w:val="000000"/>
                <w:sz w:val="22"/>
                <w:szCs w:val="22"/>
              </w:rPr>
            </w:pPr>
            <w:r w:rsidRPr="00023318">
              <w:rPr>
                <w:rFonts w:asciiTheme="minorHAnsi" w:hAnsiTheme="minorHAnsi"/>
                <w:b/>
                <w:color w:val="000000"/>
                <w:sz w:val="22"/>
                <w:szCs w:val="22"/>
              </w:rPr>
              <w:t xml:space="preserve">206.79 </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Gross Employee cost</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84.71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56.48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141.19</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Gross A&amp;G expenses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3.67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5.51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9.18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Gross R&amp;M expenses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50.78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5.64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56.42</w:t>
            </w:r>
          </w:p>
        </w:tc>
      </w:tr>
      <w:tr w:rsidR="00F51A9D" w:rsidRPr="00F51A9D" w:rsidTr="00F51A9D">
        <w:trPr>
          <w:trHeight w:val="257"/>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Gross Interest &amp; Finance charges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46.</w:t>
            </w:r>
            <w:r w:rsidR="00F51A9D">
              <w:rPr>
                <w:rFonts w:asciiTheme="minorHAnsi" w:hAnsiTheme="minorHAnsi"/>
                <w:color w:val="000000"/>
                <w:sz w:val="22"/>
                <w:szCs w:val="22"/>
              </w:rPr>
              <w:t>19</w:t>
            </w: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5.1</w:t>
            </w:r>
            <w:r w:rsidR="00F51A9D">
              <w:rPr>
                <w:rFonts w:asciiTheme="minorHAnsi" w:hAnsiTheme="minorHAnsi"/>
                <w:color w:val="000000"/>
                <w:sz w:val="22"/>
                <w:szCs w:val="22"/>
              </w:rPr>
              <w:t>3</w:t>
            </w:r>
            <w:r>
              <w:rPr>
                <w:rFonts w:asciiTheme="minorHAnsi" w:hAnsiTheme="minorHAnsi"/>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51.</w:t>
            </w:r>
            <w:r w:rsidR="00F51A9D">
              <w:rPr>
                <w:rFonts w:asciiTheme="minorHAnsi" w:hAnsiTheme="minorHAnsi"/>
                <w:color w:val="000000"/>
                <w:sz w:val="22"/>
                <w:szCs w:val="22"/>
              </w:rPr>
              <w:t>32</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Depreciation</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29.76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3.31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33.06</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Total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215.</w:t>
            </w:r>
            <w:r w:rsidR="00F51A9D">
              <w:rPr>
                <w:rFonts w:asciiTheme="minorHAnsi" w:hAnsiTheme="minorHAnsi"/>
                <w:b/>
                <w:bCs/>
                <w:color w:val="000000"/>
                <w:sz w:val="22"/>
                <w:szCs w:val="22"/>
              </w:rPr>
              <w:t>11</w:t>
            </w:r>
            <w:r>
              <w:rPr>
                <w:rFonts w:asciiTheme="minorHAnsi" w:hAnsiTheme="minorHAnsi"/>
                <w:b/>
                <w:bCs/>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1,947.8</w:t>
            </w:r>
            <w:r w:rsidR="00F51A9D">
              <w:rPr>
                <w:rFonts w:asciiTheme="minorHAnsi" w:hAnsiTheme="minorHAnsi"/>
                <w:b/>
                <w:bCs/>
                <w:color w:val="000000"/>
                <w:sz w:val="22"/>
                <w:szCs w:val="22"/>
              </w:rPr>
              <w:t>7</w:t>
            </w:r>
            <w:r>
              <w:rPr>
                <w:rFonts w:asciiTheme="minorHAnsi" w:hAnsiTheme="minorHAnsi"/>
                <w:b/>
                <w:bCs/>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2,16</w:t>
            </w:r>
            <w:r w:rsidR="00F51A9D">
              <w:rPr>
                <w:rFonts w:asciiTheme="minorHAnsi" w:hAnsiTheme="minorHAnsi"/>
                <w:b/>
                <w:bCs/>
                <w:color w:val="000000"/>
                <w:sz w:val="22"/>
                <w:szCs w:val="22"/>
              </w:rPr>
              <w:t>2.98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Expense capitalization</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 xml:space="preserve">15.46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 xml:space="preserve">9.54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 xml:space="preserve">25.00 </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Employee cost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60%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40%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12.71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8.47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21.18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Interest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2.20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0.24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2.44</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A&amp;G expenses capitalized</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i/>
                <w:iCs/>
                <w:sz w:val="22"/>
                <w:szCs w:val="22"/>
              </w:rPr>
            </w:pPr>
            <w:r>
              <w:rPr>
                <w:rFonts w:asciiTheme="minorHAnsi" w:hAnsiTheme="minorHAnsi"/>
                <w:color w:val="000000"/>
                <w:sz w:val="22"/>
                <w:szCs w:val="22"/>
              </w:rPr>
              <w:t>40%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60%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0.55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0.83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1.38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Net Expenditure</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199.</w:t>
            </w:r>
            <w:r w:rsidR="001B0D34">
              <w:rPr>
                <w:rFonts w:asciiTheme="minorHAnsi" w:hAnsiTheme="minorHAnsi"/>
                <w:b/>
                <w:bCs/>
                <w:color w:val="000000"/>
                <w:sz w:val="22"/>
                <w:szCs w:val="22"/>
              </w:rPr>
              <w:t>6</w:t>
            </w:r>
            <w:r>
              <w:rPr>
                <w:rFonts w:asciiTheme="minorHAnsi" w:hAnsiTheme="minorHAnsi"/>
                <w:b/>
                <w:bCs/>
                <w:color w:val="000000"/>
                <w:sz w:val="22"/>
                <w:szCs w:val="22"/>
              </w:rPr>
              <w:t xml:space="preserve">5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1,938.3</w:t>
            </w:r>
            <w:r w:rsidR="001B0D34">
              <w:rPr>
                <w:rFonts w:asciiTheme="minorHAnsi" w:hAnsiTheme="minorHAnsi"/>
                <w:b/>
                <w:bCs/>
                <w:color w:val="000000"/>
                <w:sz w:val="22"/>
                <w:szCs w:val="22"/>
              </w:rPr>
              <w:t>3</w:t>
            </w:r>
            <w:r>
              <w:rPr>
                <w:rFonts w:asciiTheme="minorHAnsi" w:hAnsiTheme="minorHAnsi"/>
                <w:b/>
                <w:bCs/>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2,13</w:t>
            </w:r>
            <w:r w:rsidR="001B0D34">
              <w:rPr>
                <w:rFonts w:asciiTheme="minorHAnsi" w:hAnsiTheme="minorHAnsi"/>
                <w:b/>
                <w:bCs/>
                <w:color w:val="000000"/>
                <w:sz w:val="22"/>
                <w:szCs w:val="22"/>
              </w:rPr>
              <w:t>7.98</w:t>
            </w:r>
            <w:r>
              <w:rPr>
                <w:rFonts w:asciiTheme="minorHAnsi" w:hAnsiTheme="minorHAnsi"/>
                <w:b/>
                <w:bCs/>
                <w:color w:val="000000"/>
                <w:sz w:val="22"/>
                <w:szCs w:val="22"/>
              </w:rPr>
              <w:t xml:space="preserve"> </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Provision for Bad &amp; Doubtful debts</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0.00</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Provision for Contingency Reserve</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0.00</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Total net expenditure with provisions</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199.</w:t>
            </w:r>
            <w:r w:rsidR="001B0D34">
              <w:rPr>
                <w:rFonts w:asciiTheme="minorHAnsi" w:hAnsiTheme="minorHAnsi"/>
                <w:b/>
                <w:bCs/>
                <w:color w:val="000000"/>
                <w:sz w:val="22"/>
                <w:szCs w:val="22"/>
              </w:rPr>
              <w:t>65</w:t>
            </w:r>
            <w:r>
              <w:rPr>
                <w:rFonts w:asciiTheme="minorHAnsi" w:hAnsiTheme="minorHAnsi"/>
                <w:b/>
                <w:bCs/>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1,938.3</w:t>
            </w:r>
            <w:r w:rsidR="001B0D34">
              <w:rPr>
                <w:rFonts w:asciiTheme="minorHAnsi" w:hAnsiTheme="minorHAnsi"/>
                <w:b/>
                <w:bCs/>
                <w:color w:val="000000"/>
                <w:sz w:val="22"/>
                <w:szCs w:val="22"/>
              </w:rPr>
              <w:t>3</w:t>
            </w:r>
            <w:r>
              <w:rPr>
                <w:rFonts w:asciiTheme="minorHAnsi" w:hAnsiTheme="minorHAnsi"/>
                <w:b/>
                <w:bCs/>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2,13</w:t>
            </w:r>
            <w:r w:rsidR="001B0D34">
              <w:rPr>
                <w:rFonts w:asciiTheme="minorHAnsi" w:hAnsiTheme="minorHAnsi"/>
                <w:b/>
                <w:bCs/>
                <w:color w:val="000000"/>
                <w:sz w:val="22"/>
                <w:szCs w:val="22"/>
              </w:rPr>
              <w:t>7.98</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t>Add: Return on Equity</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90%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0.00</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sz w:val="22"/>
                <w:szCs w:val="22"/>
              </w:rPr>
            </w:pPr>
            <w:r w:rsidRPr="00023318">
              <w:rPr>
                <w:rFonts w:asciiTheme="minorHAnsi" w:eastAsia="Calibri" w:hAnsiTheme="minorHAnsi" w:cstheme="minorHAnsi"/>
                <w:sz w:val="22"/>
                <w:szCs w:val="22"/>
              </w:rPr>
              <w:lastRenderedPageBreak/>
              <w:t>Less: Non Tariff Income</w:t>
            </w:r>
          </w:p>
        </w:tc>
        <w:tc>
          <w:tcPr>
            <w:tcW w:w="1093"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0%</w:t>
            </w:r>
          </w:p>
        </w:tc>
        <w:tc>
          <w:tcPr>
            <w:tcW w:w="864"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eastAsia="Calibri" w:hAnsiTheme="minorHAnsi" w:cstheme="minorHAnsi"/>
                <w:sz w:val="22"/>
                <w:szCs w:val="22"/>
              </w:rPr>
            </w:pPr>
            <w:r>
              <w:rPr>
                <w:rFonts w:asciiTheme="minorHAnsi" w:hAnsiTheme="minorHAnsi"/>
                <w:color w:val="000000"/>
                <w:sz w:val="22"/>
                <w:szCs w:val="22"/>
              </w:rPr>
              <w:t>100%</w:t>
            </w: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7.39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7.39</w:t>
            </w:r>
          </w:p>
        </w:tc>
      </w:tr>
      <w:tr w:rsidR="00F51A9D" w:rsidRPr="00F51A9D" w:rsidTr="00F51A9D">
        <w:trPr>
          <w:trHeight w:val="225"/>
          <w:jc w:val="center"/>
        </w:trPr>
        <w:tc>
          <w:tcPr>
            <w:tcW w:w="4377" w:type="dxa"/>
            <w:tcBorders>
              <w:top w:val="nil"/>
              <w:left w:val="dotted" w:sz="4" w:space="0" w:color="auto"/>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rPr>
                <w:rFonts w:asciiTheme="minorHAnsi" w:eastAsia="Calibri" w:hAnsiTheme="minorHAnsi" w:cstheme="minorHAnsi"/>
                <w:b/>
                <w:sz w:val="22"/>
                <w:szCs w:val="22"/>
              </w:rPr>
            </w:pPr>
            <w:r w:rsidRPr="00023318">
              <w:rPr>
                <w:rFonts w:asciiTheme="minorHAnsi" w:eastAsia="Calibri" w:hAnsiTheme="minorHAnsi" w:cstheme="minorHAnsi"/>
                <w:b/>
                <w:sz w:val="22"/>
                <w:szCs w:val="22"/>
              </w:rPr>
              <w:t>Annual Revenue Requirement (ARR)</w:t>
            </w:r>
          </w:p>
        </w:tc>
        <w:tc>
          <w:tcPr>
            <w:tcW w:w="1093"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864" w:type="dxa"/>
            <w:tcBorders>
              <w:top w:val="nil"/>
              <w:left w:val="nil"/>
              <w:bottom w:val="dotted" w:sz="4" w:space="0" w:color="auto"/>
              <w:right w:val="dotted" w:sz="4" w:space="0" w:color="auto"/>
            </w:tcBorders>
            <w:shd w:val="clear" w:color="auto" w:fill="auto"/>
            <w:noWrap/>
            <w:vAlign w:val="center"/>
            <w:hideMark/>
          </w:tcPr>
          <w:p w:rsidR="00D741AB" w:rsidRDefault="00D741AB">
            <w:pPr>
              <w:spacing w:before="0" w:line="240" w:lineRule="auto"/>
              <w:jc w:val="right"/>
              <w:rPr>
                <w:rFonts w:asciiTheme="minorHAnsi" w:eastAsia="Calibri" w:hAnsiTheme="minorHAnsi" w:cstheme="minorHAnsi"/>
                <w:b/>
                <w:sz w:val="22"/>
                <w:szCs w:val="22"/>
                <w:lang w:val="en-US"/>
              </w:rPr>
            </w:pPr>
          </w:p>
        </w:tc>
        <w:tc>
          <w:tcPr>
            <w:tcW w:w="1165"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199.</w:t>
            </w:r>
            <w:r w:rsidR="001B0D34">
              <w:rPr>
                <w:rFonts w:asciiTheme="minorHAnsi" w:hAnsiTheme="minorHAnsi"/>
                <w:b/>
                <w:bCs/>
                <w:color w:val="000000"/>
                <w:sz w:val="22"/>
                <w:szCs w:val="22"/>
              </w:rPr>
              <w:t>6</w:t>
            </w:r>
            <w:r>
              <w:rPr>
                <w:rFonts w:asciiTheme="minorHAnsi" w:hAnsiTheme="minorHAnsi"/>
                <w:b/>
                <w:bCs/>
                <w:color w:val="000000"/>
                <w:sz w:val="22"/>
                <w:szCs w:val="22"/>
              </w:rPr>
              <w:t xml:space="preserve">5 </w:t>
            </w:r>
          </w:p>
        </w:tc>
        <w:tc>
          <w:tcPr>
            <w:tcW w:w="1412"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1,930.9</w:t>
            </w:r>
            <w:r w:rsidR="001B0D34">
              <w:rPr>
                <w:rFonts w:asciiTheme="minorHAnsi" w:hAnsiTheme="minorHAnsi"/>
                <w:b/>
                <w:bCs/>
                <w:color w:val="000000"/>
                <w:sz w:val="22"/>
                <w:szCs w:val="22"/>
              </w:rPr>
              <w:t>4</w:t>
            </w:r>
            <w:r>
              <w:rPr>
                <w:rFonts w:asciiTheme="minorHAnsi" w:hAnsiTheme="minorHAnsi"/>
                <w:b/>
                <w:bCs/>
                <w:color w:val="000000"/>
                <w:sz w:val="22"/>
                <w:szCs w:val="22"/>
              </w:rPr>
              <w:t xml:space="preserve"> </w:t>
            </w:r>
          </w:p>
        </w:tc>
        <w:tc>
          <w:tcPr>
            <w:tcW w:w="1171" w:type="dxa"/>
            <w:tcBorders>
              <w:top w:val="nil"/>
              <w:left w:val="nil"/>
              <w:bottom w:val="dotted" w:sz="4" w:space="0" w:color="auto"/>
              <w:right w:val="dotted" w:sz="4" w:space="0" w:color="auto"/>
            </w:tcBorders>
            <w:shd w:val="clear" w:color="auto" w:fill="auto"/>
            <w:noWrap/>
            <w:vAlign w:val="center"/>
            <w:hideMark/>
          </w:tcPr>
          <w:p w:rsidR="00023318" w:rsidRPr="00023318" w:rsidRDefault="00772FCA" w:rsidP="00023318">
            <w:pPr>
              <w:spacing w:before="0" w:line="240" w:lineRule="auto"/>
              <w:jc w:val="right"/>
              <w:rPr>
                <w:rFonts w:asciiTheme="minorHAnsi" w:hAnsiTheme="minorHAnsi" w:cs="Calibri"/>
                <w:b/>
                <w:bCs/>
                <w:color w:val="000000"/>
                <w:sz w:val="22"/>
                <w:szCs w:val="22"/>
              </w:rPr>
            </w:pPr>
            <w:r>
              <w:rPr>
                <w:rFonts w:asciiTheme="minorHAnsi" w:hAnsiTheme="minorHAnsi"/>
                <w:b/>
                <w:bCs/>
                <w:color w:val="000000"/>
                <w:sz w:val="22"/>
                <w:szCs w:val="22"/>
              </w:rPr>
              <w:t>2,130.</w:t>
            </w:r>
            <w:r w:rsidR="001B0D34">
              <w:rPr>
                <w:rFonts w:asciiTheme="minorHAnsi" w:hAnsiTheme="minorHAnsi"/>
                <w:b/>
                <w:bCs/>
                <w:color w:val="000000"/>
                <w:sz w:val="22"/>
                <w:szCs w:val="22"/>
              </w:rPr>
              <w:t>59</w:t>
            </w:r>
            <w:r>
              <w:rPr>
                <w:rFonts w:asciiTheme="minorHAnsi" w:hAnsiTheme="minorHAnsi"/>
                <w:b/>
                <w:bCs/>
                <w:color w:val="000000"/>
                <w:sz w:val="22"/>
                <w:szCs w:val="22"/>
              </w:rPr>
              <w:t xml:space="preserve"> </w:t>
            </w:r>
          </w:p>
        </w:tc>
      </w:tr>
    </w:tbl>
    <w:p w:rsidR="00023318" w:rsidRDefault="00023318" w:rsidP="00023318">
      <w:pPr>
        <w:tabs>
          <w:tab w:val="left" w:pos="4204"/>
        </w:tabs>
        <w:spacing w:before="0"/>
        <w:ind w:left="993"/>
        <w:outlineLvl w:val="2"/>
        <w:rPr>
          <w:rFonts w:cs="Arial"/>
          <w:bCs/>
          <w:szCs w:val="26"/>
        </w:rPr>
      </w:pPr>
    </w:p>
    <w:p w:rsidR="00023318" w:rsidRDefault="00F51A9D" w:rsidP="00023318">
      <w:pPr>
        <w:pStyle w:val="Heading3"/>
        <w:tabs>
          <w:tab w:val="clear" w:pos="720"/>
        </w:tabs>
        <w:spacing w:after="240"/>
        <w:ind w:left="993" w:hanging="993"/>
      </w:pPr>
      <w:r>
        <w:t>Based on the above, the wheeling charges for FY 2016-17 are as shown in the Table below:</w:t>
      </w:r>
    </w:p>
    <w:p w:rsidR="00F51A9D" w:rsidRPr="004F705F" w:rsidRDefault="00F51A9D" w:rsidP="00F51A9D">
      <w:pPr>
        <w:spacing w:after="120" w:line="240" w:lineRule="auto"/>
        <w:jc w:val="center"/>
        <w:rPr>
          <w:rFonts w:cs="Calibri"/>
          <w:b/>
          <w:sz w:val="22"/>
        </w:rPr>
      </w:pPr>
      <w:bookmarkStart w:id="1424" w:name="_Toc397332362"/>
      <w:bookmarkStart w:id="1425" w:name="_Toc399324267"/>
      <w:bookmarkStart w:id="1426" w:name="_Toc399624138"/>
      <w:bookmarkStart w:id="1427" w:name="_Toc422309972"/>
      <w:bookmarkStart w:id="1428" w:name="_Toc457355655"/>
      <w:r w:rsidRPr="004F705F">
        <w:rPr>
          <w:rFonts w:cs="Calibri"/>
          <w:b/>
          <w:sz w:val="22"/>
        </w:rPr>
        <w:t>Table</w:t>
      </w:r>
      <w:r w:rsidR="00BE5FBE" w:rsidRPr="004F705F">
        <w:rPr>
          <w:rFonts w:cs="Calibri"/>
          <w:b/>
          <w:sz w:val="22"/>
        </w:rPr>
        <w:t xml:space="preserve"> 6</w:t>
      </w:r>
      <w:r w:rsidRPr="004F705F">
        <w:rPr>
          <w:rFonts w:cs="Calibri"/>
          <w:b/>
          <w:sz w:val="22"/>
        </w:rPr>
        <w:noBreakHyphen/>
      </w:r>
      <w:r w:rsidR="004A2D9E" w:rsidRPr="004F705F">
        <w:rPr>
          <w:rFonts w:cs="Calibri"/>
          <w:b/>
          <w:sz w:val="22"/>
        </w:rPr>
        <w:fldChar w:fldCharType="begin"/>
      </w:r>
      <w:r w:rsidRPr="004F705F">
        <w:rPr>
          <w:rFonts w:cs="Calibri"/>
          <w:b/>
          <w:sz w:val="22"/>
        </w:rPr>
        <w:instrText xml:space="preserve"> SEQ Table \* ARABIC \s 1 </w:instrText>
      </w:r>
      <w:r w:rsidR="004A2D9E" w:rsidRPr="004F705F">
        <w:rPr>
          <w:rFonts w:cs="Calibri"/>
          <w:b/>
          <w:sz w:val="22"/>
        </w:rPr>
        <w:fldChar w:fldCharType="separate"/>
      </w:r>
      <w:r w:rsidR="0011185B" w:rsidRPr="004F705F">
        <w:rPr>
          <w:rFonts w:cs="Calibri"/>
          <w:b/>
          <w:noProof/>
          <w:sz w:val="22"/>
        </w:rPr>
        <w:t>2</w:t>
      </w:r>
      <w:r w:rsidR="004A2D9E" w:rsidRPr="004F705F">
        <w:rPr>
          <w:rFonts w:cs="Calibri"/>
          <w:b/>
          <w:sz w:val="22"/>
        </w:rPr>
        <w:fldChar w:fldCharType="end"/>
      </w:r>
      <w:r w:rsidRPr="004F705F">
        <w:rPr>
          <w:rFonts w:cs="Calibri"/>
          <w:b/>
          <w:sz w:val="22"/>
        </w:rPr>
        <w:t>: WHEELING CHARGES FOR FY 2016-17</w:t>
      </w:r>
      <w:bookmarkEnd w:id="1424"/>
      <w:bookmarkEnd w:id="1425"/>
      <w:bookmarkEnd w:id="1426"/>
      <w:bookmarkEnd w:id="1427"/>
      <w:bookmarkEnd w:id="1428"/>
    </w:p>
    <w:tbl>
      <w:tblPr>
        <w:tblW w:w="8951"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06"/>
        <w:gridCol w:w="4432"/>
        <w:gridCol w:w="1613"/>
        <w:gridCol w:w="1900"/>
      </w:tblGrid>
      <w:tr w:rsidR="00F51A9D" w:rsidRPr="001B0D34" w:rsidTr="00F755EF">
        <w:trPr>
          <w:trHeight w:val="510"/>
          <w:tblHeader/>
          <w:jc w:val="center"/>
        </w:trPr>
        <w:tc>
          <w:tcPr>
            <w:tcW w:w="1006" w:type="dxa"/>
            <w:shd w:val="clear" w:color="000000" w:fill="DCE6F1"/>
            <w:hideMark/>
          </w:tcPr>
          <w:p w:rsidR="00023318" w:rsidRPr="00023318" w:rsidRDefault="00023318" w:rsidP="00023318">
            <w:pPr>
              <w:spacing w:before="0" w:line="240" w:lineRule="auto"/>
              <w:jc w:val="center"/>
              <w:rPr>
                <w:b/>
                <w:sz w:val="22"/>
                <w:szCs w:val="22"/>
              </w:rPr>
            </w:pPr>
            <w:r w:rsidRPr="00023318">
              <w:rPr>
                <w:b/>
                <w:sz w:val="22"/>
                <w:szCs w:val="22"/>
              </w:rPr>
              <w:t>S. No</w:t>
            </w:r>
          </w:p>
        </w:tc>
        <w:tc>
          <w:tcPr>
            <w:tcW w:w="4432" w:type="dxa"/>
            <w:shd w:val="clear" w:color="000000" w:fill="DCE6F1"/>
            <w:hideMark/>
          </w:tcPr>
          <w:p w:rsidR="00023318" w:rsidRPr="00023318" w:rsidRDefault="00023318" w:rsidP="00023318">
            <w:pPr>
              <w:spacing w:before="0" w:line="240" w:lineRule="auto"/>
              <w:jc w:val="center"/>
              <w:rPr>
                <w:b/>
                <w:sz w:val="22"/>
                <w:szCs w:val="22"/>
              </w:rPr>
            </w:pPr>
            <w:r w:rsidRPr="00023318">
              <w:rPr>
                <w:b/>
                <w:sz w:val="22"/>
                <w:szCs w:val="22"/>
              </w:rPr>
              <w:t>Particulars</w:t>
            </w:r>
          </w:p>
        </w:tc>
        <w:tc>
          <w:tcPr>
            <w:tcW w:w="1613" w:type="dxa"/>
            <w:shd w:val="clear" w:color="000000" w:fill="DCE6F1"/>
            <w:hideMark/>
          </w:tcPr>
          <w:p w:rsidR="00023318" w:rsidRPr="00023318" w:rsidRDefault="00023318" w:rsidP="00023318">
            <w:pPr>
              <w:spacing w:before="0" w:line="240" w:lineRule="auto"/>
              <w:jc w:val="center"/>
              <w:rPr>
                <w:b/>
                <w:sz w:val="22"/>
                <w:szCs w:val="22"/>
              </w:rPr>
            </w:pPr>
            <w:r w:rsidRPr="00023318">
              <w:rPr>
                <w:b/>
                <w:sz w:val="22"/>
                <w:szCs w:val="22"/>
              </w:rPr>
              <w:t>Units</w:t>
            </w:r>
          </w:p>
        </w:tc>
        <w:tc>
          <w:tcPr>
            <w:tcW w:w="1900" w:type="dxa"/>
            <w:shd w:val="clear" w:color="000000" w:fill="DCE6F1"/>
            <w:hideMark/>
          </w:tcPr>
          <w:p w:rsidR="00023318" w:rsidRPr="00023318" w:rsidRDefault="00023318" w:rsidP="00023318">
            <w:pPr>
              <w:spacing w:before="0" w:line="240" w:lineRule="auto"/>
              <w:jc w:val="center"/>
              <w:rPr>
                <w:b/>
                <w:sz w:val="22"/>
                <w:szCs w:val="22"/>
              </w:rPr>
            </w:pPr>
            <w:r w:rsidRPr="00023318">
              <w:rPr>
                <w:b/>
                <w:sz w:val="22"/>
                <w:szCs w:val="22"/>
              </w:rPr>
              <w:t>Approved</w:t>
            </w:r>
          </w:p>
          <w:p w:rsidR="00023318" w:rsidRPr="00023318" w:rsidRDefault="00023318" w:rsidP="00023318">
            <w:pPr>
              <w:spacing w:before="0" w:line="240" w:lineRule="auto"/>
              <w:jc w:val="center"/>
              <w:rPr>
                <w:b/>
                <w:sz w:val="22"/>
                <w:szCs w:val="22"/>
              </w:rPr>
            </w:pPr>
            <w:r w:rsidRPr="00023318">
              <w:rPr>
                <w:b/>
                <w:sz w:val="22"/>
                <w:szCs w:val="22"/>
              </w:rPr>
              <w:t>FY 201</w:t>
            </w:r>
            <w:r w:rsidR="00F755EF">
              <w:rPr>
                <w:b/>
                <w:sz w:val="22"/>
                <w:szCs w:val="22"/>
              </w:rPr>
              <w:t>6</w:t>
            </w:r>
            <w:r w:rsidRPr="00023318">
              <w:rPr>
                <w:b/>
                <w:sz w:val="22"/>
                <w:szCs w:val="22"/>
              </w:rPr>
              <w:t>-1</w:t>
            </w:r>
            <w:r w:rsidR="00F755EF">
              <w:rPr>
                <w:b/>
                <w:sz w:val="22"/>
                <w:szCs w:val="22"/>
              </w:rPr>
              <w:t>7</w:t>
            </w:r>
          </w:p>
        </w:tc>
      </w:tr>
      <w:tr w:rsidR="00F51A9D" w:rsidRPr="001B0D34" w:rsidTr="00F51A9D">
        <w:trPr>
          <w:trHeight w:val="300"/>
          <w:jc w:val="center"/>
        </w:trPr>
        <w:tc>
          <w:tcPr>
            <w:tcW w:w="1006"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1</w:t>
            </w:r>
          </w:p>
        </w:tc>
        <w:tc>
          <w:tcPr>
            <w:tcW w:w="4432"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Wheeling ARR</w:t>
            </w:r>
          </w:p>
        </w:tc>
        <w:tc>
          <w:tcPr>
            <w:tcW w:w="1613" w:type="dxa"/>
            <w:shd w:val="clear" w:color="auto" w:fill="auto"/>
            <w:vAlign w:val="center"/>
            <w:hideMark/>
          </w:tcPr>
          <w:p w:rsidR="00023318" w:rsidRPr="00023318" w:rsidRDefault="00023318" w:rsidP="00023318">
            <w:pPr>
              <w:spacing w:before="0" w:line="240" w:lineRule="auto"/>
              <w:jc w:val="center"/>
              <w:rPr>
                <w:sz w:val="22"/>
                <w:szCs w:val="22"/>
              </w:rPr>
            </w:pPr>
            <w:r w:rsidRPr="00023318">
              <w:rPr>
                <w:sz w:val="22"/>
                <w:szCs w:val="22"/>
              </w:rPr>
              <w:t>Rs. Crore</w:t>
            </w:r>
          </w:p>
        </w:tc>
        <w:tc>
          <w:tcPr>
            <w:tcW w:w="1900" w:type="dxa"/>
            <w:shd w:val="clear" w:color="auto" w:fill="auto"/>
            <w:noWrap/>
            <w:vAlign w:val="center"/>
            <w:hideMark/>
          </w:tcPr>
          <w:p w:rsidR="00023318" w:rsidRPr="00023318" w:rsidRDefault="00772FCA" w:rsidP="00023318">
            <w:pPr>
              <w:spacing w:before="0" w:line="240" w:lineRule="auto"/>
              <w:jc w:val="right"/>
              <w:rPr>
                <w:rFonts w:cs="Calibri"/>
                <w:color w:val="000000"/>
                <w:sz w:val="22"/>
                <w:szCs w:val="22"/>
              </w:rPr>
            </w:pPr>
            <w:r>
              <w:rPr>
                <w:rFonts w:asciiTheme="minorHAnsi" w:hAnsiTheme="minorHAnsi"/>
                <w:color w:val="000000"/>
                <w:sz w:val="22"/>
                <w:szCs w:val="22"/>
              </w:rPr>
              <w:t>199.</w:t>
            </w:r>
            <w:r w:rsidR="001B0D34">
              <w:rPr>
                <w:rFonts w:asciiTheme="minorHAnsi" w:hAnsiTheme="minorHAnsi"/>
                <w:color w:val="000000"/>
                <w:sz w:val="22"/>
                <w:szCs w:val="22"/>
              </w:rPr>
              <w:t>6</w:t>
            </w:r>
            <w:r>
              <w:rPr>
                <w:rFonts w:asciiTheme="minorHAnsi" w:hAnsiTheme="minorHAnsi"/>
                <w:color w:val="000000"/>
                <w:sz w:val="22"/>
                <w:szCs w:val="22"/>
              </w:rPr>
              <w:t>5</w:t>
            </w:r>
          </w:p>
        </w:tc>
      </w:tr>
      <w:tr w:rsidR="00F51A9D" w:rsidRPr="001B0D34" w:rsidTr="00F51A9D">
        <w:trPr>
          <w:trHeight w:val="300"/>
          <w:jc w:val="center"/>
        </w:trPr>
        <w:tc>
          <w:tcPr>
            <w:tcW w:w="1006"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2</w:t>
            </w:r>
          </w:p>
        </w:tc>
        <w:tc>
          <w:tcPr>
            <w:tcW w:w="4432"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 xml:space="preserve">Retail sales </w:t>
            </w:r>
          </w:p>
        </w:tc>
        <w:tc>
          <w:tcPr>
            <w:tcW w:w="1613" w:type="dxa"/>
            <w:shd w:val="clear" w:color="auto" w:fill="auto"/>
            <w:vAlign w:val="center"/>
            <w:hideMark/>
          </w:tcPr>
          <w:p w:rsidR="00023318" w:rsidRPr="00023318" w:rsidRDefault="00023318" w:rsidP="00023318">
            <w:pPr>
              <w:spacing w:before="0" w:line="240" w:lineRule="auto"/>
              <w:jc w:val="center"/>
              <w:rPr>
                <w:sz w:val="22"/>
                <w:szCs w:val="22"/>
              </w:rPr>
            </w:pPr>
            <w:r w:rsidRPr="00023318">
              <w:rPr>
                <w:sz w:val="22"/>
                <w:szCs w:val="22"/>
              </w:rPr>
              <w:t>MU</w:t>
            </w:r>
          </w:p>
        </w:tc>
        <w:tc>
          <w:tcPr>
            <w:tcW w:w="1900" w:type="dxa"/>
            <w:shd w:val="clear" w:color="auto" w:fill="auto"/>
            <w:noWrap/>
            <w:vAlign w:val="center"/>
            <w:hideMark/>
          </w:tcPr>
          <w:p w:rsidR="00023318" w:rsidRPr="00023318" w:rsidRDefault="00772FCA" w:rsidP="00023318">
            <w:pPr>
              <w:spacing w:before="0" w:line="240" w:lineRule="auto"/>
              <w:jc w:val="right"/>
              <w:rPr>
                <w:rFonts w:cs="Calibri"/>
                <w:color w:val="000000"/>
                <w:sz w:val="22"/>
                <w:szCs w:val="22"/>
              </w:rPr>
            </w:pPr>
            <w:r>
              <w:rPr>
                <w:rFonts w:asciiTheme="minorHAnsi" w:hAnsiTheme="minorHAnsi"/>
                <w:color w:val="000000"/>
                <w:sz w:val="22"/>
                <w:szCs w:val="22"/>
              </w:rPr>
              <w:t>3,278</w:t>
            </w:r>
          </w:p>
        </w:tc>
      </w:tr>
      <w:tr w:rsidR="00F51A9D" w:rsidRPr="001B0D34" w:rsidTr="00F51A9D">
        <w:trPr>
          <w:trHeight w:val="300"/>
          <w:jc w:val="center"/>
        </w:trPr>
        <w:tc>
          <w:tcPr>
            <w:tcW w:w="1006"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3</w:t>
            </w:r>
          </w:p>
        </w:tc>
        <w:tc>
          <w:tcPr>
            <w:tcW w:w="4432"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Average Wheeling charge</w:t>
            </w:r>
          </w:p>
        </w:tc>
        <w:tc>
          <w:tcPr>
            <w:tcW w:w="1613" w:type="dxa"/>
            <w:shd w:val="clear" w:color="auto" w:fill="auto"/>
            <w:vAlign w:val="center"/>
            <w:hideMark/>
          </w:tcPr>
          <w:p w:rsidR="00023318" w:rsidRPr="00023318" w:rsidRDefault="00023318" w:rsidP="00023318">
            <w:pPr>
              <w:spacing w:before="0" w:line="240" w:lineRule="auto"/>
              <w:jc w:val="center"/>
              <w:rPr>
                <w:sz w:val="22"/>
                <w:szCs w:val="22"/>
              </w:rPr>
            </w:pPr>
            <w:r w:rsidRPr="00023318">
              <w:rPr>
                <w:sz w:val="22"/>
                <w:szCs w:val="22"/>
              </w:rPr>
              <w:t>Rs./kWh</w:t>
            </w:r>
          </w:p>
        </w:tc>
        <w:tc>
          <w:tcPr>
            <w:tcW w:w="1900" w:type="dxa"/>
            <w:shd w:val="clear" w:color="auto" w:fill="auto"/>
            <w:noWrap/>
            <w:vAlign w:val="center"/>
            <w:hideMark/>
          </w:tcPr>
          <w:p w:rsidR="00023318" w:rsidRPr="00023318" w:rsidRDefault="00772FCA" w:rsidP="00023318">
            <w:pPr>
              <w:spacing w:before="0" w:line="240" w:lineRule="auto"/>
              <w:jc w:val="right"/>
              <w:rPr>
                <w:rFonts w:cs="Calibri"/>
                <w:color w:val="000000"/>
                <w:sz w:val="22"/>
                <w:szCs w:val="22"/>
              </w:rPr>
            </w:pPr>
            <w:r>
              <w:rPr>
                <w:rFonts w:asciiTheme="minorHAnsi" w:hAnsiTheme="minorHAnsi"/>
                <w:color w:val="000000"/>
                <w:sz w:val="22"/>
                <w:szCs w:val="22"/>
              </w:rPr>
              <w:t>0.609</w:t>
            </w:r>
          </w:p>
        </w:tc>
      </w:tr>
    </w:tbl>
    <w:p w:rsidR="00023318" w:rsidRDefault="00023318" w:rsidP="00023318">
      <w:pPr>
        <w:spacing w:before="0"/>
        <w:ind w:left="993"/>
        <w:outlineLvl w:val="2"/>
        <w:rPr>
          <w:rFonts w:cs="Arial"/>
          <w:bCs/>
          <w:szCs w:val="26"/>
        </w:rPr>
      </w:pPr>
    </w:p>
    <w:p w:rsidR="00023318" w:rsidRDefault="00F51A9D" w:rsidP="00023318">
      <w:pPr>
        <w:pStyle w:val="Heading3"/>
        <w:tabs>
          <w:tab w:val="clear" w:pos="720"/>
        </w:tabs>
        <w:spacing w:after="240"/>
        <w:ind w:left="993" w:hanging="993"/>
      </w:pPr>
      <w:r>
        <w:t>The Commission, in order to encourage Open Access transactions in the State, has further tried to segregate the wheeling charges payable by consumers seeking Open Access based on the voltage levels at which they are connected to the distribution network. However, in absence of voltage level wise break-up of expenses and asset details, the Commission has considered an interim allocation of costs at various voltage levels and approved the following wheeling charges payable by Open Access customers based on the voltage level at which they are connected with the distribution network.</w:t>
      </w:r>
    </w:p>
    <w:p w:rsidR="00023318" w:rsidRDefault="00F51A9D" w:rsidP="00023318">
      <w:pPr>
        <w:pStyle w:val="Heading3"/>
        <w:tabs>
          <w:tab w:val="clear" w:pos="720"/>
        </w:tabs>
        <w:spacing w:after="240"/>
        <w:ind w:left="993" w:hanging="993"/>
      </w:pPr>
      <w:r>
        <w:t>The charges have been worked out on the assumption that the wheeling expenses at 11 kV voltage level shall be 80% of the average wheeling charges determined for the Wheeling function of all Distribution Licensees and that for wheeling at voltages above 11 kV shall be 50% of the average wheeling charges. Further, as specified in the Tariff Order of UPPTCL for FY 2016-17, the Commission has considered the transmission open access charges for short term open access at the same level as approved for Long term open access. In view of the same the Commission has approved the short term distribution wheeling charges same as long term wheeling charges.</w:t>
      </w:r>
    </w:p>
    <w:p w:rsidR="00F51A9D" w:rsidRPr="004F705F" w:rsidRDefault="00F51A9D" w:rsidP="00F51A9D">
      <w:pPr>
        <w:spacing w:after="120" w:line="240" w:lineRule="auto"/>
        <w:jc w:val="center"/>
        <w:rPr>
          <w:rFonts w:cs="Calibri"/>
          <w:b/>
          <w:sz w:val="22"/>
        </w:rPr>
      </w:pPr>
      <w:bookmarkStart w:id="1429" w:name="_Toc399624139"/>
      <w:bookmarkStart w:id="1430" w:name="_Toc422309973"/>
      <w:bookmarkStart w:id="1431" w:name="_Toc457355656"/>
      <w:r w:rsidRPr="004F705F">
        <w:rPr>
          <w:rFonts w:cs="Calibri"/>
          <w:b/>
          <w:sz w:val="22"/>
        </w:rPr>
        <w:t>Table</w:t>
      </w:r>
      <w:r w:rsidR="00BE5FBE" w:rsidRPr="004F705F">
        <w:rPr>
          <w:rFonts w:cs="Calibri"/>
          <w:b/>
          <w:sz w:val="22"/>
        </w:rPr>
        <w:t xml:space="preserve"> 6</w:t>
      </w:r>
      <w:r w:rsidRPr="004F705F">
        <w:rPr>
          <w:rFonts w:cs="Calibri"/>
          <w:b/>
          <w:sz w:val="22"/>
        </w:rPr>
        <w:noBreakHyphen/>
      </w:r>
      <w:r w:rsidR="004A2D9E" w:rsidRPr="004F705F">
        <w:rPr>
          <w:rFonts w:cs="Calibri"/>
          <w:b/>
          <w:sz w:val="22"/>
        </w:rPr>
        <w:fldChar w:fldCharType="begin"/>
      </w:r>
      <w:r w:rsidRPr="004F705F">
        <w:rPr>
          <w:rFonts w:cs="Calibri"/>
          <w:b/>
          <w:sz w:val="22"/>
        </w:rPr>
        <w:instrText xml:space="preserve"> SEQ Table \* ARABIC \s 1 </w:instrText>
      </w:r>
      <w:r w:rsidR="004A2D9E" w:rsidRPr="004F705F">
        <w:rPr>
          <w:rFonts w:cs="Calibri"/>
          <w:b/>
          <w:sz w:val="22"/>
        </w:rPr>
        <w:fldChar w:fldCharType="separate"/>
      </w:r>
      <w:r w:rsidR="0011185B" w:rsidRPr="004F705F">
        <w:rPr>
          <w:rFonts w:cs="Calibri"/>
          <w:b/>
          <w:noProof/>
          <w:sz w:val="22"/>
        </w:rPr>
        <w:t>3</w:t>
      </w:r>
      <w:r w:rsidR="004A2D9E" w:rsidRPr="004F705F">
        <w:rPr>
          <w:rFonts w:cs="Calibri"/>
          <w:b/>
          <w:sz w:val="22"/>
        </w:rPr>
        <w:fldChar w:fldCharType="end"/>
      </w:r>
      <w:r w:rsidRPr="004F705F">
        <w:rPr>
          <w:rFonts w:cs="Calibri"/>
          <w:b/>
          <w:sz w:val="22"/>
        </w:rPr>
        <w:t>: APPROVED VOLTAGE-WISE WHEELING CHARGES FOR FY 2016-17</w:t>
      </w:r>
      <w:bookmarkEnd w:id="1429"/>
      <w:bookmarkEnd w:id="1430"/>
      <w:bookmarkEnd w:id="1431"/>
    </w:p>
    <w:tbl>
      <w:tblPr>
        <w:tblW w:w="8403"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847"/>
        <w:gridCol w:w="4846"/>
        <w:gridCol w:w="1344"/>
        <w:gridCol w:w="1366"/>
      </w:tblGrid>
      <w:tr w:rsidR="00F51A9D" w:rsidRPr="00635FAC" w:rsidTr="004F012E">
        <w:trPr>
          <w:trHeight w:val="504"/>
          <w:tblHeader/>
          <w:jc w:val="center"/>
        </w:trPr>
        <w:tc>
          <w:tcPr>
            <w:tcW w:w="847" w:type="dxa"/>
            <w:shd w:val="clear" w:color="000000" w:fill="DCE6F1"/>
            <w:noWrap/>
            <w:hideMark/>
          </w:tcPr>
          <w:p w:rsidR="007B43DD" w:rsidRDefault="00023318">
            <w:pPr>
              <w:spacing w:before="0" w:line="240" w:lineRule="auto"/>
              <w:jc w:val="center"/>
              <w:rPr>
                <w:rFonts w:cs="Arial"/>
                <w:b/>
                <w:bCs/>
                <w:color w:val="000000"/>
                <w:kern w:val="32"/>
                <w:sz w:val="22"/>
                <w:szCs w:val="22"/>
              </w:rPr>
            </w:pPr>
            <w:r w:rsidRPr="00023318">
              <w:rPr>
                <w:b/>
                <w:bCs/>
                <w:color w:val="000000"/>
                <w:sz w:val="22"/>
                <w:szCs w:val="22"/>
              </w:rPr>
              <w:t>S</w:t>
            </w:r>
            <w:r w:rsidR="00111C54">
              <w:rPr>
                <w:b/>
                <w:bCs/>
                <w:color w:val="000000"/>
                <w:sz w:val="22"/>
                <w:szCs w:val="22"/>
              </w:rPr>
              <w:t>l</w:t>
            </w:r>
            <w:r w:rsidRPr="00023318">
              <w:rPr>
                <w:b/>
                <w:bCs/>
                <w:color w:val="000000"/>
                <w:sz w:val="22"/>
                <w:szCs w:val="22"/>
              </w:rPr>
              <w:t>. No.</w:t>
            </w:r>
          </w:p>
        </w:tc>
        <w:tc>
          <w:tcPr>
            <w:tcW w:w="4846" w:type="dxa"/>
            <w:shd w:val="clear" w:color="000000" w:fill="DCE6F1"/>
            <w:noWrap/>
            <w:hideMark/>
          </w:tcPr>
          <w:p w:rsidR="007B43DD" w:rsidRDefault="00023318">
            <w:pPr>
              <w:spacing w:before="0" w:line="240" w:lineRule="auto"/>
              <w:jc w:val="center"/>
              <w:rPr>
                <w:rFonts w:cs="Arial"/>
                <w:b/>
                <w:bCs/>
                <w:color w:val="000000"/>
                <w:kern w:val="32"/>
                <w:sz w:val="22"/>
                <w:szCs w:val="22"/>
              </w:rPr>
            </w:pPr>
            <w:r w:rsidRPr="00023318">
              <w:rPr>
                <w:b/>
                <w:bCs/>
                <w:color w:val="000000"/>
                <w:sz w:val="22"/>
                <w:szCs w:val="22"/>
              </w:rPr>
              <w:t>Particulars</w:t>
            </w:r>
          </w:p>
        </w:tc>
        <w:tc>
          <w:tcPr>
            <w:tcW w:w="1344" w:type="dxa"/>
            <w:shd w:val="clear" w:color="000000" w:fill="DCE6F1"/>
            <w:hideMark/>
          </w:tcPr>
          <w:p w:rsidR="007B43DD" w:rsidRDefault="00023318">
            <w:pPr>
              <w:spacing w:before="0" w:line="240" w:lineRule="auto"/>
              <w:jc w:val="center"/>
              <w:rPr>
                <w:rFonts w:cs="Arial"/>
                <w:b/>
                <w:bCs/>
                <w:color w:val="000000"/>
                <w:kern w:val="32"/>
                <w:sz w:val="22"/>
                <w:szCs w:val="22"/>
              </w:rPr>
            </w:pPr>
            <w:r w:rsidRPr="00023318">
              <w:rPr>
                <w:b/>
                <w:bCs/>
                <w:color w:val="000000"/>
                <w:sz w:val="22"/>
                <w:szCs w:val="22"/>
              </w:rPr>
              <w:t>Units</w:t>
            </w:r>
          </w:p>
        </w:tc>
        <w:tc>
          <w:tcPr>
            <w:tcW w:w="1366" w:type="dxa"/>
            <w:shd w:val="clear" w:color="000000" w:fill="DCE6F1"/>
            <w:hideMark/>
          </w:tcPr>
          <w:p w:rsidR="007B43DD" w:rsidRDefault="00023318">
            <w:pPr>
              <w:spacing w:before="0" w:line="240" w:lineRule="auto"/>
              <w:jc w:val="center"/>
              <w:rPr>
                <w:rFonts w:cs="Arial"/>
                <w:b/>
                <w:bCs/>
                <w:color w:val="000000"/>
                <w:kern w:val="32"/>
                <w:sz w:val="22"/>
                <w:szCs w:val="22"/>
              </w:rPr>
            </w:pPr>
            <w:r w:rsidRPr="00023318">
              <w:rPr>
                <w:b/>
                <w:bCs/>
                <w:color w:val="000000"/>
                <w:sz w:val="22"/>
                <w:szCs w:val="22"/>
              </w:rPr>
              <w:t>Approved FY 2016-17</w:t>
            </w: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rFonts w:cs="Arial"/>
                <w:b/>
                <w:bCs/>
                <w:color w:val="333399"/>
                <w:kern w:val="32"/>
                <w:sz w:val="22"/>
                <w:szCs w:val="22"/>
              </w:rPr>
            </w:pPr>
            <w:r w:rsidRPr="00023318">
              <w:rPr>
                <w:sz w:val="22"/>
                <w:szCs w:val="22"/>
              </w:rPr>
              <w:t>1</w:t>
            </w:r>
          </w:p>
        </w:tc>
        <w:tc>
          <w:tcPr>
            <w:tcW w:w="4846" w:type="dxa"/>
            <w:shd w:val="clear" w:color="auto" w:fill="auto"/>
            <w:vAlign w:val="center"/>
            <w:hideMark/>
          </w:tcPr>
          <w:p w:rsidR="00023318" w:rsidRPr="00023318" w:rsidRDefault="00023318" w:rsidP="00023318">
            <w:pPr>
              <w:spacing w:before="0" w:line="240" w:lineRule="auto"/>
              <w:rPr>
                <w:rFonts w:cs="Arial"/>
                <w:b/>
                <w:bCs/>
                <w:color w:val="333399"/>
                <w:kern w:val="32"/>
                <w:sz w:val="22"/>
                <w:szCs w:val="22"/>
              </w:rPr>
            </w:pPr>
            <w:r w:rsidRPr="00023318">
              <w:rPr>
                <w:sz w:val="22"/>
                <w:szCs w:val="22"/>
              </w:rPr>
              <w:t>Connected at 11 kV</w:t>
            </w:r>
          </w:p>
        </w:tc>
        <w:tc>
          <w:tcPr>
            <w:tcW w:w="1344" w:type="dxa"/>
            <w:shd w:val="clear" w:color="auto" w:fill="auto"/>
            <w:vAlign w:val="center"/>
            <w:hideMark/>
          </w:tcPr>
          <w:p w:rsidR="00023318" w:rsidRPr="00023318" w:rsidRDefault="00023318" w:rsidP="00023318">
            <w:pPr>
              <w:spacing w:before="0" w:line="240" w:lineRule="auto"/>
              <w:jc w:val="center"/>
              <w:rPr>
                <w:sz w:val="22"/>
                <w:szCs w:val="22"/>
              </w:rPr>
            </w:pPr>
          </w:p>
        </w:tc>
        <w:tc>
          <w:tcPr>
            <w:tcW w:w="1366" w:type="dxa"/>
            <w:shd w:val="clear" w:color="auto" w:fill="auto"/>
            <w:noWrap/>
            <w:vAlign w:val="center"/>
            <w:hideMark/>
          </w:tcPr>
          <w:p w:rsidR="00023318" w:rsidRPr="00023318" w:rsidRDefault="00023318" w:rsidP="00023318">
            <w:pPr>
              <w:spacing w:before="0" w:line="240" w:lineRule="auto"/>
              <w:jc w:val="center"/>
              <w:rPr>
                <w:color w:val="000000"/>
                <w:sz w:val="22"/>
                <w:szCs w:val="22"/>
              </w:rPr>
            </w:pP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I</w:t>
            </w:r>
          </w:p>
        </w:tc>
        <w:tc>
          <w:tcPr>
            <w:tcW w:w="4846"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Long Term (@ 80% of Average Wheeling Charge)</w:t>
            </w:r>
          </w:p>
        </w:tc>
        <w:tc>
          <w:tcPr>
            <w:tcW w:w="1344" w:type="dxa"/>
            <w:shd w:val="clear" w:color="auto" w:fill="auto"/>
            <w:vAlign w:val="center"/>
            <w:hideMark/>
          </w:tcPr>
          <w:p w:rsidR="00023318" w:rsidRPr="00023318" w:rsidRDefault="00023318" w:rsidP="00023318">
            <w:pPr>
              <w:spacing w:before="0" w:line="240" w:lineRule="auto"/>
              <w:jc w:val="center"/>
              <w:rPr>
                <w:sz w:val="22"/>
                <w:szCs w:val="22"/>
              </w:rPr>
            </w:pPr>
            <w:r w:rsidRPr="00023318">
              <w:rPr>
                <w:sz w:val="22"/>
                <w:szCs w:val="22"/>
              </w:rPr>
              <w:t>Rs./kWh</w:t>
            </w:r>
          </w:p>
        </w:tc>
        <w:tc>
          <w:tcPr>
            <w:tcW w:w="1366" w:type="dxa"/>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asciiTheme="minorHAnsi" w:hAnsiTheme="minorHAnsi"/>
                <w:color w:val="000000"/>
                <w:sz w:val="22"/>
                <w:szCs w:val="22"/>
              </w:rPr>
              <w:t>0.487</w:t>
            </w: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lastRenderedPageBreak/>
              <w:t>II</w:t>
            </w:r>
          </w:p>
        </w:tc>
        <w:tc>
          <w:tcPr>
            <w:tcW w:w="4846"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Short Term (@ 80% of Average Wheeling Charge)</w:t>
            </w:r>
          </w:p>
        </w:tc>
        <w:tc>
          <w:tcPr>
            <w:tcW w:w="1344" w:type="dxa"/>
            <w:shd w:val="clear" w:color="auto" w:fill="auto"/>
            <w:vAlign w:val="center"/>
            <w:hideMark/>
          </w:tcPr>
          <w:p w:rsidR="00023318" w:rsidRPr="00023318" w:rsidRDefault="00023318" w:rsidP="00023318">
            <w:pPr>
              <w:spacing w:before="0" w:line="240" w:lineRule="auto"/>
              <w:jc w:val="center"/>
              <w:rPr>
                <w:sz w:val="22"/>
                <w:szCs w:val="22"/>
              </w:rPr>
            </w:pPr>
            <w:r w:rsidRPr="00023318">
              <w:rPr>
                <w:sz w:val="22"/>
                <w:szCs w:val="22"/>
              </w:rPr>
              <w:t>Rs./kWh</w:t>
            </w:r>
          </w:p>
        </w:tc>
        <w:tc>
          <w:tcPr>
            <w:tcW w:w="1366" w:type="dxa"/>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asciiTheme="minorHAnsi" w:hAnsiTheme="minorHAnsi"/>
                <w:color w:val="000000"/>
                <w:sz w:val="22"/>
                <w:szCs w:val="22"/>
              </w:rPr>
              <w:t>0.487</w:t>
            </w: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2</w:t>
            </w:r>
          </w:p>
        </w:tc>
        <w:tc>
          <w:tcPr>
            <w:tcW w:w="4846"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Connected above 11 kV</w:t>
            </w:r>
          </w:p>
        </w:tc>
        <w:tc>
          <w:tcPr>
            <w:tcW w:w="1344" w:type="dxa"/>
            <w:shd w:val="clear" w:color="auto" w:fill="auto"/>
            <w:vAlign w:val="center"/>
            <w:hideMark/>
          </w:tcPr>
          <w:p w:rsidR="00023318" w:rsidRPr="00023318" w:rsidRDefault="00023318" w:rsidP="00023318">
            <w:pPr>
              <w:spacing w:before="0" w:line="240" w:lineRule="auto"/>
              <w:jc w:val="center"/>
              <w:rPr>
                <w:sz w:val="22"/>
                <w:szCs w:val="22"/>
              </w:rPr>
            </w:pPr>
          </w:p>
        </w:tc>
        <w:tc>
          <w:tcPr>
            <w:tcW w:w="1366" w:type="dxa"/>
            <w:shd w:val="clear" w:color="auto" w:fill="auto"/>
            <w:noWrap/>
            <w:vAlign w:val="center"/>
            <w:hideMark/>
          </w:tcPr>
          <w:p w:rsidR="00023318" w:rsidRPr="00023318" w:rsidRDefault="00772FCA" w:rsidP="00023318">
            <w:pPr>
              <w:spacing w:before="0" w:line="240" w:lineRule="auto"/>
              <w:jc w:val="right"/>
              <w:rPr>
                <w:sz w:val="22"/>
                <w:szCs w:val="22"/>
              </w:rPr>
            </w:pPr>
            <w:r>
              <w:rPr>
                <w:rFonts w:asciiTheme="minorHAnsi" w:hAnsiTheme="minorHAnsi"/>
                <w:color w:val="000000"/>
                <w:sz w:val="22"/>
                <w:szCs w:val="22"/>
              </w:rPr>
              <w:t> </w:t>
            </w: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I</w:t>
            </w:r>
          </w:p>
        </w:tc>
        <w:tc>
          <w:tcPr>
            <w:tcW w:w="4846"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Long Term (@ 50% of Average Wheeling Charge)</w:t>
            </w:r>
          </w:p>
        </w:tc>
        <w:tc>
          <w:tcPr>
            <w:tcW w:w="1344" w:type="dxa"/>
            <w:shd w:val="clear" w:color="auto" w:fill="auto"/>
            <w:hideMark/>
          </w:tcPr>
          <w:p w:rsidR="00023318" w:rsidRPr="00023318" w:rsidRDefault="00023318" w:rsidP="00023318">
            <w:pPr>
              <w:spacing w:before="0" w:line="240" w:lineRule="auto"/>
              <w:jc w:val="center"/>
              <w:rPr>
                <w:sz w:val="22"/>
                <w:szCs w:val="22"/>
              </w:rPr>
            </w:pPr>
            <w:r w:rsidRPr="00023318">
              <w:rPr>
                <w:sz w:val="22"/>
                <w:szCs w:val="22"/>
              </w:rPr>
              <w:t>Rs./kWh</w:t>
            </w:r>
          </w:p>
        </w:tc>
        <w:tc>
          <w:tcPr>
            <w:tcW w:w="1366" w:type="dxa"/>
            <w:shd w:val="clear" w:color="auto" w:fill="auto"/>
            <w:noWrap/>
            <w:vAlign w:val="center"/>
            <w:hideMark/>
          </w:tcPr>
          <w:p w:rsidR="00023318" w:rsidRPr="00023318" w:rsidRDefault="00772FCA" w:rsidP="00023318">
            <w:pPr>
              <w:spacing w:before="0" w:line="240" w:lineRule="auto"/>
              <w:jc w:val="right"/>
              <w:rPr>
                <w:sz w:val="22"/>
                <w:szCs w:val="22"/>
              </w:rPr>
            </w:pPr>
            <w:r>
              <w:rPr>
                <w:rFonts w:asciiTheme="minorHAnsi" w:hAnsiTheme="minorHAnsi"/>
                <w:color w:val="000000"/>
                <w:sz w:val="22"/>
                <w:szCs w:val="22"/>
              </w:rPr>
              <w:t>0.304</w:t>
            </w:r>
          </w:p>
        </w:tc>
      </w:tr>
      <w:tr w:rsidR="00F51A9D" w:rsidRPr="00635FAC" w:rsidTr="00F51A9D">
        <w:trPr>
          <w:trHeight w:val="296"/>
          <w:jc w:val="center"/>
        </w:trPr>
        <w:tc>
          <w:tcPr>
            <w:tcW w:w="847" w:type="dxa"/>
            <w:shd w:val="clear" w:color="auto" w:fill="auto"/>
            <w:noWrap/>
            <w:vAlign w:val="center"/>
            <w:hideMark/>
          </w:tcPr>
          <w:p w:rsidR="00023318" w:rsidRPr="00023318" w:rsidRDefault="00023318" w:rsidP="00023318">
            <w:pPr>
              <w:spacing w:before="0" w:line="240" w:lineRule="auto"/>
              <w:jc w:val="center"/>
              <w:rPr>
                <w:sz w:val="22"/>
                <w:szCs w:val="22"/>
              </w:rPr>
            </w:pPr>
            <w:r w:rsidRPr="00023318">
              <w:rPr>
                <w:sz w:val="22"/>
                <w:szCs w:val="22"/>
              </w:rPr>
              <w:t>II</w:t>
            </w:r>
          </w:p>
        </w:tc>
        <w:tc>
          <w:tcPr>
            <w:tcW w:w="4846" w:type="dxa"/>
            <w:shd w:val="clear" w:color="auto" w:fill="auto"/>
            <w:vAlign w:val="center"/>
            <w:hideMark/>
          </w:tcPr>
          <w:p w:rsidR="00023318" w:rsidRPr="00023318" w:rsidRDefault="00023318" w:rsidP="00023318">
            <w:pPr>
              <w:spacing w:before="0" w:line="240" w:lineRule="auto"/>
              <w:rPr>
                <w:sz w:val="22"/>
                <w:szCs w:val="22"/>
              </w:rPr>
            </w:pPr>
            <w:r w:rsidRPr="00023318">
              <w:rPr>
                <w:sz w:val="22"/>
                <w:szCs w:val="22"/>
              </w:rPr>
              <w:t>Short Term (@ 50% of Average Wheeling Charge)</w:t>
            </w:r>
          </w:p>
        </w:tc>
        <w:tc>
          <w:tcPr>
            <w:tcW w:w="1344" w:type="dxa"/>
            <w:shd w:val="clear" w:color="auto" w:fill="auto"/>
            <w:hideMark/>
          </w:tcPr>
          <w:p w:rsidR="00023318" w:rsidRPr="00023318" w:rsidRDefault="00023318" w:rsidP="00023318">
            <w:pPr>
              <w:spacing w:before="0" w:line="240" w:lineRule="auto"/>
              <w:jc w:val="center"/>
              <w:rPr>
                <w:sz w:val="22"/>
                <w:szCs w:val="22"/>
              </w:rPr>
            </w:pPr>
            <w:r w:rsidRPr="00023318">
              <w:rPr>
                <w:sz w:val="22"/>
                <w:szCs w:val="22"/>
              </w:rPr>
              <w:t>Rs./kWh</w:t>
            </w:r>
          </w:p>
        </w:tc>
        <w:tc>
          <w:tcPr>
            <w:tcW w:w="1366" w:type="dxa"/>
            <w:shd w:val="clear" w:color="auto" w:fill="auto"/>
            <w:noWrap/>
            <w:vAlign w:val="center"/>
            <w:hideMark/>
          </w:tcPr>
          <w:p w:rsidR="00023318" w:rsidRPr="00023318" w:rsidRDefault="00772FCA" w:rsidP="00023318">
            <w:pPr>
              <w:spacing w:before="0" w:line="240" w:lineRule="auto"/>
              <w:jc w:val="right"/>
              <w:rPr>
                <w:sz w:val="22"/>
                <w:szCs w:val="22"/>
              </w:rPr>
            </w:pPr>
            <w:r>
              <w:rPr>
                <w:rFonts w:asciiTheme="minorHAnsi" w:hAnsiTheme="minorHAnsi"/>
                <w:color w:val="000000"/>
                <w:sz w:val="22"/>
                <w:szCs w:val="22"/>
              </w:rPr>
              <w:t>0.304</w:t>
            </w:r>
          </w:p>
        </w:tc>
      </w:tr>
    </w:tbl>
    <w:p w:rsidR="00023318" w:rsidRDefault="00023318" w:rsidP="00023318">
      <w:pPr>
        <w:spacing w:before="0"/>
      </w:pPr>
    </w:p>
    <w:p w:rsidR="00023318" w:rsidRDefault="00F51A9D" w:rsidP="00023318">
      <w:pPr>
        <w:pStyle w:val="Heading3"/>
        <w:tabs>
          <w:tab w:val="clear" w:pos="720"/>
        </w:tabs>
        <w:spacing w:after="240"/>
        <w:ind w:left="993" w:hanging="993"/>
      </w:pPr>
      <w:r>
        <w:t>In addition to the payment of wheeling charges, the customers also have to bear the wheeling losses in kind. The Commission has been seeking voltage level loss data from the utility but the same has not been forthcoming. Further, it is also logical that the open access customers have to bear only the technical losses in the system, and should not be asked to bear any part of the commercial losses.</w:t>
      </w:r>
    </w:p>
    <w:p w:rsidR="00023318" w:rsidRDefault="00F51A9D" w:rsidP="00023318">
      <w:pPr>
        <w:pStyle w:val="Heading3"/>
        <w:tabs>
          <w:tab w:val="clear" w:pos="720"/>
        </w:tabs>
        <w:spacing w:after="240"/>
        <w:ind w:left="993" w:hanging="993"/>
      </w:pPr>
      <w:r>
        <w:t>The Commission has considered the wheeling loss applicable for Open Access transactions entailing drawl at 11 kV voltage level as 8%, and that for drawl at voltages above 11 kV voltage level as 4% which in inline with the approach adopted by the Commission in its Tariff Order for FY 2015-16 as well as submitted by Petitioner during the proceedings in the matter of ARR / Tariff determination of FY 2016-17.</w:t>
      </w:r>
    </w:p>
    <w:p w:rsidR="00023318" w:rsidRDefault="00F51A9D" w:rsidP="00023318">
      <w:pPr>
        <w:pStyle w:val="Heading3"/>
        <w:tabs>
          <w:tab w:val="clear" w:pos="720"/>
        </w:tabs>
        <w:spacing w:after="240"/>
        <w:ind w:left="993" w:hanging="993"/>
      </w:pPr>
      <w:r>
        <w:t>The open access charges and the losses to be borne by the Open Access customers may be reviewed by the Commission on submission of the relevant information by the Licensee.</w:t>
      </w:r>
    </w:p>
    <w:p w:rsidR="00023318" w:rsidRDefault="00F51A9D" w:rsidP="00023318">
      <w:pPr>
        <w:pStyle w:val="Heading3"/>
        <w:tabs>
          <w:tab w:val="clear" w:pos="720"/>
        </w:tabs>
        <w:spacing w:after="240"/>
        <w:ind w:left="993" w:hanging="993"/>
      </w:pPr>
      <w:r>
        <w:t>The wheeling charges determined above shall not be payable if the Open Access customer is availing supply directly from the state transmission network.</w:t>
      </w:r>
    </w:p>
    <w:p w:rsidR="00F51A9D" w:rsidRDefault="00F51A9D" w:rsidP="004F705F">
      <w:pPr>
        <w:spacing w:before="0"/>
        <w:ind w:left="993"/>
        <w:outlineLvl w:val="2"/>
        <w:rPr>
          <w:rFonts w:cs="Arial"/>
          <w:bCs/>
          <w:szCs w:val="26"/>
        </w:rPr>
      </w:pPr>
    </w:p>
    <w:p w:rsidR="00F51A9D" w:rsidRPr="004469B2" w:rsidRDefault="00F51A9D" w:rsidP="004F705F">
      <w:pPr>
        <w:pStyle w:val="Heading2"/>
        <w:tabs>
          <w:tab w:val="num" w:pos="360"/>
        </w:tabs>
        <w:spacing w:before="0" w:after="120"/>
        <w:rPr>
          <w:rFonts w:cs="Calibri"/>
        </w:rPr>
      </w:pPr>
      <w:bookmarkStart w:id="1432" w:name="_Toc397332169"/>
      <w:bookmarkStart w:id="1433" w:name="_Toc399320597"/>
      <w:bookmarkStart w:id="1434" w:name="_Toc399623756"/>
      <w:bookmarkStart w:id="1435" w:name="_Toc422310082"/>
      <w:bookmarkStart w:id="1436" w:name="_Toc457355510"/>
      <w:r w:rsidRPr="0003150E">
        <w:rPr>
          <w:rFonts w:cs="Calibri"/>
        </w:rPr>
        <w:t>CROSS SUBSIDY SURCHARGE</w:t>
      </w:r>
      <w:bookmarkEnd w:id="1432"/>
      <w:bookmarkEnd w:id="1433"/>
      <w:bookmarkEnd w:id="1434"/>
      <w:bookmarkEnd w:id="1435"/>
      <w:bookmarkEnd w:id="1436"/>
    </w:p>
    <w:p w:rsidR="00023318" w:rsidRDefault="00F51A9D" w:rsidP="00023318">
      <w:pPr>
        <w:pStyle w:val="Heading3"/>
        <w:tabs>
          <w:tab w:val="clear" w:pos="720"/>
        </w:tabs>
        <w:spacing w:after="240"/>
        <w:ind w:left="993" w:hanging="993"/>
      </w:pPr>
      <w:r>
        <w:t>As regards the Cross Subsidy Surcharge, Regulation 6.6 of the Distribution Tariff Regulations, 2006 specifies as follows:</w:t>
      </w:r>
    </w:p>
    <w:p w:rsidR="00F51A9D" w:rsidRPr="004469B2" w:rsidRDefault="00F51A9D" w:rsidP="00F51A9D">
      <w:pPr>
        <w:autoSpaceDE w:val="0"/>
        <w:autoSpaceDN w:val="0"/>
        <w:adjustRightInd w:val="0"/>
        <w:spacing w:line="312" w:lineRule="auto"/>
        <w:ind w:left="720" w:firstLine="720"/>
        <w:rPr>
          <w:rFonts w:cs="Calibri"/>
          <w:b/>
          <w:bCs/>
          <w:i/>
        </w:rPr>
      </w:pPr>
      <w:r>
        <w:rPr>
          <w:rFonts w:cs="Calibri"/>
          <w:b/>
          <w:bCs/>
          <w:i/>
        </w:rPr>
        <w:t>“6.6 Surcharge</w:t>
      </w:r>
    </w:p>
    <w:p w:rsidR="00F51A9D" w:rsidRPr="004469B2" w:rsidRDefault="00F51A9D" w:rsidP="00F51A9D">
      <w:pPr>
        <w:autoSpaceDE w:val="0"/>
        <w:autoSpaceDN w:val="0"/>
        <w:adjustRightInd w:val="0"/>
        <w:spacing w:line="312" w:lineRule="auto"/>
        <w:ind w:left="1440"/>
        <w:rPr>
          <w:rFonts w:cs="Calibri"/>
          <w:i/>
        </w:rPr>
      </w:pPr>
      <w:r>
        <w:rPr>
          <w:rFonts w:cs="Calibri"/>
          <w:i/>
        </w:rPr>
        <w:t xml:space="preserve">1. Till such time the cross subsidies are eliminated, the open access consumer shall pay to the distribution licensee a cross subsidy surcharge in addition to wheeling charges. Surcharge to be levied on the open access </w:t>
      </w:r>
      <w:r>
        <w:rPr>
          <w:rFonts w:cs="Calibri"/>
          <w:i/>
        </w:rPr>
        <w:lastRenderedPageBreak/>
        <w:t>consumer shall be determined by the Commission keeping in view the loss of cross-subsidy from the consumers or category of consumers who have opted for open access to take supply from a person other than the incumbent distribution licensee.</w:t>
      </w:r>
    </w:p>
    <w:p w:rsidR="00F51A9D" w:rsidRPr="004469B2" w:rsidRDefault="00F51A9D" w:rsidP="00F51A9D">
      <w:pPr>
        <w:autoSpaceDE w:val="0"/>
        <w:autoSpaceDN w:val="0"/>
        <w:adjustRightInd w:val="0"/>
        <w:spacing w:line="312" w:lineRule="auto"/>
        <w:ind w:left="1440"/>
        <w:rPr>
          <w:rFonts w:cs="Calibri"/>
          <w:i/>
        </w:rPr>
      </w:pPr>
      <w:r>
        <w:rPr>
          <w:rFonts w:cs="Calibri"/>
          <w:i/>
        </w:rPr>
        <w:t>2. When open access is allowed the surcharge for the purpose of sections 38, 39, 40 and sub-section 2 of section 42 would be computed as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cost of supply to the consumer for this purpose may be computed as the aggregate of (a) the weighted average of power purchase costs (inclusive of fixed and variable charges) of top 5% power at the margin, excluding liquid fuel based generation, in the merit order approved by the UPERC adjusted for average loss compensation of the relevant voltage level and (b) the transmission and distribution wheeling charges as determined in accordance with the UPERC Terms and Conditions for Determination of Distribution and Transmission Tariff Regulations as amended from time to time.</w:t>
      </w:r>
    </w:p>
    <w:p w:rsidR="00F51A9D" w:rsidRPr="004469B2" w:rsidRDefault="00F51A9D" w:rsidP="00F51A9D">
      <w:pPr>
        <w:autoSpaceDE w:val="0"/>
        <w:autoSpaceDN w:val="0"/>
        <w:adjustRightInd w:val="0"/>
        <w:spacing w:line="312" w:lineRule="auto"/>
        <w:ind w:left="720" w:firstLine="720"/>
        <w:rPr>
          <w:rFonts w:cs="Calibri"/>
          <w:i/>
        </w:rPr>
      </w:pPr>
      <w:r>
        <w:rPr>
          <w:rFonts w:cs="Calibri"/>
          <w:i/>
        </w:rPr>
        <w:t>Cross Subsidy Surcharge formula:</w:t>
      </w:r>
    </w:p>
    <w:p w:rsidR="00F51A9D" w:rsidRPr="004469B2" w:rsidRDefault="00F51A9D" w:rsidP="00F51A9D">
      <w:pPr>
        <w:autoSpaceDE w:val="0"/>
        <w:autoSpaceDN w:val="0"/>
        <w:adjustRightInd w:val="0"/>
        <w:spacing w:line="312" w:lineRule="auto"/>
        <w:ind w:left="720" w:firstLine="720"/>
        <w:rPr>
          <w:rFonts w:cs="Calibri"/>
          <w:b/>
          <w:i/>
        </w:rPr>
      </w:pPr>
      <w:r>
        <w:rPr>
          <w:rFonts w:cs="Calibri"/>
          <w:b/>
          <w:i/>
        </w:rPr>
        <w:t>S = T – [C (1+ L / 100) + D]</w:t>
      </w:r>
    </w:p>
    <w:p w:rsidR="00F51A9D" w:rsidRPr="004469B2" w:rsidRDefault="00F51A9D" w:rsidP="00F51A9D">
      <w:pPr>
        <w:autoSpaceDE w:val="0"/>
        <w:autoSpaceDN w:val="0"/>
        <w:adjustRightInd w:val="0"/>
        <w:spacing w:line="312" w:lineRule="auto"/>
        <w:ind w:left="720" w:firstLine="720"/>
        <w:rPr>
          <w:rFonts w:cs="Calibri"/>
          <w:i/>
        </w:rPr>
      </w:pPr>
      <w:r>
        <w:rPr>
          <w:rFonts w:cs="Calibri"/>
          <w:i/>
        </w:rPr>
        <w:t>Where</w:t>
      </w:r>
    </w:p>
    <w:p w:rsidR="00F51A9D" w:rsidRDefault="00F51A9D" w:rsidP="00F51A9D">
      <w:pPr>
        <w:autoSpaceDE w:val="0"/>
        <w:autoSpaceDN w:val="0"/>
        <w:adjustRightInd w:val="0"/>
        <w:spacing w:line="312" w:lineRule="auto"/>
        <w:ind w:left="1440" w:firstLine="720"/>
        <w:rPr>
          <w:rFonts w:cs="Calibri"/>
          <w:i/>
        </w:rPr>
      </w:pPr>
      <w:r>
        <w:rPr>
          <w:rFonts w:cs="Calibri"/>
          <w:i/>
        </w:rPr>
        <w:t>S is the cross subsidy surcharge</w:t>
      </w:r>
    </w:p>
    <w:p w:rsidR="00F51A9D" w:rsidRDefault="00F51A9D" w:rsidP="00F51A9D">
      <w:pPr>
        <w:autoSpaceDE w:val="0"/>
        <w:autoSpaceDN w:val="0"/>
        <w:adjustRightInd w:val="0"/>
        <w:spacing w:line="312" w:lineRule="auto"/>
        <w:ind w:left="1440" w:firstLine="720"/>
        <w:rPr>
          <w:rFonts w:cs="Calibri"/>
          <w:i/>
        </w:rPr>
      </w:pPr>
      <w:r>
        <w:rPr>
          <w:rFonts w:cs="Calibri"/>
          <w:i/>
        </w:rPr>
        <w:t>T is the Tariff payable by the relevant category of consumers;</w:t>
      </w:r>
    </w:p>
    <w:p w:rsidR="004F012E" w:rsidRDefault="00F51A9D" w:rsidP="00F51A9D">
      <w:pPr>
        <w:autoSpaceDE w:val="0"/>
        <w:autoSpaceDN w:val="0"/>
        <w:adjustRightInd w:val="0"/>
        <w:spacing w:line="312" w:lineRule="auto"/>
        <w:ind w:left="2160"/>
        <w:rPr>
          <w:rFonts w:cs="Calibri"/>
          <w:i/>
        </w:rPr>
      </w:pPr>
      <w:r>
        <w:rPr>
          <w:rFonts w:cs="Calibri"/>
          <w:i/>
        </w:rPr>
        <w:t>C is the Weighted average cost of power purchase of top 5% at the margin excluding liquid fuel based generation and renewable power</w:t>
      </w:r>
    </w:p>
    <w:p w:rsidR="00B05011" w:rsidRDefault="00F51A9D">
      <w:pPr>
        <w:autoSpaceDE w:val="0"/>
        <w:autoSpaceDN w:val="0"/>
        <w:adjustRightInd w:val="0"/>
        <w:spacing w:line="312" w:lineRule="auto"/>
        <w:ind w:left="2160"/>
        <w:rPr>
          <w:rFonts w:cs="Calibri"/>
          <w:i/>
        </w:rPr>
      </w:pPr>
      <w:r>
        <w:rPr>
          <w:rFonts w:cs="Calibri"/>
          <w:i/>
        </w:rPr>
        <w:t>D is the Wheeling charges for transmission and distribution of power.</w:t>
      </w:r>
    </w:p>
    <w:p w:rsidR="00F51A9D" w:rsidRDefault="00F51A9D" w:rsidP="00F51A9D">
      <w:pPr>
        <w:autoSpaceDE w:val="0"/>
        <w:autoSpaceDN w:val="0"/>
        <w:adjustRightInd w:val="0"/>
        <w:spacing w:line="312" w:lineRule="auto"/>
        <w:ind w:left="2160"/>
        <w:rPr>
          <w:rFonts w:cs="Calibri"/>
          <w:i/>
        </w:rPr>
      </w:pPr>
      <w:r>
        <w:rPr>
          <w:rFonts w:cs="Calibri"/>
          <w:i/>
        </w:rPr>
        <w:lastRenderedPageBreak/>
        <w:t>L is the system Losses for the applicable voltage level, expressed as a percentage</w:t>
      </w:r>
    </w:p>
    <w:p w:rsidR="00F51A9D" w:rsidRPr="004469B2" w:rsidRDefault="00F51A9D" w:rsidP="00F51A9D">
      <w:pPr>
        <w:autoSpaceDE w:val="0"/>
        <w:autoSpaceDN w:val="0"/>
        <w:adjustRightInd w:val="0"/>
        <w:spacing w:line="312" w:lineRule="auto"/>
        <w:ind w:left="1440"/>
        <w:rPr>
          <w:rFonts w:cs="Calibri"/>
          <w:i/>
        </w:rPr>
      </w:pPr>
      <w:r>
        <w:rPr>
          <w:rFonts w:cs="Calibri"/>
          <w:i/>
        </w:rPr>
        <w:t>The cross-subsidy surcharge shall be brought down progressively and, as far as possible, at a linear rate to a maximum of 20% of its opening level by the year 2010-11.</w:t>
      </w:r>
    </w:p>
    <w:p w:rsidR="00F51A9D" w:rsidRPr="004469B2" w:rsidRDefault="00F51A9D" w:rsidP="00F51A9D">
      <w:pPr>
        <w:autoSpaceDE w:val="0"/>
        <w:autoSpaceDN w:val="0"/>
        <w:adjustRightInd w:val="0"/>
        <w:spacing w:line="312" w:lineRule="auto"/>
        <w:ind w:left="1440"/>
        <w:rPr>
          <w:rFonts w:cs="Calibri"/>
          <w:i/>
        </w:rPr>
      </w:pPr>
      <w:r>
        <w:rPr>
          <w:rFonts w:cs="Calibri"/>
          <w:i/>
        </w:rPr>
        <w:t>…</w:t>
      </w:r>
    </w:p>
    <w:p w:rsidR="00F51A9D" w:rsidRPr="004469B2" w:rsidRDefault="00F51A9D" w:rsidP="00F51A9D">
      <w:pPr>
        <w:ind w:left="1440"/>
      </w:pPr>
      <w:r>
        <w:rPr>
          <w:rFonts w:cs="Calibri"/>
          <w:i/>
        </w:rPr>
        <w:t>5. However, in order to facilitate open access, the Commission may adopt a procedure different from the procedure stated above for the calculation of cross subsidy surcharge consistent with the provisions of the EA 2003 and the spirit of the tariff policy after considering the view points of licensee and the open access customer.”</w:t>
      </w:r>
    </w:p>
    <w:p w:rsidR="00023318" w:rsidRDefault="00F51A9D" w:rsidP="00023318">
      <w:pPr>
        <w:pStyle w:val="Heading3"/>
        <w:tabs>
          <w:tab w:val="clear" w:pos="720"/>
        </w:tabs>
        <w:spacing w:after="240"/>
        <w:ind w:left="993" w:hanging="993"/>
      </w:pPr>
      <w:r>
        <w:t>The Commission has computed the cross-subsidy surcharge for Open Access consumers in accordance with the methodology specified in Clause 6.6 of Distribution Tariff Regulations.</w:t>
      </w:r>
    </w:p>
    <w:p w:rsidR="00023318" w:rsidRDefault="00F51A9D" w:rsidP="00023318">
      <w:pPr>
        <w:pStyle w:val="Heading3"/>
        <w:tabs>
          <w:tab w:val="clear" w:pos="720"/>
        </w:tabs>
        <w:spacing w:after="240"/>
        <w:ind w:left="993" w:hanging="993"/>
      </w:pPr>
      <w:r>
        <w:t>As per Clause 6.6, the Cross Subsidy Surcharge is to be computed based on the difference between (i) the tariff applicable to the relevant category of consumers and (ii) the cost of the Distribution Licensee to supply electricity to the consumers of the applicable class. In case of a consumer opting for open access, the Distribution Licensee could be in a position to discontinue purchase of power at the margin in the merit order. Accordingly, the Commission has computed the cost of supply to the consumer for this purpose as the aggregate of (a) the weighted average of power purchase costs (inclusive of fixed and variable charges) of top 5% power at the margin, excluding renewable and liquid fuel based generation, adjusted for average loss compensation of the relevant voltage level, and (b) the distribution wheeling charges as determined in the preceding section.</w:t>
      </w:r>
    </w:p>
    <w:p w:rsidR="00023318" w:rsidRDefault="00F51A9D" w:rsidP="00023318">
      <w:pPr>
        <w:pStyle w:val="Heading3"/>
        <w:tabs>
          <w:tab w:val="clear" w:pos="720"/>
        </w:tabs>
        <w:spacing w:after="240"/>
        <w:ind w:left="993" w:hanging="993"/>
      </w:pPr>
      <w:r>
        <w:t>The Commission has computed the Cross Subsidy Surcharge for the relevant consumer categories using the following formula:</w:t>
      </w:r>
    </w:p>
    <w:p w:rsidR="00F51A9D" w:rsidRPr="004469B2" w:rsidRDefault="00F51A9D" w:rsidP="00F51A9D">
      <w:pPr>
        <w:ind w:left="993"/>
        <w:rPr>
          <w:rFonts w:cs="Arial"/>
          <w:bCs/>
        </w:rPr>
      </w:pPr>
      <w:r>
        <w:rPr>
          <w:rFonts w:cs="Arial"/>
          <w:bCs/>
        </w:rPr>
        <w:t>S = T – [C (1+ L / 100) + D]</w:t>
      </w:r>
    </w:p>
    <w:p w:rsidR="00F51A9D" w:rsidRPr="004469B2" w:rsidRDefault="00F51A9D" w:rsidP="00F51A9D">
      <w:pPr>
        <w:ind w:left="993"/>
        <w:rPr>
          <w:rFonts w:cs="Arial"/>
          <w:bCs/>
        </w:rPr>
      </w:pPr>
      <w:r>
        <w:rPr>
          <w:rFonts w:cs="Arial"/>
          <w:bCs/>
        </w:rPr>
        <w:t>Where</w:t>
      </w:r>
    </w:p>
    <w:p w:rsidR="00023318" w:rsidRDefault="00F51A9D" w:rsidP="00023318">
      <w:pPr>
        <w:ind w:left="1440"/>
        <w:rPr>
          <w:rFonts w:cs="Arial"/>
          <w:bCs/>
        </w:rPr>
      </w:pPr>
      <w:r>
        <w:rPr>
          <w:rFonts w:cs="Arial"/>
          <w:bCs/>
        </w:rPr>
        <w:t>S is the cross subsidy surcharge</w:t>
      </w:r>
    </w:p>
    <w:p w:rsidR="00023318" w:rsidRDefault="00F51A9D" w:rsidP="00023318">
      <w:pPr>
        <w:ind w:left="1440"/>
        <w:rPr>
          <w:rFonts w:cs="Arial"/>
          <w:bCs/>
        </w:rPr>
      </w:pPr>
      <w:r>
        <w:rPr>
          <w:rFonts w:cs="Arial"/>
          <w:bCs/>
        </w:rPr>
        <w:t>T is the Tariff payable by the relevant category of consumers;</w:t>
      </w:r>
    </w:p>
    <w:p w:rsidR="00023318" w:rsidRDefault="00F51A9D" w:rsidP="00023318">
      <w:pPr>
        <w:ind w:left="1440"/>
      </w:pPr>
      <w:r>
        <w:rPr>
          <w:rFonts w:cs="Arial"/>
          <w:bCs/>
        </w:rPr>
        <w:lastRenderedPageBreak/>
        <w:t>C is the Weighted average cost of power purchase of top 5% at the margin excluding liquid fuel based generatio</w:t>
      </w:r>
      <w:r>
        <w:t xml:space="preserve">n and renewable power. </w:t>
      </w:r>
      <w:r w:rsidRPr="00CB7292">
        <w:t>In case of UP, this works out to Rs. 6.</w:t>
      </w:r>
      <w:r w:rsidRPr="0003150E">
        <w:t>12</w:t>
      </w:r>
      <w:r>
        <w:t xml:space="preserve"> / kWh considering the cost of marginal power purchase sources of Bajaj Hindustan, </w:t>
      </w:r>
      <w:r w:rsidRPr="0003150E">
        <w:t>IGSTPP, Jhajhjhar, Auriya</w:t>
      </w:r>
      <w:r>
        <w:t xml:space="preserve"> and Rosa Power Project.</w:t>
      </w:r>
    </w:p>
    <w:p w:rsidR="00023318" w:rsidRDefault="00F51A9D" w:rsidP="00023318">
      <w:pPr>
        <w:ind w:left="1440"/>
      </w:pPr>
      <w:r>
        <w:t xml:space="preserve">D is the wheeling charges. </w:t>
      </w:r>
    </w:p>
    <w:p w:rsidR="00023318" w:rsidRDefault="00F51A9D" w:rsidP="00023318">
      <w:pPr>
        <w:ind w:left="1440"/>
      </w:pPr>
      <w:r>
        <w:t>L is the system losses for the applicable voltage level, expressed as a percentage, which is considered as 4% for HT Categories (above 11 KV) and 8% for HT Categories (at 11 KV).</w:t>
      </w:r>
    </w:p>
    <w:p w:rsidR="00023318" w:rsidRDefault="00F51A9D" w:rsidP="00023318">
      <w:pPr>
        <w:pStyle w:val="Heading3"/>
        <w:tabs>
          <w:tab w:val="clear" w:pos="720"/>
        </w:tabs>
        <w:spacing w:after="240"/>
        <w:ind w:left="993" w:hanging="993"/>
      </w:pPr>
      <w:r>
        <w:t>The cost of the Distribution Licensee to supply electricity to the consumers of the HV-2 category (above 11 KV) and HV-2 category (at 11 KV) is working out as shown in the Table below:</w:t>
      </w:r>
    </w:p>
    <w:p w:rsidR="00F51A9D" w:rsidRPr="004F705F" w:rsidRDefault="00F51A9D" w:rsidP="00F51A9D">
      <w:pPr>
        <w:jc w:val="center"/>
        <w:rPr>
          <w:b/>
          <w:sz w:val="22"/>
        </w:rPr>
      </w:pPr>
      <w:bookmarkStart w:id="1437" w:name="_Toc399624140"/>
      <w:bookmarkStart w:id="1438" w:name="_Toc422309974"/>
      <w:bookmarkStart w:id="1439" w:name="_Toc457355657"/>
      <w:r w:rsidRPr="004F705F">
        <w:rPr>
          <w:rFonts w:cs="Calibri"/>
          <w:b/>
          <w:sz w:val="22"/>
        </w:rPr>
        <w:t>Table</w:t>
      </w:r>
      <w:r w:rsidR="00BE5FBE" w:rsidRPr="004F705F">
        <w:rPr>
          <w:rFonts w:cs="Calibri"/>
          <w:b/>
          <w:sz w:val="22"/>
        </w:rPr>
        <w:t xml:space="preserve"> 6</w:t>
      </w:r>
      <w:r w:rsidRPr="004F705F">
        <w:rPr>
          <w:rFonts w:cs="Calibri"/>
          <w:b/>
          <w:sz w:val="22"/>
        </w:rPr>
        <w:noBreakHyphen/>
      </w:r>
      <w:r w:rsidR="004A2D9E" w:rsidRPr="004F705F">
        <w:rPr>
          <w:rFonts w:cs="Calibri"/>
          <w:b/>
          <w:sz w:val="22"/>
        </w:rPr>
        <w:fldChar w:fldCharType="begin"/>
      </w:r>
      <w:r w:rsidRPr="004F705F">
        <w:rPr>
          <w:rFonts w:cs="Calibri"/>
          <w:b/>
          <w:sz w:val="22"/>
        </w:rPr>
        <w:instrText xml:space="preserve"> SEQ Table \* ARABIC \s 1 </w:instrText>
      </w:r>
      <w:r w:rsidR="004A2D9E" w:rsidRPr="004F705F">
        <w:rPr>
          <w:rFonts w:cs="Calibri"/>
          <w:b/>
          <w:sz w:val="22"/>
        </w:rPr>
        <w:fldChar w:fldCharType="separate"/>
      </w:r>
      <w:r w:rsidR="0011185B" w:rsidRPr="004F705F">
        <w:rPr>
          <w:rFonts w:cs="Calibri"/>
          <w:b/>
          <w:noProof/>
          <w:sz w:val="22"/>
        </w:rPr>
        <w:t>4</w:t>
      </w:r>
      <w:r w:rsidR="004A2D9E" w:rsidRPr="004F705F">
        <w:rPr>
          <w:rFonts w:cs="Calibri"/>
          <w:b/>
          <w:sz w:val="22"/>
        </w:rPr>
        <w:fldChar w:fldCharType="end"/>
      </w:r>
      <w:r w:rsidRPr="004F705F">
        <w:rPr>
          <w:rFonts w:cs="Calibri"/>
          <w:b/>
          <w:sz w:val="22"/>
        </w:rPr>
        <w:t xml:space="preserve">: </w:t>
      </w:r>
      <w:r w:rsidRPr="004F705F">
        <w:rPr>
          <w:b/>
          <w:sz w:val="22"/>
        </w:rPr>
        <w:t>COST OF SUPPLY APPROVED BY THE COMMISSION FOR FY 2016-17</w:t>
      </w:r>
      <w:bookmarkEnd w:id="1437"/>
      <w:bookmarkEnd w:id="1438"/>
      <w:bookmarkEnd w:id="1439"/>
    </w:p>
    <w:tbl>
      <w:tblPr>
        <w:tblW w:w="9860" w:type="dxa"/>
        <w:jc w:val="center"/>
        <w:tblInd w:w="103" w:type="dxa"/>
        <w:tblLook w:val="04A0"/>
      </w:tblPr>
      <w:tblGrid>
        <w:gridCol w:w="738"/>
        <w:gridCol w:w="3017"/>
        <w:gridCol w:w="1526"/>
        <w:gridCol w:w="2056"/>
        <w:gridCol w:w="1311"/>
        <w:gridCol w:w="1212"/>
      </w:tblGrid>
      <w:tr w:rsidR="00F51A9D" w:rsidRPr="001B0D34" w:rsidTr="004F012E">
        <w:trPr>
          <w:trHeight w:val="465"/>
          <w:tblHeader/>
          <w:jc w:val="center"/>
        </w:trPr>
        <w:tc>
          <w:tcPr>
            <w:tcW w:w="738" w:type="dxa"/>
            <w:tcBorders>
              <w:top w:val="dotted" w:sz="4" w:space="0" w:color="auto"/>
              <w:left w:val="dotted" w:sz="4" w:space="0" w:color="auto"/>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S No.</w:t>
            </w:r>
          </w:p>
        </w:tc>
        <w:tc>
          <w:tcPr>
            <w:tcW w:w="3017" w:type="dxa"/>
            <w:tcBorders>
              <w:top w:val="dotted" w:sz="4" w:space="0" w:color="auto"/>
              <w:left w:val="nil"/>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Categories</w:t>
            </w:r>
          </w:p>
        </w:tc>
        <w:tc>
          <w:tcPr>
            <w:tcW w:w="1526" w:type="dxa"/>
            <w:tcBorders>
              <w:top w:val="dotted" w:sz="4" w:space="0" w:color="auto"/>
              <w:left w:val="nil"/>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Wheeling Charge (D)</w:t>
            </w:r>
          </w:p>
        </w:tc>
        <w:tc>
          <w:tcPr>
            <w:tcW w:w="2056" w:type="dxa"/>
            <w:tcBorders>
              <w:top w:val="dotted" w:sz="4" w:space="0" w:color="auto"/>
              <w:left w:val="nil"/>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Wt. Avg. Power Purchase Cost (C)</w:t>
            </w:r>
          </w:p>
        </w:tc>
        <w:tc>
          <w:tcPr>
            <w:tcW w:w="1311" w:type="dxa"/>
            <w:tcBorders>
              <w:top w:val="dotted" w:sz="4" w:space="0" w:color="auto"/>
              <w:left w:val="nil"/>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System Loss (L)</w:t>
            </w:r>
          </w:p>
        </w:tc>
        <w:tc>
          <w:tcPr>
            <w:tcW w:w="1212" w:type="dxa"/>
            <w:tcBorders>
              <w:top w:val="dotted" w:sz="4" w:space="0" w:color="auto"/>
              <w:left w:val="nil"/>
              <w:bottom w:val="dotted" w:sz="4" w:space="0" w:color="auto"/>
              <w:right w:val="dotted" w:sz="4" w:space="0" w:color="auto"/>
            </w:tcBorders>
            <w:shd w:val="clear" w:color="000000" w:fill="DCE6F1"/>
            <w:hideMark/>
          </w:tcPr>
          <w:p w:rsidR="007B43DD" w:rsidRDefault="00023318">
            <w:pPr>
              <w:spacing w:before="0" w:line="240" w:lineRule="auto"/>
              <w:jc w:val="center"/>
              <w:rPr>
                <w:b/>
                <w:bCs/>
                <w:color w:val="000000"/>
                <w:sz w:val="22"/>
                <w:szCs w:val="22"/>
              </w:rPr>
            </w:pPr>
            <w:r w:rsidRPr="00023318">
              <w:rPr>
                <w:b/>
                <w:bCs/>
                <w:color w:val="000000"/>
                <w:sz w:val="22"/>
                <w:szCs w:val="22"/>
              </w:rPr>
              <w:t>Total Cost</w:t>
            </w:r>
          </w:p>
        </w:tc>
      </w:tr>
      <w:tr w:rsidR="00F51A9D" w:rsidRPr="001B0D34" w:rsidTr="001B0D34">
        <w:trPr>
          <w:trHeight w:val="300"/>
          <w:jc w:val="center"/>
        </w:trPr>
        <w:tc>
          <w:tcPr>
            <w:tcW w:w="738" w:type="dxa"/>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jc w:val="center"/>
              <w:rPr>
                <w:bCs/>
                <w:color w:val="000000"/>
                <w:sz w:val="22"/>
                <w:szCs w:val="22"/>
              </w:rPr>
            </w:pPr>
            <w:r w:rsidRPr="00023318">
              <w:rPr>
                <w:bCs/>
                <w:color w:val="000000"/>
                <w:sz w:val="22"/>
                <w:szCs w:val="22"/>
              </w:rPr>
              <w:t>1</w:t>
            </w:r>
          </w:p>
        </w:tc>
        <w:tc>
          <w:tcPr>
            <w:tcW w:w="3017" w:type="dxa"/>
            <w:tcBorders>
              <w:top w:val="nil"/>
              <w:left w:val="nil"/>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bCs/>
                <w:color w:val="000000"/>
                <w:sz w:val="22"/>
                <w:szCs w:val="22"/>
              </w:rPr>
            </w:pPr>
            <w:r w:rsidRPr="00023318">
              <w:rPr>
                <w:bCs/>
                <w:color w:val="000000"/>
                <w:sz w:val="22"/>
                <w:szCs w:val="22"/>
              </w:rPr>
              <w:t>HV Categories above 11 KV</w:t>
            </w:r>
          </w:p>
        </w:tc>
        <w:tc>
          <w:tcPr>
            <w:tcW w:w="1526"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0.30</w:t>
            </w:r>
            <w:r w:rsidR="001B0D34">
              <w:rPr>
                <w:rFonts w:asciiTheme="minorHAnsi" w:hAnsiTheme="minorHAnsi"/>
                <w:color w:val="000000"/>
                <w:sz w:val="22"/>
                <w:szCs w:val="22"/>
              </w:rPr>
              <w:t>4</w:t>
            </w:r>
          </w:p>
        </w:tc>
        <w:tc>
          <w:tcPr>
            <w:tcW w:w="2056"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6.12</w:t>
            </w:r>
          </w:p>
        </w:tc>
        <w:tc>
          <w:tcPr>
            <w:tcW w:w="1311"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4.00%</w:t>
            </w:r>
          </w:p>
        </w:tc>
        <w:tc>
          <w:tcPr>
            <w:tcW w:w="1212"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6.67</w:t>
            </w:r>
          </w:p>
        </w:tc>
      </w:tr>
      <w:tr w:rsidR="00F51A9D" w:rsidRPr="001B0D34" w:rsidTr="001B0D34">
        <w:trPr>
          <w:trHeight w:val="300"/>
          <w:jc w:val="center"/>
        </w:trPr>
        <w:tc>
          <w:tcPr>
            <w:tcW w:w="738" w:type="dxa"/>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jc w:val="center"/>
              <w:rPr>
                <w:bCs/>
                <w:color w:val="000000"/>
                <w:sz w:val="22"/>
                <w:szCs w:val="22"/>
              </w:rPr>
            </w:pPr>
            <w:r w:rsidRPr="00023318">
              <w:rPr>
                <w:bCs/>
                <w:color w:val="000000"/>
                <w:sz w:val="22"/>
                <w:szCs w:val="22"/>
              </w:rPr>
              <w:t>2</w:t>
            </w:r>
          </w:p>
        </w:tc>
        <w:tc>
          <w:tcPr>
            <w:tcW w:w="3017" w:type="dxa"/>
            <w:tcBorders>
              <w:top w:val="nil"/>
              <w:left w:val="nil"/>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bCs/>
                <w:color w:val="000000"/>
                <w:sz w:val="22"/>
                <w:szCs w:val="22"/>
              </w:rPr>
            </w:pPr>
            <w:r w:rsidRPr="00023318">
              <w:rPr>
                <w:bCs/>
                <w:color w:val="000000"/>
                <w:sz w:val="22"/>
                <w:szCs w:val="22"/>
              </w:rPr>
              <w:t>HV Categories at 11 KV</w:t>
            </w:r>
          </w:p>
        </w:tc>
        <w:tc>
          <w:tcPr>
            <w:tcW w:w="1526"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0.487</w:t>
            </w:r>
          </w:p>
        </w:tc>
        <w:tc>
          <w:tcPr>
            <w:tcW w:w="2056"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6.12</w:t>
            </w:r>
          </w:p>
        </w:tc>
        <w:tc>
          <w:tcPr>
            <w:tcW w:w="1311"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8.00%</w:t>
            </w:r>
          </w:p>
        </w:tc>
        <w:tc>
          <w:tcPr>
            <w:tcW w:w="1212" w:type="dxa"/>
            <w:tcBorders>
              <w:top w:val="nil"/>
              <w:left w:val="nil"/>
              <w:bottom w:val="dotted" w:sz="4" w:space="0" w:color="auto"/>
              <w:right w:val="dotted" w:sz="4" w:space="0" w:color="auto"/>
            </w:tcBorders>
            <w:shd w:val="clear" w:color="auto" w:fill="auto"/>
            <w:vAlign w:val="center"/>
            <w:hideMark/>
          </w:tcPr>
          <w:p w:rsidR="00023318" w:rsidRPr="00023318" w:rsidRDefault="00772FCA" w:rsidP="00023318">
            <w:pPr>
              <w:spacing w:before="0" w:line="240" w:lineRule="auto"/>
              <w:jc w:val="right"/>
              <w:rPr>
                <w:bCs/>
                <w:color w:val="000000"/>
                <w:sz w:val="22"/>
                <w:szCs w:val="22"/>
              </w:rPr>
            </w:pPr>
            <w:r>
              <w:rPr>
                <w:rFonts w:asciiTheme="minorHAnsi" w:hAnsiTheme="minorHAnsi"/>
                <w:color w:val="000000"/>
                <w:sz w:val="22"/>
                <w:szCs w:val="22"/>
              </w:rPr>
              <w:t>7.10</w:t>
            </w:r>
          </w:p>
        </w:tc>
      </w:tr>
    </w:tbl>
    <w:p w:rsidR="00023318" w:rsidRDefault="00023318" w:rsidP="00023318">
      <w:pPr>
        <w:spacing w:before="0" w:after="120"/>
        <w:ind w:left="993"/>
        <w:outlineLvl w:val="2"/>
        <w:rPr>
          <w:rFonts w:cs="Arial"/>
          <w:bCs/>
        </w:rPr>
      </w:pPr>
    </w:p>
    <w:p w:rsidR="00023318" w:rsidRDefault="00F51A9D" w:rsidP="00023318">
      <w:pPr>
        <w:pStyle w:val="Heading3"/>
        <w:tabs>
          <w:tab w:val="clear" w:pos="720"/>
        </w:tabs>
        <w:spacing w:after="240"/>
        <w:ind w:left="993" w:hanging="993"/>
      </w:pPr>
      <w:r>
        <w:t>The impact of migration / shifting of consumers from the network of the incumbent Distribution Licensee on the consumer mix and revenues of a particular Distribution Licensee shall be reviewed by the Commission from time to time as may be considered appropriate.</w:t>
      </w:r>
    </w:p>
    <w:p w:rsidR="00023318" w:rsidRDefault="00F51A9D" w:rsidP="00023318">
      <w:pPr>
        <w:pStyle w:val="Heading3"/>
        <w:tabs>
          <w:tab w:val="clear" w:pos="720"/>
        </w:tabs>
        <w:spacing w:after="240"/>
        <w:ind w:left="993" w:hanging="993"/>
      </w:pPr>
      <w:r>
        <w:t xml:space="preserve">The Commission has approved levy of Regulatory Surcharge for recovery of cumulative regulatory asset created for the Licensee, which is a part of the tariff charged to different consumer categories. Hence, the Cross Subsidy Surcharge has been computed by subtracting the avoidable cost of supply for the Open Access consumers from the tariff applicable for the relevant consumer, which also includes the applicable Regulatory Surcharge. </w:t>
      </w:r>
    </w:p>
    <w:p w:rsidR="00023318" w:rsidRDefault="00F51A9D" w:rsidP="00023318">
      <w:pPr>
        <w:pStyle w:val="Heading3"/>
        <w:tabs>
          <w:tab w:val="clear" w:pos="720"/>
        </w:tabs>
        <w:spacing w:after="240"/>
        <w:ind w:left="993" w:hanging="993"/>
      </w:pPr>
      <w:r>
        <w:t>The category-wise Cross Subsidy Surcharge approved by the Commission for FY 2016-17 is as given in the Table below:</w:t>
      </w:r>
    </w:p>
    <w:p w:rsidR="00F51A9D" w:rsidRPr="004F705F" w:rsidRDefault="00F51A9D" w:rsidP="00F51A9D">
      <w:pPr>
        <w:ind w:firstLine="720"/>
        <w:jc w:val="center"/>
        <w:rPr>
          <w:b/>
          <w:sz w:val="22"/>
        </w:rPr>
      </w:pPr>
      <w:bookmarkStart w:id="1440" w:name="_Toc399624141"/>
      <w:bookmarkStart w:id="1441" w:name="_Toc422309975"/>
      <w:bookmarkStart w:id="1442" w:name="_Toc457355658"/>
      <w:r w:rsidRPr="004F705F">
        <w:rPr>
          <w:rFonts w:cs="Calibri"/>
          <w:b/>
          <w:sz w:val="22"/>
        </w:rPr>
        <w:t>Table</w:t>
      </w:r>
      <w:r w:rsidR="00BE5FBE" w:rsidRPr="004F705F">
        <w:rPr>
          <w:rFonts w:cs="Calibri"/>
          <w:b/>
          <w:sz w:val="22"/>
        </w:rPr>
        <w:t xml:space="preserve"> 6</w:t>
      </w:r>
      <w:r w:rsidRPr="004F705F">
        <w:rPr>
          <w:rFonts w:cs="Calibri"/>
          <w:b/>
          <w:sz w:val="22"/>
        </w:rPr>
        <w:noBreakHyphen/>
      </w:r>
      <w:r w:rsidR="004A2D9E" w:rsidRPr="004F705F">
        <w:rPr>
          <w:rFonts w:cs="Calibri"/>
          <w:b/>
          <w:sz w:val="22"/>
        </w:rPr>
        <w:fldChar w:fldCharType="begin"/>
      </w:r>
      <w:r w:rsidRPr="004F705F">
        <w:rPr>
          <w:rFonts w:cs="Calibri"/>
          <w:b/>
          <w:sz w:val="22"/>
        </w:rPr>
        <w:instrText xml:space="preserve"> SEQ Table \* ARABIC \s 1 </w:instrText>
      </w:r>
      <w:r w:rsidR="004A2D9E" w:rsidRPr="004F705F">
        <w:rPr>
          <w:rFonts w:cs="Calibri"/>
          <w:b/>
          <w:sz w:val="22"/>
        </w:rPr>
        <w:fldChar w:fldCharType="separate"/>
      </w:r>
      <w:r w:rsidR="0011185B" w:rsidRPr="004F705F">
        <w:rPr>
          <w:rFonts w:cs="Calibri"/>
          <w:b/>
          <w:noProof/>
          <w:sz w:val="22"/>
        </w:rPr>
        <w:t>5</w:t>
      </w:r>
      <w:r w:rsidR="004A2D9E" w:rsidRPr="004F705F">
        <w:rPr>
          <w:rFonts w:cs="Calibri"/>
          <w:b/>
          <w:sz w:val="22"/>
        </w:rPr>
        <w:fldChar w:fldCharType="end"/>
      </w:r>
      <w:r w:rsidRPr="004F705F">
        <w:rPr>
          <w:rFonts w:cs="Calibri"/>
          <w:b/>
          <w:sz w:val="22"/>
        </w:rPr>
        <w:t xml:space="preserve">: </w:t>
      </w:r>
      <w:r w:rsidRPr="004F705F">
        <w:rPr>
          <w:b/>
          <w:sz w:val="22"/>
        </w:rPr>
        <w:t>CROSS SUBSIDY SURCHARGE APROVED BY THE COMMISSISON FOR FY 2016-17</w:t>
      </w:r>
      <w:bookmarkEnd w:id="1440"/>
      <w:bookmarkEnd w:id="1441"/>
      <w:bookmarkEnd w:id="1442"/>
    </w:p>
    <w:tbl>
      <w:tblPr>
        <w:tblW w:w="9860" w:type="dxa"/>
        <w:jc w:val="center"/>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60"/>
        <w:gridCol w:w="3038"/>
        <w:gridCol w:w="1047"/>
        <w:gridCol w:w="1800"/>
        <w:gridCol w:w="1530"/>
        <w:gridCol w:w="1485"/>
      </w:tblGrid>
      <w:tr w:rsidR="00F51A9D" w:rsidRPr="001B0D34" w:rsidTr="004F012E">
        <w:trPr>
          <w:trHeight w:val="710"/>
          <w:tblHeader/>
          <w:jc w:val="center"/>
        </w:trPr>
        <w:tc>
          <w:tcPr>
            <w:tcW w:w="960"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lastRenderedPageBreak/>
              <w:t>S No.</w:t>
            </w:r>
          </w:p>
        </w:tc>
        <w:tc>
          <w:tcPr>
            <w:tcW w:w="3038"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t>Categories</w:t>
            </w:r>
          </w:p>
        </w:tc>
        <w:tc>
          <w:tcPr>
            <w:tcW w:w="1047"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t>Average Billing Rate</w:t>
            </w:r>
          </w:p>
        </w:tc>
        <w:tc>
          <w:tcPr>
            <w:tcW w:w="1800"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t>Average Billing Rate (inclusive of Regulatory Surcharge) "T"</w:t>
            </w:r>
          </w:p>
        </w:tc>
        <w:tc>
          <w:tcPr>
            <w:tcW w:w="1530"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t>Cost of Supply for computing CSS</w:t>
            </w:r>
          </w:p>
        </w:tc>
        <w:tc>
          <w:tcPr>
            <w:tcW w:w="1485" w:type="dxa"/>
            <w:shd w:val="clear" w:color="000000" w:fill="DCE6F1"/>
            <w:hideMark/>
          </w:tcPr>
          <w:p w:rsidR="007B43DD" w:rsidRDefault="00023318">
            <w:pPr>
              <w:spacing w:before="0" w:line="240" w:lineRule="auto"/>
              <w:jc w:val="center"/>
              <w:rPr>
                <w:rFonts w:asciiTheme="minorHAnsi" w:hAnsiTheme="minorHAnsi" w:cstheme="minorHAnsi"/>
                <w:b/>
                <w:bCs/>
                <w:color w:val="000000"/>
                <w:sz w:val="22"/>
                <w:szCs w:val="22"/>
              </w:rPr>
            </w:pPr>
            <w:r w:rsidRPr="00023318">
              <w:rPr>
                <w:rFonts w:asciiTheme="minorHAnsi" w:hAnsiTheme="minorHAnsi" w:cstheme="minorHAnsi"/>
                <w:b/>
                <w:bCs/>
                <w:color w:val="000000"/>
                <w:sz w:val="22"/>
                <w:szCs w:val="22"/>
              </w:rPr>
              <w:t>Cross Subsidy Surcharge "CSS"</w:t>
            </w:r>
          </w:p>
        </w:tc>
      </w:tr>
      <w:tr w:rsidR="00F51A9D" w:rsidRPr="001B0D34" w:rsidTr="001B0D34">
        <w:trPr>
          <w:trHeight w:val="225"/>
          <w:jc w:val="center"/>
        </w:trPr>
        <w:tc>
          <w:tcPr>
            <w:tcW w:w="960" w:type="dxa"/>
            <w:shd w:val="clear" w:color="auto" w:fill="auto"/>
            <w:vAlign w:val="bottom"/>
            <w:hideMark/>
          </w:tcPr>
          <w:p w:rsidR="00023318" w:rsidRPr="00023318" w:rsidRDefault="00023318" w:rsidP="00023318">
            <w:pPr>
              <w:spacing w:before="0" w:line="240" w:lineRule="auto"/>
              <w:jc w:val="center"/>
              <w:rPr>
                <w:rFonts w:asciiTheme="minorHAnsi" w:hAnsiTheme="minorHAnsi" w:cstheme="minorHAnsi"/>
                <w:color w:val="000000"/>
                <w:sz w:val="22"/>
                <w:szCs w:val="22"/>
              </w:rPr>
            </w:pPr>
            <w:r w:rsidRPr="00023318">
              <w:rPr>
                <w:rFonts w:asciiTheme="minorHAnsi" w:hAnsiTheme="minorHAnsi" w:cstheme="minorHAnsi"/>
                <w:color w:val="000000"/>
                <w:sz w:val="22"/>
                <w:szCs w:val="22"/>
              </w:rPr>
              <w:t>1</w:t>
            </w:r>
          </w:p>
        </w:tc>
        <w:tc>
          <w:tcPr>
            <w:tcW w:w="3038" w:type="dxa"/>
            <w:shd w:val="clear" w:color="auto" w:fill="auto"/>
            <w:vAlign w:val="bottom"/>
            <w:hideMark/>
          </w:tcPr>
          <w:p w:rsidR="00023318" w:rsidRPr="00023318" w:rsidRDefault="00023318" w:rsidP="00023318">
            <w:pPr>
              <w:spacing w:before="0" w:line="240" w:lineRule="auto"/>
              <w:rPr>
                <w:rFonts w:asciiTheme="minorHAnsi" w:hAnsiTheme="minorHAnsi" w:cstheme="minorHAnsi"/>
                <w:color w:val="000000"/>
                <w:sz w:val="22"/>
                <w:szCs w:val="22"/>
              </w:rPr>
            </w:pPr>
            <w:r w:rsidRPr="00023318">
              <w:rPr>
                <w:rFonts w:asciiTheme="minorHAnsi" w:hAnsiTheme="minorHAnsi" w:cstheme="minorHAnsi"/>
                <w:color w:val="000000"/>
                <w:sz w:val="22"/>
                <w:szCs w:val="22"/>
              </w:rPr>
              <w:t>HV-1 (Supply at 11 kV)</w:t>
            </w:r>
          </w:p>
        </w:tc>
        <w:tc>
          <w:tcPr>
            <w:tcW w:w="1047"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9.74</w:t>
            </w:r>
          </w:p>
        </w:tc>
        <w:tc>
          <w:tcPr>
            <w:tcW w:w="180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10.14</w:t>
            </w:r>
          </w:p>
        </w:tc>
        <w:tc>
          <w:tcPr>
            <w:tcW w:w="1530"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7.10</w:t>
            </w:r>
          </w:p>
        </w:tc>
        <w:tc>
          <w:tcPr>
            <w:tcW w:w="1485"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3.04</w:t>
            </w:r>
          </w:p>
        </w:tc>
      </w:tr>
      <w:tr w:rsidR="00F51A9D" w:rsidRPr="001B0D34" w:rsidTr="001B0D34">
        <w:trPr>
          <w:trHeight w:val="225"/>
          <w:jc w:val="center"/>
        </w:trPr>
        <w:tc>
          <w:tcPr>
            <w:tcW w:w="960" w:type="dxa"/>
            <w:shd w:val="clear" w:color="auto" w:fill="auto"/>
            <w:vAlign w:val="bottom"/>
            <w:hideMark/>
          </w:tcPr>
          <w:p w:rsidR="00023318" w:rsidRPr="00023318" w:rsidRDefault="00023318" w:rsidP="00023318">
            <w:pPr>
              <w:spacing w:before="0" w:line="240" w:lineRule="auto"/>
              <w:jc w:val="center"/>
              <w:rPr>
                <w:rFonts w:asciiTheme="minorHAnsi" w:hAnsiTheme="minorHAnsi" w:cstheme="minorHAnsi"/>
                <w:color w:val="000000"/>
                <w:sz w:val="22"/>
                <w:szCs w:val="22"/>
              </w:rPr>
            </w:pPr>
            <w:r w:rsidRPr="00023318">
              <w:rPr>
                <w:rFonts w:asciiTheme="minorHAnsi" w:hAnsiTheme="minorHAnsi" w:cstheme="minorHAnsi"/>
                <w:color w:val="000000"/>
                <w:sz w:val="22"/>
                <w:szCs w:val="22"/>
              </w:rPr>
              <w:t>2</w:t>
            </w:r>
          </w:p>
        </w:tc>
        <w:tc>
          <w:tcPr>
            <w:tcW w:w="3038" w:type="dxa"/>
            <w:shd w:val="clear" w:color="auto" w:fill="auto"/>
            <w:vAlign w:val="bottom"/>
            <w:hideMark/>
          </w:tcPr>
          <w:p w:rsidR="00023318" w:rsidRPr="00023318" w:rsidRDefault="00023318" w:rsidP="00023318">
            <w:pPr>
              <w:spacing w:before="0" w:line="240" w:lineRule="auto"/>
              <w:rPr>
                <w:rFonts w:asciiTheme="minorHAnsi" w:hAnsiTheme="minorHAnsi" w:cstheme="minorHAnsi"/>
                <w:color w:val="000000"/>
                <w:sz w:val="22"/>
                <w:szCs w:val="22"/>
              </w:rPr>
            </w:pPr>
            <w:r w:rsidRPr="00023318">
              <w:rPr>
                <w:rFonts w:asciiTheme="minorHAnsi" w:hAnsiTheme="minorHAnsi" w:cstheme="minorHAnsi"/>
                <w:color w:val="000000"/>
                <w:sz w:val="22"/>
                <w:szCs w:val="22"/>
              </w:rPr>
              <w:t>HV-1 (Supply above 11 kV)</w:t>
            </w:r>
          </w:p>
        </w:tc>
        <w:tc>
          <w:tcPr>
            <w:tcW w:w="1047"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8.88</w:t>
            </w:r>
          </w:p>
        </w:tc>
        <w:tc>
          <w:tcPr>
            <w:tcW w:w="180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9.25</w:t>
            </w:r>
          </w:p>
        </w:tc>
        <w:tc>
          <w:tcPr>
            <w:tcW w:w="1530"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6.67</w:t>
            </w:r>
          </w:p>
        </w:tc>
        <w:tc>
          <w:tcPr>
            <w:tcW w:w="1485"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2.57</w:t>
            </w:r>
          </w:p>
        </w:tc>
      </w:tr>
      <w:tr w:rsidR="00F51A9D" w:rsidRPr="001B0D34" w:rsidTr="001B0D34">
        <w:trPr>
          <w:trHeight w:val="225"/>
          <w:jc w:val="center"/>
        </w:trPr>
        <w:tc>
          <w:tcPr>
            <w:tcW w:w="960" w:type="dxa"/>
            <w:shd w:val="clear" w:color="auto" w:fill="auto"/>
            <w:vAlign w:val="bottom"/>
            <w:hideMark/>
          </w:tcPr>
          <w:p w:rsidR="00023318" w:rsidRPr="00023318" w:rsidRDefault="00023318" w:rsidP="00023318">
            <w:pPr>
              <w:spacing w:before="0" w:line="240" w:lineRule="auto"/>
              <w:jc w:val="center"/>
              <w:rPr>
                <w:rFonts w:asciiTheme="minorHAnsi" w:hAnsiTheme="minorHAnsi" w:cstheme="minorHAnsi"/>
                <w:color w:val="000000"/>
                <w:sz w:val="22"/>
                <w:szCs w:val="22"/>
              </w:rPr>
            </w:pPr>
            <w:r w:rsidRPr="00023318">
              <w:rPr>
                <w:rFonts w:asciiTheme="minorHAnsi" w:hAnsiTheme="minorHAnsi" w:cstheme="minorHAnsi"/>
                <w:color w:val="000000"/>
                <w:sz w:val="22"/>
                <w:szCs w:val="22"/>
              </w:rPr>
              <w:t>3</w:t>
            </w:r>
          </w:p>
        </w:tc>
        <w:tc>
          <w:tcPr>
            <w:tcW w:w="3038" w:type="dxa"/>
            <w:shd w:val="clear" w:color="auto" w:fill="auto"/>
            <w:vAlign w:val="bottom"/>
            <w:hideMark/>
          </w:tcPr>
          <w:p w:rsidR="00023318" w:rsidRPr="00023318" w:rsidRDefault="00023318" w:rsidP="00023318">
            <w:pPr>
              <w:spacing w:before="0" w:line="240" w:lineRule="auto"/>
              <w:rPr>
                <w:rFonts w:asciiTheme="minorHAnsi" w:hAnsiTheme="minorHAnsi" w:cstheme="minorHAnsi"/>
                <w:color w:val="000000"/>
                <w:sz w:val="22"/>
                <w:szCs w:val="22"/>
              </w:rPr>
            </w:pPr>
            <w:r w:rsidRPr="00023318">
              <w:rPr>
                <w:rFonts w:asciiTheme="minorHAnsi" w:hAnsiTheme="minorHAnsi" w:cstheme="minorHAnsi"/>
                <w:color w:val="000000"/>
                <w:sz w:val="22"/>
                <w:szCs w:val="22"/>
              </w:rPr>
              <w:t>HV-2 (Supply at 11 kV)</w:t>
            </w:r>
          </w:p>
        </w:tc>
        <w:tc>
          <w:tcPr>
            <w:tcW w:w="1047"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7.97</w:t>
            </w:r>
          </w:p>
        </w:tc>
        <w:tc>
          <w:tcPr>
            <w:tcW w:w="180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8.30</w:t>
            </w:r>
          </w:p>
        </w:tc>
        <w:tc>
          <w:tcPr>
            <w:tcW w:w="153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7.10</w:t>
            </w:r>
          </w:p>
        </w:tc>
        <w:tc>
          <w:tcPr>
            <w:tcW w:w="1485"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1.20</w:t>
            </w:r>
          </w:p>
        </w:tc>
      </w:tr>
      <w:tr w:rsidR="00F51A9D" w:rsidRPr="001B0D34" w:rsidTr="001B0D34">
        <w:trPr>
          <w:trHeight w:val="225"/>
          <w:jc w:val="center"/>
        </w:trPr>
        <w:tc>
          <w:tcPr>
            <w:tcW w:w="960" w:type="dxa"/>
            <w:shd w:val="clear" w:color="auto" w:fill="auto"/>
            <w:vAlign w:val="bottom"/>
            <w:hideMark/>
          </w:tcPr>
          <w:p w:rsidR="00023318" w:rsidRPr="00023318" w:rsidRDefault="00023318" w:rsidP="00023318">
            <w:pPr>
              <w:spacing w:before="0" w:line="240" w:lineRule="auto"/>
              <w:jc w:val="center"/>
              <w:rPr>
                <w:rFonts w:asciiTheme="minorHAnsi" w:hAnsiTheme="minorHAnsi" w:cstheme="minorHAnsi"/>
                <w:color w:val="000000"/>
                <w:sz w:val="22"/>
                <w:szCs w:val="22"/>
              </w:rPr>
            </w:pPr>
            <w:r w:rsidRPr="00023318">
              <w:rPr>
                <w:rFonts w:asciiTheme="minorHAnsi" w:hAnsiTheme="minorHAnsi" w:cstheme="minorHAnsi"/>
                <w:color w:val="000000"/>
                <w:sz w:val="22"/>
                <w:szCs w:val="22"/>
              </w:rPr>
              <w:t>4</w:t>
            </w:r>
          </w:p>
        </w:tc>
        <w:tc>
          <w:tcPr>
            <w:tcW w:w="3038" w:type="dxa"/>
            <w:shd w:val="clear" w:color="auto" w:fill="auto"/>
            <w:vAlign w:val="bottom"/>
            <w:hideMark/>
          </w:tcPr>
          <w:p w:rsidR="00023318" w:rsidRPr="00023318" w:rsidRDefault="00023318" w:rsidP="00023318">
            <w:pPr>
              <w:spacing w:before="0" w:line="240" w:lineRule="auto"/>
              <w:rPr>
                <w:rFonts w:asciiTheme="minorHAnsi" w:hAnsiTheme="minorHAnsi" w:cstheme="minorHAnsi"/>
                <w:color w:val="000000"/>
                <w:sz w:val="22"/>
                <w:szCs w:val="22"/>
              </w:rPr>
            </w:pPr>
            <w:r w:rsidRPr="00023318">
              <w:rPr>
                <w:rFonts w:asciiTheme="minorHAnsi" w:hAnsiTheme="minorHAnsi" w:cstheme="minorHAnsi"/>
                <w:color w:val="000000"/>
                <w:sz w:val="22"/>
                <w:szCs w:val="22"/>
              </w:rPr>
              <w:t>HV-2 (Supply above 11 kV )</w:t>
            </w:r>
          </w:p>
        </w:tc>
        <w:tc>
          <w:tcPr>
            <w:tcW w:w="1047"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7.62</w:t>
            </w:r>
          </w:p>
        </w:tc>
        <w:tc>
          <w:tcPr>
            <w:tcW w:w="180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7.93</w:t>
            </w:r>
          </w:p>
        </w:tc>
        <w:tc>
          <w:tcPr>
            <w:tcW w:w="1530" w:type="dxa"/>
            <w:shd w:val="clear" w:color="auto" w:fill="auto"/>
            <w:noWrap/>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6.67</w:t>
            </w:r>
          </w:p>
        </w:tc>
        <w:tc>
          <w:tcPr>
            <w:tcW w:w="1485" w:type="dxa"/>
            <w:shd w:val="clear" w:color="auto" w:fill="auto"/>
            <w:hideMark/>
          </w:tcPr>
          <w:p w:rsidR="00023318" w:rsidRPr="00023318" w:rsidRDefault="00772FCA" w:rsidP="00023318">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1.26</w:t>
            </w:r>
          </w:p>
        </w:tc>
      </w:tr>
    </w:tbl>
    <w:p w:rsidR="00023318" w:rsidRDefault="00023318" w:rsidP="00023318">
      <w:pPr>
        <w:spacing w:before="0"/>
      </w:pPr>
    </w:p>
    <w:p w:rsidR="00F51A9D" w:rsidRPr="004469B2" w:rsidRDefault="00F51A9D" w:rsidP="00BA3941">
      <w:pPr>
        <w:pStyle w:val="Heading2"/>
        <w:tabs>
          <w:tab w:val="num" w:pos="360"/>
        </w:tabs>
        <w:spacing w:after="120"/>
        <w:rPr>
          <w:rFonts w:cs="Calibri"/>
        </w:rPr>
      </w:pPr>
      <w:bookmarkStart w:id="1443" w:name="_Toc397332170"/>
      <w:bookmarkStart w:id="1444" w:name="_Toc399320598"/>
      <w:bookmarkStart w:id="1445" w:name="_Toc399623757"/>
      <w:bookmarkStart w:id="1446" w:name="_Toc422310083"/>
      <w:bookmarkStart w:id="1447" w:name="_Toc457355511"/>
      <w:r w:rsidRPr="0003150E">
        <w:rPr>
          <w:rFonts w:cs="Calibri"/>
        </w:rPr>
        <w:t>ADDITIONAL SURCHARGE</w:t>
      </w:r>
      <w:bookmarkEnd w:id="1443"/>
      <w:bookmarkEnd w:id="1444"/>
      <w:bookmarkEnd w:id="1445"/>
      <w:bookmarkEnd w:id="1446"/>
      <w:bookmarkEnd w:id="1447"/>
    </w:p>
    <w:p w:rsidR="00023318" w:rsidRPr="00023318" w:rsidRDefault="00023318" w:rsidP="00023318">
      <w:pPr>
        <w:pStyle w:val="Heading3"/>
        <w:tabs>
          <w:tab w:val="clear" w:pos="720"/>
        </w:tabs>
        <w:ind w:left="993" w:hanging="993"/>
        <w:rPr>
          <w:rFonts w:asciiTheme="minorHAnsi" w:hAnsiTheme="minorHAnsi"/>
          <w:bCs w:val="0"/>
        </w:rPr>
      </w:pPr>
      <w:r w:rsidRPr="00023318">
        <w:rPr>
          <w:rFonts w:asciiTheme="minorHAnsi" w:hAnsiTheme="minorHAnsi"/>
        </w:rPr>
        <w:t xml:space="preserve">It has been observed by the Commission that there has been considerable amount of load shedding which implies that there is a power deficit scenario. In such a case if any consumer avails open access, the Licensee does not really have to reduce the power procurement from the tied up sources. The distribution licensee in such a scenario still has large number of consumers to whom the available electricity can be supplied and there will not be any stranded costs. Considering the above, the Commission has approved additional surcharge forFY2016-17 as Nil (zero). </w:t>
      </w:r>
    </w:p>
    <w:p w:rsidR="00F51A9D" w:rsidRPr="004469B2" w:rsidRDefault="00F51A9D" w:rsidP="00F51A9D">
      <w:pPr>
        <w:autoSpaceDE w:val="0"/>
        <w:autoSpaceDN w:val="0"/>
        <w:adjustRightInd w:val="0"/>
        <w:spacing w:after="120" w:line="240" w:lineRule="auto"/>
        <w:ind w:left="780"/>
        <w:contextualSpacing/>
        <w:outlineLvl w:val="1"/>
        <w:rPr>
          <w:rFonts w:cs="Calibri"/>
          <w:b/>
          <w:bCs/>
          <w:color w:val="000000"/>
        </w:rPr>
      </w:pPr>
    </w:p>
    <w:p w:rsidR="00F51A9D" w:rsidRPr="004469B2" w:rsidRDefault="00F51A9D" w:rsidP="00BA3941">
      <w:pPr>
        <w:pStyle w:val="Heading2"/>
        <w:tabs>
          <w:tab w:val="num" w:pos="360"/>
        </w:tabs>
        <w:spacing w:after="120"/>
        <w:rPr>
          <w:rFonts w:cs="Calibri"/>
        </w:rPr>
      </w:pPr>
      <w:bookmarkStart w:id="1448" w:name="_Toc397332171"/>
      <w:bookmarkStart w:id="1449" w:name="_Toc399320599"/>
      <w:bookmarkStart w:id="1450" w:name="_Toc399623758"/>
      <w:bookmarkStart w:id="1451" w:name="_Toc422310084"/>
      <w:bookmarkStart w:id="1452" w:name="_Toc457355512"/>
      <w:r w:rsidRPr="0003150E">
        <w:rPr>
          <w:rFonts w:cs="Calibri"/>
        </w:rPr>
        <w:t>OTHER CHARGES</w:t>
      </w:r>
      <w:bookmarkEnd w:id="1448"/>
      <w:bookmarkEnd w:id="1449"/>
      <w:bookmarkEnd w:id="1450"/>
      <w:bookmarkEnd w:id="1451"/>
      <w:bookmarkEnd w:id="1452"/>
    </w:p>
    <w:p w:rsidR="00023318" w:rsidRDefault="00F51A9D" w:rsidP="00023318">
      <w:pPr>
        <w:pStyle w:val="Heading3"/>
        <w:tabs>
          <w:tab w:val="clear" w:pos="720"/>
        </w:tabs>
        <w:ind w:left="993" w:hanging="993"/>
      </w:pPr>
      <w:r w:rsidRPr="0003150E">
        <w:rPr>
          <w:rFonts w:asciiTheme="minorHAnsi" w:hAnsiTheme="minorHAnsi"/>
        </w:rPr>
        <w:t>The Commission to encourage the Open access in the State rules that the standby charges, grid support charges and parallel operations charges shall be zero in case of Open Access consumers.</w:t>
      </w:r>
    </w:p>
    <w:p w:rsidR="00F755EF" w:rsidRDefault="00F755EF" w:rsidP="00C823CC">
      <w:pPr>
        <w:pStyle w:val="Heading1"/>
        <w:numPr>
          <w:ilvl w:val="0"/>
          <w:numId w:val="5"/>
        </w:numPr>
        <w:spacing w:line="276" w:lineRule="auto"/>
        <w:rPr>
          <w:rFonts w:cs="Calibri"/>
        </w:rPr>
        <w:sectPr w:rsidR="00F755EF" w:rsidSect="00675499">
          <w:footerReference w:type="default" r:id="rId13"/>
          <w:pgSz w:w="11909" w:h="16834"/>
          <w:pgMar w:top="1440" w:right="1440" w:bottom="1440" w:left="1800" w:header="720" w:footer="720" w:gutter="0"/>
          <w:pgNumType w:chapSep="colon"/>
          <w:cols w:space="720"/>
          <w:docGrid w:linePitch="326"/>
        </w:sectPr>
      </w:pPr>
      <w:bookmarkStart w:id="1453" w:name="_Toc455575080"/>
      <w:bookmarkStart w:id="1454" w:name="_Toc455673691"/>
      <w:bookmarkEnd w:id="1453"/>
      <w:bookmarkEnd w:id="1454"/>
    </w:p>
    <w:p w:rsidR="00C823CC" w:rsidRDefault="00C823CC" w:rsidP="00C823CC">
      <w:pPr>
        <w:pStyle w:val="Heading1"/>
        <w:numPr>
          <w:ilvl w:val="0"/>
          <w:numId w:val="5"/>
        </w:numPr>
        <w:spacing w:line="276" w:lineRule="auto"/>
        <w:rPr>
          <w:rFonts w:asciiTheme="minorHAnsi" w:hAnsiTheme="minorHAnsi" w:cstheme="minorHAnsi"/>
          <w:szCs w:val="24"/>
        </w:rPr>
      </w:pPr>
      <w:bookmarkStart w:id="1455" w:name="_Toc357345046"/>
      <w:bookmarkStart w:id="1456" w:name="_Toc357714423"/>
      <w:bookmarkStart w:id="1457" w:name="_Toc399320600"/>
      <w:bookmarkStart w:id="1458" w:name="_Toc421828853"/>
      <w:bookmarkStart w:id="1459" w:name="_Toc422310085"/>
      <w:bookmarkStart w:id="1460" w:name="_Toc455574108"/>
      <w:bookmarkStart w:id="1461" w:name="_Toc457355513"/>
      <w:r w:rsidRPr="00D005D2">
        <w:rPr>
          <w:rFonts w:asciiTheme="minorHAnsi" w:hAnsiTheme="minorHAnsi" w:cstheme="minorHAnsi"/>
          <w:szCs w:val="24"/>
        </w:rPr>
        <w:lastRenderedPageBreak/>
        <w:t>TARIFF PHILOSPHY</w:t>
      </w:r>
      <w:bookmarkEnd w:id="1455"/>
      <w:bookmarkEnd w:id="1456"/>
      <w:bookmarkEnd w:id="1457"/>
      <w:bookmarkEnd w:id="1458"/>
      <w:bookmarkEnd w:id="1459"/>
      <w:bookmarkEnd w:id="1460"/>
      <w:bookmarkEnd w:id="1461"/>
    </w:p>
    <w:p w:rsidR="003D4FE6" w:rsidRDefault="003D4FE6" w:rsidP="003D4FE6">
      <w:pPr>
        <w:pStyle w:val="Heading2"/>
        <w:numPr>
          <w:ilvl w:val="0"/>
          <w:numId w:val="0"/>
        </w:numPr>
        <w:ind w:left="780"/>
      </w:pPr>
    </w:p>
    <w:p w:rsidR="002C5FD1" w:rsidRPr="0011185B" w:rsidRDefault="002C5FD1" w:rsidP="00EC6AAC">
      <w:pPr>
        <w:pStyle w:val="Heading2"/>
        <w:numPr>
          <w:ilvl w:val="1"/>
          <w:numId w:val="114"/>
        </w:numPr>
        <w:tabs>
          <w:tab w:val="num" w:pos="360"/>
        </w:tabs>
        <w:spacing w:after="120"/>
        <w:rPr>
          <w:rFonts w:cs="Calibri"/>
        </w:rPr>
      </w:pPr>
      <w:bookmarkStart w:id="1462" w:name="_Toc457339951"/>
      <w:bookmarkStart w:id="1463" w:name="_Toc457355514"/>
      <w:bookmarkStart w:id="1464" w:name="_Toc357714424"/>
      <w:bookmarkStart w:id="1465" w:name="_Toc399320601"/>
      <w:bookmarkStart w:id="1466" w:name="_Toc421828854"/>
      <w:bookmarkStart w:id="1467" w:name="_Toc337201444"/>
      <w:bookmarkStart w:id="1468" w:name="_Toc357345047"/>
      <w:r w:rsidRPr="0011185B">
        <w:rPr>
          <w:rFonts w:cs="Calibri"/>
        </w:rPr>
        <w:t>CONSIDERATIONS IN TARIFF DESIGN</w:t>
      </w:r>
      <w:bookmarkEnd w:id="1462"/>
      <w:bookmarkEnd w:id="1463"/>
    </w:p>
    <w:p w:rsidR="002C5FD1" w:rsidRPr="00D005D2" w:rsidRDefault="002C5FD1" w:rsidP="002C5FD1">
      <w:pPr>
        <w:pStyle w:val="Heading2"/>
        <w:numPr>
          <w:ilvl w:val="0"/>
          <w:numId w:val="0"/>
        </w:numPr>
        <w:spacing w:after="120" w:line="276" w:lineRule="auto"/>
        <w:ind w:left="780"/>
        <w:rPr>
          <w:rFonts w:cs="Calibri"/>
        </w:rPr>
      </w:pP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Section 62 of the Electricity Act 2003, read with Section 24 of the Uttar Pradesh Electricity Reforms Act, 1999 sets out the overall principles for the Commission to determine the final tariffs for all categories of consumers defined and differentiated according to consumer’s load factor, power factor, voltage, total consumption of energy during any specified period or the time at which supply is required or the geographical position of any area, nature of supply and the purpose for which the supply is required. The overall mandate of the statutory legislations to the Commission is to adopt factors that will encourage efficiency, economical use of the resources, good performance, optimum investments and observance of the conditions of the License.</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The linkage of tariffs to cost of service and elimination of cross-subsidies is an important feature of the Electricity Act, 2003. Section 61 (g) of the Electricity Act, 2003 states that the tariffs should progressively reflect the cost of supply and it also requires the Commission to reduce cross subsidies within a timeframe specified by it. The need for progressive reduction of cross subsidies has also been underlined in Sections 39, 40 and 42 of the Electricity Act, 2003. The Tariff Policy also advocates for adoption of average cost of supply, which should be taken as reference point for fixing the tariff bands for different categories.</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The Commission has determined the retail tariff for FY 2016-17 in view of the guiding principles as stated in the Electricity Act, 2003 and Tariff Policy. The Commission has also considered the comments / suggestions / objections of the stakeholders and public at large while determining the tariffs. The Commission in its past Orders has laid emphasis on adoption of factors that encourages economy, efficiency, effective performance, autonomy, regulatory discipline and improved conditions of supply. On these lines, the Commission, in this Order too, has applied similar principles keeping in view the ground realities. </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As regards to the linkage of Tariff with the Cost of Service, the Distribution Tariff Regulations state as follows:</w:t>
      </w:r>
    </w:p>
    <w:p w:rsidR="002C5FD1" w:rsidRPr="001D4040" w:rsidRDefault="002C5FD1" w:rsidP="002C5FD1">
      <w:pPr>
        <w:pStyle w:val="Default"/>
        <w:spacing w:line="276" w:lineRule="auto"/>
        <w:jc w:val="both"/>
        <w:rPr>
          <w:rFonts w:cstheme="minorHAnsi"/>
          <w:bCs/>
        </w:rPr>
      </w:pPr>
    </w:p>
    <w:p w:rsidR="002C5FD1" w:rsidRPr="001D4040" w:rsidRDefault="002C5FD1" w:rsidP="002C5FD1">
      <w:pPr>
        <w:autoSpaceDE w:val="0"/>
        <w:autoSpaceDN w:val="0"/>
        <w:adjustRightInd w:val="0"/>
        <w:ind w:left="1440"/>
        <w:rPr>
          <w:rFonts w:cstheme="minorHAnsi"/>
          <w:i/>
        </w:rPr>
      </w:pPr>
      <w:r w:rsidRPr="001D4040">
        <w:rPr>
          <w:rFonts w:cstheme="minorHAnsi"/>
          <w:i/>
        </w:rPr>
        <w:lastRenderedPageBreak/>
        <w:t>“1. The tariffs for various categories / voltages shall progressively reflect Licensee’s cost to serve a particular category at a particular voltage. Allocation of all costs prudently incurred by the Distribution Licensee to different category of consumers shall form the basis of assessing cost to serve of a particular category. Pending availability of information that reasonably establishes the category-wise / voltage-wise cost to serve, average cost of supply shall be used for determining tariffs taking into account the fact that existing cross subsidies will be reduced gradually. Every Licensee shall provide to the Commission an accurate cost to serve study for its area. The category-wise/ voltage wise cost to serve should factor in such characteristics as supply hours, the load factor, voltage, extent of technical and commercial losses etc.</w:t>
      </w:r>
    </w:p>
    <w:p w:rsidR="002C5FD1" w:rsidRPr="001D4040" w:rsidRDefault="002C5FD1" w:rsidP="002C5FD1">
      <w:pPr>
        <w:autoSpaceDE w:val="0"/>
        <w:autoSpaceDN w:val="0"/>
        <w:adjustRightInd w:val="0"/>
        <w:ind w:left="1440"/>
        <w:rPr>
          <w:rFonts w:cstheme="minorHAnsi"/>
          <w:b/>
          <w:bCs/>
          <w:i/>
        </w:rPr>
      </w:pPr>
      <w:r w:rsidRPr="001D4040">
        <w:rPr>
          <w:rFonts w:cstheme="minorHAnsi"/>
          <w:i/>
        </w:rPr>
        <w:t>2. To achieve the objective that the tariff progressively reflects the cost of supply of electricity, the Commission may notify a roadmap with a target that latest by the end of year 2010-2011 tariffs are within ± 20 % of the average cost of supply. The road map shall also have intermediate milestones, based on the approach of a gradual reduction in cross subsidy.”</w:t>
      </w:r>
    </w:p>
    <w:p w:rsidR="002C5FD1" w:rsidRPr="001D4040" w:rsidRDefault="002C5FD1" w:rsidP="002C5FD1">
      <w:pPr>
        <w:pStyle w:val="Default"/>
        <w:spacing w:line="276" w:lineRule="auto"/>
        <w:jc w:val="both"/>
        <w:rPr>
          <w:rFonts w:cstheme="minorHAnsi"/>
          <w:b/>
          <w:bCs/>
        </w:rPr>
      </w:pP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In terms of the Distribution Tariff Regulations, 2006, Tariff Policy and the Electricity Act, 2003, the Commission opines that in the ideal scenario, the tariff of any category should be linked to the cost imposed on the system by the said category. In this regard, the Commission has been directing the Licensee to conduct Cost of Service studies to have a tool for alignment of costs and charges. The Licensee has not submitted any details regarding the cost of service studies for each category or voltage level. The paucity of data in this regard has restricted the Commission in establishing a linkage of tariff to average cost of supply.</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Accordingly, while determining the tariff for each category, the Commission has looked into the relationship between the tariff and the overall average cost of supply for FY 2016-17. Effort has been made to move the tariff of appropriate consumer categories, towards the band of +/- 20% to meet the declared objectives of the Distribution Tariff Regulations, 2006, Tariff Policy and the Electricity Act, 2003.</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In view of the above, the Commission has determined the retail tariff keeping in the mind the guiding principles as stated in Section 61 of the Electricity Act, </w:t>
      </w:r>
      <w:r w:rsidRPr="001D4040">
        <w:lastRenderedPageBreak/>
        <w:t>2003.There was unabridged revenue gap considering the existing tariff for FY 2016-17(including the gap for previous years). Considering the huge amount of accumulated revenue gap of previous years as well as revenue gap for current year and high cost of supply and resultant poor cost coverage in the absence of cost reflective tariff, the Commission has decided to increase the tariff as detailed in the subsequent sections to ensure some recovery of the revenue gap.</w:t>
      </w:r>
    </w:p>
    <w:p w:rsidR="002C5FD1" w:rsidRPr="001D4040" w:rsidRDefault="002C5FD1" w:rsidP="002C5FD1">
      <w:pPr>
        <w:pStyle w:val="ListParagraph"/>
      </w:pPr>
    </w:p>
    <w:p w:rsidR="002C5FD1" w:rsidRPr="001D4040" w:rsidRDefault="002C5FD1" w:rsidP="002C5FD1">
      <w:pPr>
        <w:pStyle w:val="ListParagraph"/>
        <w:rPr>
          <w:b/>
        </w:rPr>
      </w:pPr>
      <w:r w:rsidRPr="001D4040">
        <w:rPr>
          <w:b/>
        </w:rPr>
        <w:t>Metering:</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In the tariff Order for FY 2014-15, the Commission linked the tariff for unmetered consumer categories in (LMV-1 and LMV-2) with the contracted load which was earlier linked with number of consumers. The Commission in cognizance to the approach followed in the Tariff Order for FY 2014-15 and FY 2015-16, has decided to continue to levy of fixed charges of the unmetered consumers under LMV-1 and LMV-2 up to 2 kW as per their contracted load in Rs. / kW terms.</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To incentivise the rural consumers who shift from unmetered to metered category, the Commission has allowed a rebate of 10% on Rate applicable as per the applicable tariff of metered category which shall be applicable to the consumer from the date of installation of meter till end of FY 2017-18.</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It has further been observed in the previous years, that in spite of various incentive / dis-incentives, there has not been any considerable improvement in the metering status in the State and the Distribution Licensees continue to supply electricity to the unmetered consumers which results in huge loss of unaccounted electricity. The Petitioner has not been making its full efforts to convert the unmetered connections. </w:t>
      </w:r>
      <w:r w:rsidRPr="001D4040">
        <w:rPr>
          <w:b/>
        </w:rPr>
        <w:t>Therefore, the Commission in this Order has directed the Licensee to comply with the direction given by the Commission to put its sincere efforts for converting the unmetered consumers to metered consumers thereby ensuring that metering is achieved up to the satisfactory level, failing which the Commission may take a strict view for appropriate action.</w:t>
      </w:r>
    </w:p>
    <w:p w:rsidR="002C5FD1" w:rsidRPr="001D4040" w:rsidRDefault="002C5FD1" w:rsidP="002C5FD1">
      <w:pPr>
        <w:pStyle w:val="Default"/>
        <w:spacing w:line="276" w:lineRule="auto"/>
        <w:jc w:val="both"/>
        <w:rPr>
          <w:rFonts w:cstheme="minorHAnsi"/>
        </w:rPr>
      </w:pPr>
    </w:p>
    <w:p w:rsidR="002C5FD1" w:rsidRPr="001D4040" w:rsidRDefault="004F705F" w:rsidP="002C5FD1">
      <w:pPr>
        <w:pStyle w:val="Heading3"/>
        <w:numPr>
          <w:ilvl w:val="0"/>
          <w:numId w:val="0"/>
        </w:numPr>
        <w:spacing w:before="0"/>
        <w:ind w:left="720"/>
        <w:rPr>
          <w:b/>
          <w:szCs w:val="24"/>
        </w:rPr>
      </w:pPr>
      <w:r>
        <w:rPr>
          <w:b/>
          <w:szCs w:val="24"/>
        </w:rPr>
        <w:t>Billable Demand</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For all consumers having TVM / TOD / Demand recording meters installed, the billable load / demand during a month shall be the actual maximum load / </w:t>
      </w:r>
      <w:r w:rsidRPr="001D4040">
        <w:lastRenderedPageBreak/>
        <w:t>demand as recorded by the meter (can be in parts of kW or kVA) or 75% of the contracted load / demand (kW or kVA), whichever is higher.</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Calibri"/>
        </w:rPr>
      </w:pPr>
      <w:r w:rsidRPr="001D4040">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2C5FD1" w:rsidRPr="001D4040" w:rsidRDefault="002C5FD1" w:rsidP="002C5FD1">
      <w:pPr>
        <w:spacing w:after="120"/>
        <w:ind w:left="993"/>
        <w:outlineLvl w:val="2"/>
        <w:rPr>
          <w:rFonts w:cs="Calibri"/>
        </w:rPr>
      </w:pPr>
    </w:p>
    <w:p w:rsidR="002C5FD1" w:rsidRPr="001D4040" w:rsidRDefault="002C5FD1" w:rsidP="002C5FD1">
      <w:pPr>
        <w:pStyle w:val="Heading3"/>
        <w:numPr>
          <w:ilvl w:val="0"/>
          <w:numId w:val="0"/>
        </w:numPr>
        <w:spacing w:before="0"/>
        <w:ind w:left="936" w:hanging="936"/>
        <w:rPr>
          <w:b/>
          <w:szCs w:val="24"/>
        </w:rPr>
      </w:pPr>
      <w:r w:rsidRPr="001D4040">
        <w:rPr>
          <w:b/>
          <w:szCs w:val="24"/>
        </w:rPr>
        <w:tab/>
        <w:t>Time of Day Tariff</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The Time of Day tariff (TOD) is a widely accepted Demand side Management (DSM) measure for energy conservation by price. The TOD structure prompts the consumer to change their consumption profile so as to shift their loads during off peak hours when the power is relatively cheaper. TOD tariff encourages the distribution licensees to move towards separation of peak and off-peak tariffs which would help in reducing consumption as well as costly power purchase at the peak time. The Tariff is set in such a way that it inherently provides incentives and disincentives for the use of electricity in different time periods. The basic objective of implementing time of day tariffs is to flatten the load curve over a period of a day resulting in a reduction in the peaking power requirement and also to enhance power requirement during off peak period. The Licensees have proposed same TOD structure as approved by the Commission in its previous Tariff Order for FY 2015-16.</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It may be noted that by implementing the TOD Tariff, the peak load gets shifted and the Distribution Licensees gain in the form of reduction in power purchase expenses as the additional energy supplied to the consumers during peak hours are typically purchased from a costlier source. The Commission in this Tariff Order has continued with the optional TOD structure as </w:t>
      </w:r>
      <w:r w:rsidRPr="001D4040">
        <w:rPr>
          <w:rFonts w:cs="Calibri"/>
        </w:rPr>
        <w:t xml:space="preserve">introduced in FY 2015-16 </w:t>
      </w:r>
      <w:r w:rsidRPr="001D4040">
        <w:t xml:space="preserve">for </w:t>
      </w:r>
      <w:r w:rsidRPr="001D4040">
        <w:rPr>
          <w:rFonts w:cs="Calibri"/>
        </w:rPr>
        <w:t xml:space="preserve">consumers who want to operate at full potential only during the specified night hours (i.e. from 22:00 hrs to 06:00 hrs) with restricted consumption in remaining hours, in addition to the TOD slabs </w:t>
      </w:r>
      <w:r w:rsidRPr="001D4040">
        <w:t>which will be applicable for LMV-6 and HV-2 categories. Apart from the above the Commission in this Order has reduced the TOD rate for the Induction Furnaces / Arc Furnaces, Rolling / Re-Rolling Mill industrial consumers. The TOD structure has been detailed in the Rate Schedule which is provided subsequently in this Order.</w:t>
      </w:r>
    </w:p>
    <w:p w:rsidR="002C5FD1" w:rsidRPr="001D4040" w:rsidRDefault="002C5FD1" w:rsidP="002C5FD1">
      <w:pPr>
        <w:pStyle w:val="Heading3"/>
        <w:numPr>
          <w:ilvl w:val="0"/>
          <w:numId w:val="0"/>
        </w:numPr>
        <w:spacing w:before="0"/>
        <w:ind w:left="936" w:hanging="936"/>
        <w:rPr>
          <w:b/>
          <w:szCs w:val="24"/>
        </w:rPr>
      </w:pPr>
      <w:r w:rsidRPr="001D4040">
        <w:rPr>
          <w:b/>
          <w:szCs w:val="24"/>
        </w:rPr>
        <w:lastRenderedPageBreak/>
        <w:tab/>
        <w:t>Life-line consumers</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Licensees have not proposed any change for the Life Line category of consumers. The Commission in the past has been allowing tariff support to lifeline consumers having load up to 1 kW and maximum consumption of 150 kWh / month. In spirit of the National Electricity Policy and the approach followed in last year’s Order for FY 2015-16 the Commission in this Order, has decided not to change the slabs and rates for the lifeline consumers. </w:t>
      </w:r>
    </w:p>
    <w:p w:rsidR="002C5FD1" w:rsidRPr="001D4040" w:rsidRDefault="002C5FD1" w:rsidP="002C5FD1">
      <w:pPr>
        <w:spacing w:after="120"/>
        <w:ind w:left="993"/>
        <w:outlineLvl w:val="2"/>
        <w:rPr>
          <w:b/>
        </w:rPr>
      </w:pPr>
    </w:p>
    <w:p w:rsidR="002C5FD1" w:rsidRPr="001D4040" w:rsidRDefault="002C5FD1" w:rsidP="002C5FD1">
      <w:pPr>
        <w:pStyle w:val="Heading3"/>
        <w:numPr>
          <w:ilvl w:val="0"/>
          <w:numId w:val="0"/>
        </w:numPr>
        <w:spacing w:before="0"/>
        <w:ind w:left="936" w:hanging="936"/>
        <w:rPr>
          <w:b/>
          <w:szCs w:val="24"/>
        </w:rPr>
      </w:pPr>
      <w:r w:rsidRPr="001D4040">
        <w:rPr>
          <w:b/>
          <w:szCs w:val="24"/>
        </w:rPr>
        <w:tab/>
        <w:t>Scheme for advance deposit for future monthly energy bills</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The Commission in this Order has continued with the provision for Advance Deposit against payment of monthly future energy bills which would provide the consumer better facility and the consumer will also be entitled to get interest at the interest rate applicable on security deposit, for the period during which advance exists for each month. With this the Licensees would also get benefitted by improvement in their working capital requirement / cash flows. The detail of this arrangement of advance deposit against payment of future monthly electricity bills is provided in the rate schedule of this Order.</w:t>
      </w:r>
    </w:p>
    <w:p w:rsidR="002C5FD1" w:rsidRPr="001D4040" w:rsidRDefault="002C5FD1" w:rsidP="002C5FD1">
      <w:pPr>
        <w:pStyle w:val="Heading2"/>
        <w:numPr>
          <w:ilvl w:val="0"/>
          <w:numId w:val="0"/>
        </w:numPr>
        <w:spacing w:line="276" w:lineRule="auto"/>
        <w:ind w:left="780"/>
        <w:rPr>
          <w:rFonts w:ascii="Calibri" w:hAnsi="Calibri"/>
        </w:rPr>
      </w:pPr>
    </w:p>
    <w:p w:rsidR="002C5FD1" w:rsidRPr="001D4040" w:rsidRDefault="002C5FD1" w:rsidP="002C5FD1">
      <w:pPr>
        <w:pStyle w:val="Heading3"/>
        <w:numPr>
          <w:ilvl w:val="0"/>
          <w:numId w:val="0"/>
        </w:numPr>
        <w:spacing w:before="0"/>
        <w:ind w:left="936" w:hanging="936"/>
        <w:rPr>
          <w:b/>
          <w:szCs w:val="24"/>
        </w:rPr>
      </w:pPr>
      <w:r w:rsidRPr="001D4040">
        <w:rPr>
          <w:b/>
          <w:szCs w:val="24"/>
        </w:rPr>
        <w:tab/>
      </w:r>
      <w:r w:rsidR="00A145A8">
        <w:rPr>
          <w:b/>
          <w:szCs w:val="24"/>
        </w:rPr>
        <w:t>Rebate on Timely Payment</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The Commission has decided to increase the rebate to 0.50% for the consumers who pay the bills in time i.e. on or before due date. The consumers having any arrears in the bill shall not be entitled for this rebate. The consumers who have made advance deposit against future energy bills shall also be entitled for this rebate.</w:t>
      </w:r>
    </w:p>
    <w:p w:rsidR="002C5FD1" w:rsidRPr="001D4040" w:rsidRDefault="002C5FD1" w:rsidP="002C5FD1">
      <w:pPr>
        <w:pStyle w:val="Heading3"/>
        <w:numPr>
          <w:ilvl w:val="0"/>
          <w:numId w:val="0"/>
        </w:numPr>
        <w:spacing w:before="0"/>
        <w:ind w:left="720"/>
        <w:rPr>
          <w:b/>
          <w:szCs w:val="24"/>
        </w:rPr>
      </w:pPr>
    </w:p>
    <w:p w:rsidR="002C5FD1" w:rsidRPr="001D4040" w:rsidRDefault="00A145A8" w:rsidP="002C5FD1">
      <w:pPr>
        <w:pStyle w:val="Heading3"/>
        <w:numPr>
          <w:ilvl w:val="0"/>
          <w:numId w:val="0"/>
        </w:numPr>
        <w:spacing w:before="0"/>
        <w:ind w:left="936" w:hanging="936"/>
        <w:rPr>
          <w:b/>
          <w:szCs w:val="24"/>
        </w:rPr>
      </w:pPr>
      <w:r>
        <w:rPr>
          <w:b/>
          <w:szCs w:val="24"/>
        </w:rPr>
        <w:tab/>
        <w:t>Rebate for Prepaid Meters</w:t>
      </w:r>
    </w:p>
    <w:p w:rsidR="002C5FD1" w:rsidRPr="001D4040" w:rsidRDefault="002C5FD1" w:rsidP="002C5FD1">
      <w:pPr>
        <w:numPr>
          <w:ilvl w:val="2"/>
          <w:numId w:val="5"/>
        </w:numPr>
        <w:tabs>
          <w:tab w:val="clear" w:pos="1929"/>
          <w:tab w:val="num" w:pos="360"/>
          <w:tab w:val="num" w:pos="1646"/>
        </w:tabs>
        <w:spacing w:after="120"/>
        <w:ind w:left="993" w:hanging="993"/>
        <w:outlineLvl w:val="2"/>
        <w:rPr>
          <w:b/>
        </w:rPr>
      </w:pPr>
      <w:r w:rsidRPr="001D4040">
        <w:t xml:space="preserve">In order to encourage the prepaid meters, the Commission has decided to continue the rebate of 1.25% on the Rate of Charge for the consumers having prepaid meters. </w:t>
      </w:r>
    </w:p>
    <w:p w:rsidR="002C5FD1" w:rsidRPr="001D4040" w:rsidRDefault="002C5FD1" w:rsidP="002C5FD1">
      <w:pPr>
        <w:pStyle w:val="Heading3"/>
        <w:numPr>
          <w:ilvl w:val="0"/>
          <w:numId w:val="0"/>
        </w:numPr>
        <w:spacing w:before="0"/>
        <w:ind w:left="936" w:hanging="936"/>
        <w:rPr>
          <w:b/>
          <w:szCs w:val="24"/>
        </w:rPr>
      </w:pPr>
      <w:r w:rsidRPr="001D4040">
        <w:rPr>
          <w:b/>
          <w:szCs w:val="24"/>
        </w:rPr>
        <w:tab/>
      </w:r>
    </w:p>
    <w:p w:rsidR="002C5FD1" w:rsidRPr="001D4040" w:rsidRDefault="002C5FD1" w:rsidP="002C5FD1">
      <w:pPr>
        <w:pStyle w:val="Heading3"/>
        <w:numPr>
          <w:ilvl w:val="0"/>
          <w:numId w:val="0"/>
        </w:numPr>
        <w:spacing w:before="0"/>
        <w:ind w:left="936" w:hanging="936"/>
        <w:rPr>
          <w:b/>
          <w:szCs w:val="24"/>
        </w:rPr>
      </w:pPr>
      <w:r w:rsidRPr="001D4040">
        <w:rPr>
          <w:rFonts w:cs="Calibri"/>
          <w:b/>
          <w:szCs w:val="24"/>
        </w:rPr>
        <w:tab/>
        <w:t>Charges for exceeding contracted demand</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Calibri"/>
        </w:rPr>
      </w:pPr>
      <w:r w:rsidRPr="001D4040">
        <w:rPr>
          <w:rFonts w:cs="Calibri"/>
          <w:iCs/>
        </w:rPr>
        <w:t xml:space="preserve">The Commission has aligned the charges for exceeding the contracted load for the domestic consumers as per the provision of Electricity Supply Code Regulations, 2005 as amended from time to time. The relevant changes </w:t>
      </w:r>
      <w:r w:rsidRPr="001D4040">
        <w:rPr>
          <w:rFonts w:cs="Calibri"/>
          <w:iCs/>
        </w:rPr>
        <w:lastRenderedPageBreak/>
        <w:t xml:space="preserve">regarding levy of </w:t>
      </w:r>
      <w:r w:rsidRPr="001D4040">
        <w:rPr>
          <w:rFonts w:cs="Calibri"/>
        </w:rPr>
        <w:t>Charges for exceeding contracted demand has been provided in rate schedule.</w:t>
      </w:r>
    </w:p>
    <w:p w:rsidR="002C5FD1" w:rsidRPr="001D4040" w:rsidRDefault="002C5FD1" w:rsidP="002C5FD1">
      <w:pPr>
        <w:pStyle w:val="Heading3"/>
        <w:numPr>
          <w:ilvl w:val="0"/>
          <w:numId w:val="0"/>
        </w:numPr>
        <w:spacing w:before="0"/>
        <w:ind w:left="936" w:hanging="936"/>
        <w:rPr>
          <w:b/>
          <w:szCs w:val="24"/>
        </w:rPr>
      </w:pPr>
    </w:p>
    <w:p w:rsidR="002C5FD1" w:rsidRPr="001D4040" w:rsidRDefault="002C5FD1" w:rsidP="002C5FD1">
      <w:pPr>
        <w:pStyle w:val="Heading3"/>
        <w:numPr>
          <w:ilvl w:val="0"/>
          <w:numId w:val="0"/>
        </w:numPr>
        <w:spacing w:before="0"/>
        <w:ind w:left="936" w:hanging="936"/>
        <w:rPr>
          <w:b/>
          <w:szCs w:val="24"/>
        </w:rPr>
      </w:pPr>
      <w:r w:rsidRPr="001D4040">
        <w:rPr>
          <w:b/>
          <w:szCs w:val="24"/>
        </w:rPr>
        <w:tab/>
        <w:t>Dela</w:t>
      </w:r>
      <w:r w:rsidR="00A145A8">
        <w:rPr>
          <w:b/>
          <w:szCs w:val="24"/>
        </w:rPr>
        <w:t>yed Payment Surcharge / Penalty</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To discourage the late payment of electricity bills the Commission has continued with the applicable surcharge / penalty on the late payment of bills to </w:t>
      </w:r>
      <w:r w:rsidRPr="001D4040">
        <w:rPr>
          <w:rFonts w:cstheme="minorHAnsi"/>
        </w:rPr>
        <w:t xml:space="preserve">1.25% </w:t>
      </w:r>
      <w:r w:rsidRPr="001D4040">
        <w:t>per</w:t>
      </w:r>
      <w:r w:rsidRPr="001D4040">
        <w:rPr>
          <w:rFonts w:cstheme="minorHAnsi"/>
        </w:rPr>
        <w:t xml:space="preserve"> month</w:t>
      </w:r>
      <w:r w:rsidRPr="001D4040">
        <w:t xml:space="preserve"> (based on number of days for which the payment is delayed from the due date) up to first three months. However to penalise the consumers for the delay in payment of energy bills beyond the 3 months delayed payment surcharge would be levied @ 2.00% per month as detailed in the Rate Schedule of this Order.</w:t>
      </w:r>
    </w:p>
    <w:p w:rsidR="002C5FD1" w:rsidRPr="001D4040" w:rsidRDefault="002C5FD1" w:rsidP="002C5FD1">
      <w:pPr>
        <w:pStyle w:val="Heading3"/>
        <w:numPr>
          <w:ilvl w:val="0"/>
          <w:numId w:val="0"/>
        </w:numPr>
        <w:spacing w:before="0"/>
        <w:ind w:left="936" w:hanging="936"/>
        <w:rPr>
          <w:b/>
          <w:szCs w:val="24"/>
        </w:rPr>
      </w:pPr>
      <w:r w:rsidRPr="001D4040">
        <w:rPr>
          <w:b/>
          <w:szCs w:val="24"/>
        </w:rPr>
        <w:tab/>
      </w:r>
    </w:p>
    <w:p w:rsidR="002C5FD1" w:rsidRPr="001D4040" w:rsidRDefault="002C5FD1" w:rsidP="002C5FD1">
      <w:pPr>
        <w:pStyle w:val="Heading3"/>
        <w:numPr>
          <w:ilvl w:val="0"/>
          <w:numId w:val="0"/>
        </w:numPr>
        <w:spacing w:before="0"/>
        <w:ind w:left="936" w:hanging="936"/>
        <w:rPr>
          <w:b/>
          <w:szCs w:val="24"/>
        </w:rPr>
      </w:pPr>
      <w:r w:rsidRPr="001D4040">
        <w:rPr>
          <w:b/>
          <w:szCs w:val="24"/>
        </w:rPr>
        <w:tab/>
        <w:t>Single point buyer</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As depicted in the Rate Schedule the Commission has decided to reduce the maximum limit to5% for the single point buyer to charge the end consumers over and above the actual Rate &amp; other applicable charges.</w:t>
      </w:r>
    </w:p>
    <w:p w:rsidR="002C5FD1" w:rsidRPr="001D4040" w:rsidRDefault="002C5FD1" w:rsidP="002C5FD1">
      <w:pPr>
        <w:rPr>
          <w:b/>
        </w:rPr>
      </w:pPr>
      <w:r w:rsidRPr="001D4040">
        <w:rPr>
          <w:b/>
        </w:rPr>
        <w:tab/>
      </w:r>
    </w:p>
    <w:p w:rsidR="002C5FD1" w:rsidRPr="001D4040" w:rsidRDefault="002C5FD1" w:rsidP="002C5FD1">
      <w:pPr>
        <w:ind w:firstLine="720"/>
        <w:rPr>
          <w:b/>
        </w:rPr>
      </w:pPr>
      <w:r w:rsidRPr="001D4040">
        <w:rPr>
          <w:b/>
        </w:rPr>
        <w:t>Reba</w:t>
      </w:r>
      <w:r w:rsidR="00A145A8">
        <w:rPr>
          <w:b/>
        </w:rPr>
        <w:t>te for using Solar Water Heater</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Solar Water Heater not only promotes the use of renewable energy but also a measure of Demand Side Management. In order to encourage the use of solar energy which will conserve electricity, the Commission has continued with the rebate to the consumers who installs and uses the solar water heater. </w:t>
      </w:r>
    </w:p>
    <w:p w:rsidR="002C5FD1" w:rsidRPr="001D4040" w:rsidRDefault="002C5FD1" w:rsidP="002C5FD1">
      <w:pPr>
        <w:spacing w:after="120"/>
        <w:ind w:left="993"/>
        <w:outlineLvl w:val="2"/>
      </w:pPr>
    </w:p>
    <w:p w:rsidR="002C5FD1" w:rsidRPr="001D4040" w:rsidRDefault="002C5FD1" w:rsidP="002C5FD1">
      <w:pPr>
        <w:pStyle w:val="ListParagraph"/>
        <w:rPr>
          <w:b/>
        </w:rPr>
      </w:pPr>
      <w:r w:rsidRPr="001D4040">
        <w:rPr>
          <w:b/>
        </w:rPr>
        <w:t>Facilitation Charge for Online Payment</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With regard to facilitation charges being levied by the Distribution Licensees on the consumers who make payment through internet, the Commission is of the view that as the Distribution Licensees are facing issues like low collection efficiency, lack of meter readers etc., levying such charges would further act as deterrent for the consumers who want to pay through internet. In this regard the Commission initiated a Suo Moto proceeding and directed the Licensee to bear the transaction charge for transaction up to Rs. 4,000.00 for payment through Debit Card or Credit Card in the Order issued on May 29, 2015. The same mechanism of Licensee to bear the transaction for transaction up to Rs. 4,000.00 for payment through Debit Card or Credit Card shall be continued.</w:t>
      </w:r>
    </w:p>
    <w:p w:rsidR="002C5FD1" w:rsidRPr="001D4040" w:rsidRDefault="002C5FD1" w:rsidP="002C5FD1">
      <w:pPr>
        <w:pStyle w:val="ListParagraph"/>
        <w:rPr>
          <w:rFonts w:cstheme="minorHAnsi"/>
          <w:b/>
        </w:rPr>
      </w:pPr>
      <w:r w:rsidRPr="001D4040">
        <w:rPr>
          <w:rFonts w:cstheme="minorHAnsi"/>
          <w:b/>
        </w:rPr>
        <w:lastRenderedPageBreak/>
        <w:t>kVAh Tariff</w:t>
      </w:r>
    </w:p>
    <w:p w:rsidR="002C5FD1" w:rsidRPr="001D4040" w:rsidRDefault="002C5FD1" w:rsidP="002C5FD1">
      <w:pPr>
        <w:numPr>
          <w:ilvl w:val="2"/>
          <w:numId w:val="5"/>
        </w:numPr>
        <w:tabs>
          <w:tab w:val="clear" w:pos="1929"/>
          <w:tab w:val="num" w:pos="360"/>
          <w:tab w:val="num" w:pos="1646"/>
        </w:tabs>
        <w:spacing w:after="120"/>
        <w:ind w:left="993" w:hanging="993"/>
        <w:outlineLvl w:val="2"/>
      </w:pPr>
      <w:r w:rsidRPr="001D4040">
        <w:t xml:space="preserve">Implementation of kVAh metering and kVAh tariff is seen as a commercial inducement on consumers to pay lesser electricity bill by ensuring that they do not draw reactive power It suggests that consumers must be billed as per the kVAh (apparent energy) drawl, and not as per the kWh (active energy). </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theme="minorHAnsi"/>
          <w:shd w:val="clear" w:color="auto" w:fill="FFFFFF"/>
        </w:rPr>
      </w:pPr>
      <w:r w:rsidRPr="001D4040">
        <w:t>A change to a kVAh tariff is beneficial to non-defaulting consumer as the kVAh tariff is</w:t>
      </w:r>
      <w:r w:rsidRPr="001D4040">
        <w:rPr>
          <w:rFonts w:cstheme="minorHAnsi"/>
        </w:rPr>
        <w:t xml:space="preserve"> cheaper than the kWh tariff. The Distribution Licensee can benefit </w:t>
      </w:r>
      <w:r w:rsidRPr="001D4040">
        <w:t>through the collection of more revenue from consumers having low power</w:t>
      </w:r>
      <w:r w:rsidRPr="001D4040">
        <w:rPr>
          <w:rFonts w:cstheme="minorHAnsi"/>
        </w:rPr>
        <w:t xml:space="preserve"> factor loads. Most importantly, the tariff is environmentally friendly due to improved efficiency. This will also prompt the consumers to take the initiative in correcting the power factor, using compensating capacitors at their end. </w:t>
      </w:r>
    </w:p>
    <w:p w:rsidR="002C5FD1" w:rsidRPr="001D4040" w:rsidRDefault="002C5FD1" w:rsidP="002C5FD1">
      <w:pPr>
        <w:rPr>
          <w:rFonts w:cstheme="minorHAnsi"/>
          <w:b/>
        </w:rPr>
      </w:pPr>
    </w:p>
    <w:p w:rsidR="002C5FD1" w:rsidRPr="001D4040" w:rsidRDefault="006349D7" w:rsidP="002C5FD1">
      <w:pPr>
        <w:ind w:left="720"/>
        <w:rPr>
          <w:rFonts w:cstheme="minorHAnsi"/>
          <w:b/>
        </w:rPr>
      </w:pPr>
      <w:r>
        <w:rPr>
          <w:rFonts w:cstheme="minorHAnsi"/>
          <w:b/>
        </w:rPr>
        <w:t>Minimum Charge</w:t>
      </w:r>
      <w:r w:rsidRPr="006349D7">
        <w:rPr>
          <w:rFonts w:cstheme="minorHAnsi"/>
          <w:b/>
        </w:rPr>
        <w:t xml:space="preserve"> </w:t>
      </w:r>
      <w:r w:rsidRPr="001D4040">
        <w:rPr>
          <w:rFonts w:cstheme="minorHAnsi"/>
          <w:b/>
        </w:rPr>
        <w:t>Payable</w:t>
      </w:r>
      <w:r w:rsidR="002C5FD1" w:rsidRPr="001D4040">
        <w:rPr>
          <w:rFonts w:cstheme="minorHAnsi"/>
          <w:b/>
        </w:rPr>
        <w:t xml:space="preserve"> for LMV-2(c) (Non-domestic light, Fan and Power) Category</w:t>
      </w:r>
    </w:p>
    <w:p w:rsidR="002C5FD1" w:rsidRPr="001D4040" w:rsidRDefault="006349D7" w:rsidP="002C5FD1">
      <w:pPr>
        <w:numPr>
          <w:ilvl w:val="2"/>
          <w:numId w:val="5"/>
        </w:numPr>
        <w:tabs>
          <w:tab w:val="clear" w:pos="1929"/>
          <w:tab w:val="num" w:pos="360"/>
          <w:tab w:val="num" w:pos="1646"/>
        </w:tabs>
        <w:spacing w:after="120"/>
        <w:ind w:left="993" w:hanging="993"/>
        <w:outlineLvl w:val="2"/>
        <w:rPr>
          <w:rFonts w:cstheme="minorHAnsi"/>
        </w:rPr>
      </w:pPr>
      <w:r w:rsidRPr="006349D7">
        <w:rPr>
          <w:rFonts w:cstheme="minorHAnsi"/>
        </w:rPr>
        <w:t>The Commission understands that the consumption pattern of the consumers is not uniform throughout the year and varies seasonally. In view of the same appropriate minimum charges have been decided for summer and winter season as detailed in the Rate Schedule. The Commission taking into considerations the views of the stakeholders and also taking into cognizance the wide use of energy efficient equipment (like LED bulbs, etc.) in the State, has lowered the minimum charge payable for the urban LMV-2 consumers.</w:t>
      </w:r>
    </w:p>
    <w:p w:rsidR="002C5FD1" w:rsidRPr="001D4040" w:rsidRDefault="002C5FD1" w:rsidP="002C5FD1">
      <w:pPr>
        <w:pStyle w:val="ListParagraph"/>
        <w:rPr>
          <w:rFonts w:cstheme="minorHAnsi"/>
          <w:b/>
        </w:rPr>
      </w:pPr>
    </w:p>
    <w:p w:rsidR="002C5FD1" w:rsidRPr="001D4040" w:rsidRDefault="002C5FD1" w:rsidP="002C5FD1">
      <w:pPr>
        <w:pStyle w:val="ListParagraph"/>
        <w:rPr>
          <w:rFonts w:cstheme="minorHAnsi"/>
          <w:b/>
        </w:rPr>
      </w:pPr>
      <w:r w:rsidRPr="001D4040">
        <w:rPr>
          <w:rFonts w:cstheme="minorHAnsi"/>
          <w:b/>
        </w:rPr>
        <w:t>LMV-5-PTW Consumers</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Uttar Pradesh has agrarian economy. To cope up with the growing demand of various means of irrigation for agriculture in the State, electrification of private tube wells has always been of much importance. The GoUP provides support in from of subsidy for these consumers. Under this scheme GoUP allots area wise targets for energisation of Private Tube Wells &amp; accordingly allocates fund for this purpose.</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 xml:space="preserve">Under System Improvement initiatives the Licensee has submitted to have undertaken Rural Feeder Segregation program to ensure supply as per scheduled hours to the agriculture sector. The Distribution Licensee in its tariff proposal for FY 2016-17 to the Commission has not proposed any tariff increase for LMV-5 (a) (small power for private tube wells / pumping sets for </w:t>
      </w:r>
      <w:r w:rsidRPr="001D4040">
        <w:rPr>
          <w:rFonts w:cstheme="minorHAnsi"/>
        </w:rPr>
        <w:lastRenderedPageBreak/>
        <w:t xml:space="preserve">irrigation purposes) category. During the public hearing process various farmer and farmer associations requested the Commission not to make any tariff hike in light of the draught and unseasonal rains that have destroyed the crops. </w:t>
      </w:r>
    </w:p>
    <w:p w:rsidR="002C5FD1" w:rsidRPr="001D4040" w:rsidRDefault="002C5FD1" w:rsidP="002C5FD1">
      <w:pPr>
        <w:numPr>
          <w:ilvl w:val="2"/>
          <w:numId w:val="5"/>
        </w:numPr>
        <w:tabs>
          <w:tab w:val="clear" w:pos="1929"/>
          <w:tab w:val="num" w:pos="360"/>
          <w:tab w:val="num" w:pos="1646"/>
        </w:tabs>
        <w:spacing w:after="120"/>
        <w:ind w:left="993" w:hanging="993"/>
        <w:outlineLvl w:val="2"/>
        <w:rPr>
          <w:rFonts w:cstheme="minorHAnsi"/>
        </w:rPr>
      </w:pPr>
      <w:r w:rsidRPr="001D4040">
        <w:rPr>
          <w:rFonts w:cstheme="minorHAnsi"/>
        </w:rPr>
        <w:t>The Commission after considering the submission made by Licensee and the</w:t>
      </w:r>
      <w:r w:rsidR="004F705F">
        <w:rPr>
          <w:rFonts w:cstheme="minorHAnsi"/>
        </w:rPr>
        <w:t xml:space="preserve"> poor</w:t>
      </w:r>
      <w:r w:rsidRPr="001D4040">
        <w:rPr>
          <w:rFonts w:cstheme="minorHAnsi"/>
        </w:rPr>
        <w:t xml:space="preserve"> condition of the farmers in the State, has decided not to increase the tariff of the consumers getting supply under rural schedule of the LMV-5 category. Further, recognizing the hardship of the farmers of Bundelkhand, the Commission has relaxed the minimum bill payable by a consumer, till installation of meter applicable to PTW consumers of Bundelkhand area located in Gram Sabha.</w:t>
      </w:r>
    </w:p>
    <w:p w:rsidR="002C5FD1" w:rsidRPr="001D4040" w:rsidRDefault="002C5FD1" w:rsidP="002C5FD1">
      <w:pPr>
        <w:spacing w:after="120"/>
        <w:ind w:left="993"/>
        <w:outlineLvl w:val="2"/>
        <w:rPr>
          <w:rFonts w:cstheme="minorHAnsi"/>
        </w:rPr>
      </w:pPr>
    </w:p>
    <w:p w:rsidR="002C5FD1" w:rsidRPr="001D4040" w:rsidRDefault="002C5FD1" w:rsidP="002C5FD1">
      <w:pPr>
        <w:pStyle w:val="ListParagraph"/>
        <w:rPr>
          <w:rFonts w:cstheme="minorHAnsi"/>
          <w:b/>
        </w:rPr>
      </w:pPr>
      <w:r w:rsidRPr="001D4040">
        <w:rPr>
          <w:rFonts w:cstheme="minorHAnsi"/>
          <w:b/>
        </w:rPr>
        <w:t>Tariff for Industrial consumers</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LMV-6 category has been increased moderately in line with the commercial consumers. But no rise has been made in HV-2 category keeping in view the fact that these consumers are mainly connected on independent feeders and the line losses in their case is very low. Therefore, their cost of service is low as compared to LMV-6. Further HV-2 category consumers consume huge quantum of energy and in some cases the electricity is like a raw material therefore any increase in HV-2 category has been avoided in order to protect them from financial stress. It is also justified in view of low losses and low cost of service for this category.</w:t>
      </w:r>
    </w:p>
    <w:p w:rsidR="002C5FD1" w:rsidRPr="001D4040" w:rsidRDefault="002C5FD1" w:rsidP="002C5FD1">
      <w:pPr>
        <w:spacing w:after="120"/>
        <w:ind w:firstLine="720"/>
        <w:outlineLvl w:val="2"/>
        <w:rPr>
          <w:rFonts w:cstheme="minorHAnsi"/>
          <w:b/>
        </w:rPr>
      </w:pPr>
    </w:p>
    <w:p w:rsidR="002C5FD1" w:rsidRPr="001D4040" w:rsidRDefault="002C5FD1" w:rsidP="002C5FD1">
      <w:pPr>
        <w:spacing w:after="120"/>
        <w:ind w:firstLine="720"/>
        <w:outlineLvl w:val="2"/>
        <w:rPr>
          <w:rFonts w:cstheme="minorHAnsi"/>
          <w:b/>
        </w:rPr>
      </w:pPr>
      <w:r w:rsidRPr="001D4040">
        <w:rPr>
          <w:rFonts w:cstheme="minorHAnsi"/>
          <w:b/>
        </w:rPr>
        <w:t>Tariff for LMV-10 Departmental Employees</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The tariff for LMV-10 (Departmental Employees and Pensioners) category was historically approved by the Commission who were a special subsidized category. The Licensees though various submissions have informed the Commission that, they had certain commitment towards their employees at the time of unbundling of U.P. State Electricity Board, regarding supply of electricity at concessional rate.</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Section 23 (7) of Uttar Pradesh Electricity Reforms Act, 1999 provides tha</w:t>
      </w:r>
      <w:r w:rsidRPr="001D4040">
        <w:rPr>
          <w:rFonts w:cstheme="minorHAnsi"/>
          <w:i/>
        </w:rPr>
        <w:t>t “terms and condition of service of the personnel shall not be less favourable to the terms and condition which were applicable to them before the transfer”.</w:t>
      </w:r>
      <w:r w:rsidRPr="001D4040">
        <w:rPr>
          <w:rFonts w:cstheme="minorHAnsi"/>
        </w:rPr>
        <w:t xml:space="preserve">  The benefits for employees / pensioners as provided in section 12 (b) (ii) of </w:t>
      </w:r>
      <w:r w:rsidRPr="001D4040">
        <w:rPr>
          <w:rFonts w:cstheme="minorHAnsi"/>
        </w:rPr>
        <w:lastRenderedPageBreak/>
        <w:t xml:space="preserve">the Uttar Pradesh Reform Transfer Scheme, 2000provides for “concessional rate of electricity”, which means concession in rate of electricity to the extent it is not inferior to what was existing before January 14, 2000.  </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its Tariff Order dated June 18, 2015 had directed that from January 1, 2016 onwards, the tariff for LMV-10 (Departmental Employees and Pensioners) consumers shall be same as that of “other metered consumers” under LMV-1 (Domestic Light, Fan and Power). The relevant extract has been reproduced below:</w:t>
      </w:r>
    </w:p>
    <w:p w:rsidR="002C5FD1" w:rsidRPr="001D4040" w:rsidRDefault="002C5FD1" w:rsidP="002C5FD1">
      <w:pPr>
        <w:spacing w:line="240" w:lineRule="auto"/>
        <w:ind w:left="1440"/>
        <w:rPr>
          <w:b/>
          <w:i/>
        </w:rPr>
      </w:pPr>
      <w:r w:rsidRPr="001D4040">
        <w:rPr>
          <w:i/>
        </w:rPr>
        <w:t>“</w:t>
      </w:r>
      <w:r w:rsidRPr="001D4040">
        <w:rPr>
          <w:b/>
          <w:i/>
        </w:rPr>
        <w:t xml:space="preserve">RATE (B): (January 1, 2016 Onwards) </w:t>
      </w:r>
    </w:p>
    <w:p w:rsidR="002C5FD1" w:rsidRPr="001D4040" w:rsidRDefault="002C5FD1" w:rsidP="002C5FD1">
      <w:pPr>
        <w:spacing w:line="240" w:lineRule="auto"/>
        <w:ind w:left="1440"/>
        <w:rPr>
          <w:i/>
        </w:rPr>
      </w:pPr>
      <w:r w:rsidRPr="001D4040">
        <w:rPr>
          <w:i/>
        </w:rPr>
        <w:t xml:space="preserve">Tariff for consumers under this category shall be same as that of “other metered consumers” under LMV-1 category. </w:t>
      </w:r>
    </w:p>
    <w:p w:rsidR="002C5FD1" w:rsidRPr="001D4040" w:rsidRDefault="002C5FD1" w:rsidP="002C5FD1">
      <w:pPr>
        <w:spacing w:line="240" w:lineRule="auto"/>
        <w:ind w:left="1440"/>
        <w:rPr>
          <w:i/>
        </w:rPr>
      </w:pPr>
      <w:r w:rsidRPr="001D4040">
        <w:rPr>
          <w:i/>
        </w:rPr>
        <w:t>The Licensees are permitted to provide the “rebate” as it deems fit to the consumers eligible to get supply under this category.  However, the Licensees shall have to bear the burden from its own resources, if it wants to provide the “rebate” to such consumers. The amount of “rebate” given, energy billed and amount billed must be clearly  accounted  by  the  Licensees  and  shall  ensure  appropriate  modification  in  its billing software in this regard. The actual amount billed plus the rebate so recognized shall  be  considered  as  total  revenue  from  this  category  while  undertaking  the  truing up of the relevant financial year.”</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Also, the Commission after considering the representations from various stakeholders along with the submissions made in the matter of Petition Nos. 1042/2015 dated September 21, 2015 filed by Uttar Pradesh Rajya Vidyut Pensioners Parishad and 1061/2015 dated April 12, 2015 filed by Uttar Pradesh Rajya Vidyut Parishad Adhiyanta Sangh opined as follows regarding the LMV-10 consumers:</w:t>
      </w:r>
    </w:p>
    <w:p w:rsidR="002C5FD1" w:rsidRPr="001D4040" w:rsidRDefault="002C5FD1" w:rsidP="00EC6AAC">
      <w:pPr>
        <w:pStyle w:val="ListParagraph"/>
        <w:numPr>
          <w:ilvl w:val="0"/>
          <w:numId w:val="113"/>
        </w:numPr>
        <w:spacing w:before="0" w:after="200"/>
        <w:ind w:left="1701"/>
        <w:contextualSpacing/>
      </w:pPr>
      <w:r w:rsidRPr="001D4040">
        <w:t>The tariff prescribed by the Commission in its Tariff Order for FY 2015-16 does not provide any special dispensation for LMV-10 (departmental employees and pensioners) consumers of the licensee.  As  such,  they  are  like  any  other  domestic consumers  and  revenue  recognition  for  them  should  be  based  on  tariff  prescribed  for domestic  consumers i.e. LMV-1</w:t>
      </w:r>
      <w:r w:rsidRPr="001D4040">
        <w:rPr>
          <w:rFonts w:cs="Arial"/>
          <w:bCs/>
        </w:rPr>
        <w:t xml:space="preserve"> (Domestic Light, Fan and Power)</w:t>
      </w:r>
      <w:r w:rsidRPr="001D4040">
        <w:t>. The concessional supply of power to its employees will have to be borne by the licensee and cannot be allowed to devolve on other consumers.</w:t>
      </w:r>
    </w:p>
    <w:p w:rsidR="002C5FD1" w:rsidRPr="001D4040" w:rsidRDefault="002C5FD1" w:rsidP="002C5FD1">
      <w:pPr>
        <w:pStyle w:val="ListParagraph"/>
        <w:ind w:left="1701"/>
      </w:pPr>
    </w:p>
    <w:p w:rsidR="002C5FD1" w:rsidRPr="001D4040" w:rsidRDefault="002C5FD1" w:rsidP="00EC6AAC">
      <w:pPr>
        <w:pStyle w:val="ListParagraph"/>
        <w:numPr>
          <w:ilvl w:val="0"/>
          <w:numId w:val="113"/>
        </w:numPr>
        <w:spacing w:before="0" w:after="200"/>
        <w:ind w:left="1701"/>
        <w:contextualSpacing/>
        <w:rPr>
          <w:b/>
        </w:rPr>
      </w:pPr>
      <w:r w:rsidRPr="001D4040">
        <w:t xml:space="preserve">The Commission in its Tariff Order for FY 2015-16 has already directed the Licensees to make the tariff of the said category of consumers </w:t>
      </w:r>
      <w:r w:rsidRPr="001D4040">
        <w:lastRenderedPageBreak/>
        <w:t>same as that of “other metered consumers” under LMV-1 category from January 1, 2016 onwards.</w:t>
      </w:r>
    </w:p>
    <w:p w:rsidR="002C5FD1" w:rsidRPr="001D4040" w:rsidRDefault="002C5FD1" w:rsidP="002C5FD1">
      <w:pPr>
        <w:pStyle w:val="ListParagraph"/>
        <w:ind w:left="1701"/>
        <w:rPr>
          <w:b/>
        </w:rPr>
      </w:pPr>
    </w:p>
    <w:p w:rsidR="002C5FD1" w:rsidRPr="001D4040" w:rsidRDefault="002C5FD1" w:rsidP="00EC6AAC">
      <w:pPr>
        <w:pStyle w:val="ListParagraph"/>
        <w:numPr>
          <w:ilvl w:val="0"/>
          <w:numId w:val="113"/>
        </w:numPr>
        <w:spacing w:before="0" w:after="200"/>
        <w:ind w:left="1701"/>
        <w:contextualSpacing/>
        <w:rPr>
          <w:b/>
        </w:rPr>
      </w:pPr>
      <w:r w:rsidRPr="001D4040">
        <w:rPr>
          <w:b/>
        </w:rPr>
        <w:t xml:space="preserve">The Commission hereby directs the Licensees to charge such consumers same as that under LMV-1 </w:t>
      </w:r>
      <w:r w:rsidRPr="001D4040">
        <w:rPr>
          <w:rFonts w:cs="Arial"/>
          <w:b/>
          <w:bCs/>
        </w:rPr>
        <w:t xml:space="preserve">(Domestic Light, Fan and Power) </w:t>
      </w:r>
      <w:r w:rsidRPr="001D4040">
        <w:rPr>
          <w:b/>
        </w:rPr>
        <w:t>category. However the Licensees are authorised to provide the “rebate” as it deems fit to the consumers eligible to get supply under this category.</w:t>
      </w:r>
    </w:p>
    <w:p w:rsidR="002C5FD1" w:rsidRPr="001D4040" w:rsidRDefault="002C5FD1" w:rsidP="002C5FD1">
      <w:pPr>
        <w:pStyle w:val="ListParagraph"/>
        <w:ind w:left="1701"/>
        <w:rPr>
          <w:b/>
        </w:rPr>
      </w:pPr>
    </w:p>
    <w:p w:rsidR="002C5FD1" w:rsidRPr="001D4040" w:rsidRDefault="002C5FD1" w:rsidP="00EC6AAC">
      <w:pPr>
        <w:pStyle w:val="ListParagraph"/>
        <w:numPr>
          <w:ilvl w:val="0"/>
          <w:numId w:val="113"/>
        </w:numPr>
        <w:spacing w:before="0" w:after="200"/>
        <w:ind w:left="1701"/>
        <w:contextualSpacing/>
      </w:pPr>
      <w:r w:rsidRPr="001D4040">
        <w:t>The Commission would again like to caution the Petitioner that any further allowance or incentives or benefits granted to its departmental employees &amp; pensioners will have to be borne by the licensee from its own resources or through increased efficiency.</w:t>
      </w:r>
    </w:p>
    <w:p w:rsidR="002C5FD1" w:rsidRPr="001D4040" w:rsidRDefault="002C5FD1" w:rsidP="002C5FD1">
      <w:pPr>
        <w:pStyle w:val="ListParagraph"/>
        <w:ind w:left="1701"/>
      </w:pPr>
    </w:p>
    <w:p w:rsidR="002C5FD1" w:rsidRPr="001D4040" w:rsidRDefault="002C5FD1" w:rsidP="00EC6AAC">
      <w:pPr>
        <w:pStyle w:val="ListParagraph"/>
        <w:numPr>
          <w:ilvl w:val="0"/>
          <w:numId w:val="113"/>
        </w:numPr>
        <w:spacing w:before="0" w:after="200"/>
        <w:ind w:left="1701"/>
        <w:contextualSpacing/>
      </w:pPr>
      <w:r w:rsidRPr="001D4040">
        <w:t xml:space="preserve">The Licensee is hereby directed to make separate accounting field for the amount of “rebate” given, energy billed and amount billed to such category of consumers on a monthly basis and shall ensure appropriate modification in its billing software in this regard. </w:t>
      </w:r>
    </w:p>
    <w:p w:rsidR="002C5FD1" w:rsidRPr="001D4040" w:rsidRDefault="002C5FD1" w:rsidP="002C5FD1">
      <w:pPr>
        <w:contextualSpacing/>
      </w:pPr>
    </w:p>
    <w:p w:rsidR="002C5FD1" w:rsidRPr="001D4040" w:rsidRDefault="002C5FD1" w:rsidP="002C5FD1">
      <w:pPr>
        <w:spacing w:after="120"/>
        <w:ind w:left="720"/>
        <w:outlineLvl w:val="2"/>
        <w:rPr>
          <w:rFonts w:cstheme="minorHAnsi"/>
          <w:b/>
        </w:rPr>
      </w:pPr>
      <w:r w:rsidRPr="001D4040">
        <w:rPr>
          <w:rFonts w:cstheme="minorHAnsi"/>
          <w:b/>
        </w:rPr>
        <w:t>Introduction of Slabs for Fixed Charge</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 xml:space="preserve">The Petitioner in its proposal for the Rate Schedule to be applicable for FY 2016-17 has proposed different slabs for fixed charge depending on the consumption of electrical energy. The Commission understands that the slabs for the fixed / demand charges must be preferably based on load and not energy consumption. Hence, </w:t>
      </w:r>
      <w:r w:rsidRPr="001D4040">
        <w:t>the Commission is of the view that the fixed charge should be linked with contracted load rather than the energy consumed. Thus the Commission in this Tariff Order has approved fixed charge linked to the contracted load for certain categories of consumers.</w:t>
      </w:r>
    </w:p>
    <w:p w:rsidR="002C5FD1" w:rsidRPr="001D4040" w:rsidRDefault="002C5FD1" w:rsidP="002C5FD1">
      <w:pPr>
        <w:spacing w:after="120"/>
        <w:ind w:left="720"/>
        <w:outlineLvl w:val="2"/>
        <w:rPr>
          <w:rFonts w:cstheme="minorHAnsi"/>
          <w:b/>
        </w:rPr>
      </w:pPr>
    </w:p>
    <w:p w:rsidR="002C5FD1" w:rsidRPr="001D4040" w:rsidRDefault="002C5FD1" w:rsidP="002C5FD1">
      <w:pPr>
        <w:spacing w:after="120"/>
        <w:ind w:left="720"/>
        <w:outlineLvl w:val="2"/>
        <w:rPr>
          <w:rFonts w:cstheme="minorHAnsi"/>
          <w:b/>
        </w:rPr>
      </w:pPr>
      <w:r w:rsidRPr="001D4040">
        <w:rPr>
          <w:rFonts w:cstheme="minorHAnsi"/>
          <w:b/>
        </w:rPr>
        <w:t>Telescopic Tariff for LMV-4 (Public and</w:t>
      </w:r>
      <w:r w:rsidR="00A145A8">
        <w:rPr>
          <w:rFonts w:cstheme="minorHAnsi"/>
          <w:b/>
        </w:rPr>
        <w:t xml:space="preserve"> Private Institutions) Category</w:t>
      </w:r>
    </w:p>
    <w:p w:rsidR="002C5FD1" w:rsidRPr="001D4040" w:rsidRDefault="002C5FD1" w:rsidP="002C5FD1">
      <w:pPr>
        <w:numPr>
          <w:ilvl w:val="2"/>
          <w:numId w:val="5"/>
        </w:numPr>
        <w:tabs>
          <w:tab w:val="clear" w:pos="1929"/>
          <w:tab w:val="num" w:pos="360"/>
        </w:tabs>
        <w:spacing w:after="120"/>
        <w:ind w:left="993" w:hanging="993"/>
        <w:outlineLvl w:val="2"/>
        <w:rPr>
          <w:rFonts w:cstheme="minorHAnsi"/>
        </w:rPr>
      </w:pPr>
      <w:r w:rsidRPr="001D4040">
        <w:rPr>
          <w:rFonts w:cstheme="minorHAnsi"/>
        </w:rPr>
        <w:t>The Commission in this Order has approved telescopic tariff for LMV-4 category of consumers which in turn will result in less electricity bills for consumers who consume less electricity and also help in facilitating smooth implementation of pre-paid metering.</w:t>
      </w:r>
    </w:p>
    <w:p w:rsidR="002C5FD1" w:rsidRPr="001D4040" w:rsidRDefault="002C5FD1" w:rsidP="002C5FD1">
      <w:pPr>
        <w:pStyle w:val="ListParagraph"/>
        <w:rPr>
          <w:rFonts w:cstheme="minorHAnsi"/>
          <w:b/>
        </w:rPr>
      </w:pPr>
    </w:p>
    <w:p w:rsidR="002C5FD1" w:rsidRPr="001D4040" w:rsidRDefault="002C5FD1" w:rsidP="002C5FD1">
      <w:pPr>
        <w:pStyle w:val="ListParagraph"/>
        <w:rPr>
          <w:rFonts w:cstheme="minorHAnsi"/>
          <w:b/>
        </w:rPr>
      </w:pPr>
      <w:r w:rsidRPr="001D4040">
        <w:rPr>
          <w:rFonts w:cstheme="minorHAnsi"/>
          <w:b/>
        </w:rPr>
        <w:lastRenderedPageBreak/>
        <w:t>Ap</w:t>
      </w:r>
      <w:r w:rsidR="00A145A8">
        <w:rPr>
          <w:rFonts w:cstheme="minorHAnsi"/>
          <w:b/>
        </w:rPr>
        <w:t>plicability of tariff category</w:t>
      </w:r>
    </w:p>
    <w:p w:rsidR="002C5FD1" w:rsidRPr="001D4040" w:rsidRDefault="002C5FD1" w:rsidP="002C5FD1">
      <w:pPr>
        <w:numPr>
          <w:ilvl w:val="2"/>
          <w:numId w:val="5"/>
        </w:numPr>
        <w:tabs>
          <w:tab w:val="clear" w:pos="1929"/>
          <w:tab w:val="num" w:pos="360"/>
        </w:tabs>
        <w:spacing w:after="120"/>
        <w:ind w:left="993" w:hanging="993"/>
        <w:outlineLvl w:val="2"/>
      </w:pPr>
      <w:r w:rsidRPr="001D4040">
        <w:t>The applicability, character and point of supply and other terms &amp; conditions of different consumer categories have been defined in the Rate Schedule given in Annexure 11.2</w:t>
      </w:r>
      <w:r w:rsidRPr="001D4040">
        <w:rPr>
          <w:b/>
        </w:rPr>
        <w:t xml:space="preserve">. </w:t>
      </w:r>
      <w:r w:rsidRPr="001D4040">
        <w:t>In case of any inconformity, the Rate schedule shall prevail over the details given in the various sections of this Order.</w:t>
      </w:r>
    </w:p>
    <w:p w:rsidR="002C5FD1" w:rsidRPr="001D4040" w:rsidRDefault="002C5FD1" w:rsidP="002C5FD1">
      <w:pPr>
        <w:spacing w:after="120"/>
        <w:ind w:left="993"/>
        <w:outlineLvl w:val="2"/>
      </w:pPr>
    </w:p>
    <w:p w:rsidR="002C5FD1" w:rsidRPr="001D4040" w:rsidRDefault="002C5FD1" w:rsidP="002C5FD1">
      <w:pPr>
        <w:pStyle w:val="ListParagraph"/>
        <w:rPr>
          <w:rFonts w:cstheme="minorHAnsi"/>
          <w:b/>
        </w:rPr>
      </w:pPr>
      <w:r w:rsidRPr="001D4040">
        <w:rPr>
          <w:rFonts w:cstheme="minorHAnsi"/>
          <w:b/>
        </w:rPr>
        <w:t>Exemption from Minimu</w:t>
      </w:r>
      <w:r w:rsidR="00A145A8">
        <w:rPr>
          <w:rFonts w:cstheme="minorHAnsi"/>
          <w:b/>
        </w:rPr>
        <w:t>m Charge for Using Solar Power</w:t>
      </w:r>
    </w:p>
    <w:p w:rsidR="002C5FD1" w:rsidRPr="001D4040" w:rsidRDefault="002C5FD1" w:rsidP="002C5FD1">
      <w:pPr>
        <w:numPr>
          <w:ilvl w:val="2"/>
          <w:numId w:val="5"/>
        </w:numPr>
        <w:tabs>
          <w:tab w:val="clear" w:pos="1929"/>
          <w:tab w:val="num" w:pos="360"/>
        </w:tabs>
        <w:spacing w:after="120"/>
        <w:ind w:left="993" w:hanging="993"/>
        <w:outlineLvl w:val="2"/>
      </w:pPr>
      <w:r w:rsidRPr="001D4040">
        <w:t>The Commission in this Order has exempted payment of minimum charge for LMV-2 (Non domestic light, fan and power) consumers using solar power for meeting their requirement of electricity, towards an initiative for encouraging the use of renewable source of energy. With this facility the consumers will be motivated towards use of clean energy, with less carbon emission and the Licensees will be benefited from the reduced demand supply gap. The details of this arrangement of exemption of minimum charge for use of solar energy are provided in the rate schedule of this Order.</w:t>
      </w:r>
    </w:p>
    <w:p w:rsidR="002C5FD1" w:rsidRPr="001D4040" w:rsidRDefault="002C5FD1" w:rsidP="002C5FD1">
      <w:pPr>
        <w:pStyle w:val="Heading3"/>
        <w:numPr>
          <w:ilvl w:val="0"/>
          <w:numId w:val="0"/>
        </w:numPr>
        <w:spacing w:before="0" w:line="312" w:lineRule="auto"/>
        <w:ind w:left="936" w:hanging="936"/>
        <w:rPr>
          <w:b/>
          <w:szCs w:val="24"/>
        </w:rPr>
      </w:pPr>
    </w:p>
    <w:p w:rsidR="002C5FD1" w:rsidRPr="001D4040" w:rsidRDefault="002C5FD1" w:rsidP="002C5FD1">
      <w:pPr>
        <w:pStyle w:val="ListParagraph"/>
        <w:rPr>
          <w:rFonts w:cstheme="minorHAnsi"/>
          <w:b/>
        </w:rPr>
      </w:pPr>
      <w:r w:rsidRPr="001D4040">
        <w:rPr>
          <w:rFonts w:cstheme="minorHAnsi"/>
          <w:b/>
        </w:rPr>
        <w:t>Interest on Dues Payab</w:t>
      </w:r>
      <w:r w:rsidR="00A145A8">
        <w:rPr>
          <w:rFonts w:cstheme="minorHAnsi"/>
          <w:b/>
        </w:rPr>
        <w:t>le to consumers by the Licensee</w:t>
      </w:r>
    </w:p>
    <w:p w:rsidR="002C5FD1" w:rsidRPr="001D4040" w:rsidRDefault="002C5FD1" w:rsidP="002C5FD1">
      <w:pPr>
        <w:numPr>
          <w:ilvl w:val="2"/>
          <w:numId w:val="5"/>
        </w:numPr>
        <w:tabs>
          <w:tab w:val="clear" w:pos="1929"/>
          <w:tab w:val="num" w:pos="360"/>
        </w:tabs>
        <w:spacing w:after="120"/>
        <w:ind w:left="993" w:hanging="993"/>
        <w:outlineLvl w:val="2"/>
      </w:pPr>
      <w:r w:rsidRPr="001D4040">
        <w:t>The Commission in this Order has introduced provision for interest on dues payable by the Licensee to the consumers, under which they will be entitled to get interest at the interest rate applicable for interest on security deposits on all the dues payable by Licensee which may arise out of rectification / adjustment / settlement of bill from the Licensee. The detail of this arrangement of interest on pending dues is provided in the rate schedule of this Order.</w:t>
      </w:r>
    </w:p>
    <w:p w:rsidR="002C5FD1" w:rsidRPr="001D4040" w:rsidRDefault="002C5FD1" w:rsidP="002C5FD1">
      <w:pPr>
        <w:pStyle w:val="ListParagraph"/>
        <w:rPr>
          <w:rFonts w:cstheme="minorHAnsi"/>
          <w:b/>
        </w:rPr>
      </w:pPr>
    </w:p>
    <w:p w:rsidR="002C5FD1" w:rsidRPr="001D4040" w:rsidRDefault="00A145A8" w:rsidP="002C5FD1">
      <w:pPr>
        <w:pStyle w:val="ListParagraph"/>
        <w:rPr>
          <w:rFonts w:cstheme="minorHAnsi"/>
          <w:b/>
        </w:rPr>
      </w:pPr>
      <w:r>
        <w:rPr>
          <w:rFonts w:cstheme="minorHAnsi"/>
          <w:b/>
        </w:rPr>
        <w:t>System Loading Charges</w:t>
      </w:r>
    </w:p>
    <w:p w:rsidR="00023318" w:rsidRDefault="002C5FD1" w:rsidP="00023318">
      <w:pPr>
        <w:numPr>
          <w:ilvl w:val="2"/>
          <w:numId w:val="5"/>
        </w:numPr>
        <w:tabs>
          <w:tab w:val="clear" w:pos="1929"/>
          <w:tab w:val="num" w:pos="360"/>
        </w:tabs>
        <w:spacing w:after="120"/>
        <w:ind w:left="993" w:hanging="993"/>
        <w:outlineLvl w:val="2"/>
        <w:rPr>
          <w:rFonts w:asciiTheme="minorHAnsi" w:hAnsiTheme="minorHAnsi" w:cstheme="minorHAnsi"/>
        </w:rPr>
      </w:pPr>
      <w:r w:rsidRPr="001D4040">
        <w:t>The Commission taking into considerations the views of the stakeholders has decided to stop the levy of the System Loading Charges from next Tariff cycle. The Licensees are advised to include the amount being collected under this head in their Capital Expenditure in the future ARR/ Tariff filings, if they so desire.</w:t>
      </w:r>
      <w:bookmarkStart w:id="1469" w:name="_Toc399312219"/>
      <w:bookmarkStart w:id="1470" w:name="_Toc399320607"/>
      <w:bookmarkEnd w:id="1464"/>
      <w:bookmarkEnd w:id="1465"/>
      <w:bookmarkEnd w:id="1466"/>
      <w:bookmarkEnd w:id="1467"/>
      <w:bookmarkEnd w:id="1468"/>
      <w:bookmarkEnd w:id="1469"/>
      <w:bookmarkEnd w:id="1470"/>
    </w:p>
    <w:p w:rsidR="005A1EC0" w:rsidRDefault="005A1EC0" w:rsidP="006402D6">
      <w:pPr>
        <w:pStyle w:val="Heading1"/>
        <w:rPr>
          <w:rFonts w:asciiTheme="minorHAnsi" w:hAnsiTheme="minorHAnsi" w:cstheme="minorHAnsi"/>
        </w:rPr>
        <w:sectPr w:rsidR="005A1EC0" w:rsidSect="00675499">
          <w:pgSz w:w="11909" w:h="16834"/>
          <w:pgMar w:top="1440" w:right="1440" w:bottom="1440" w:left="1800" w:header="720" w:footer="720" w:gutter="0"/>
          <w:pgNumType w:chapSep="colon"/>
          <w:cols w:space="720"/>
          <w:docGrid w:linePitch="326"/>
        </w:sectPr>
      </w:pPr>
    </w:p>
    <w:p w:rsidR="00023318" w:rsidRDefault="00A459A2" w:rsidP="00023318">
      <w:pPr>
        <w:pStyle w:val="Heading1"/>
        <w:rPr>
          <w:rFonts w:asciiTheme="minorHAnsi" w:hAnsiTheme="minorHAnsi" w:cstheme="minorHAnsi"/>
        </w:rPr>
      </w:pPr>
      <w:bookmarkStart w:id="1471" w:name="_Toc457355515"/>
      <w:r w:rsidRPr="001C25B2">
        <w:rPr>
          <w:rFonts w:asciiTheme="minorHAnsi" w:hAnsiTheme="minorHAnsi" w:cstheme="minorHAnsi"/>
        </w:rPr>
        <w:lastRenderedPageBreak/>
        <w:t>REVENUE AT REVISED TARIFF AND REVENUE GA</w:t>
      </w:r>
      <w:r w:rsidR="00F51A9D">
        <w:rPr>
          <w:rFonts w:asciiTheme="minorHAnsi" w:hAnsiTheme="minorHAnsi" w:cstheme="minorHAnsi"/>
        </w:rPr>
        <w:t>P</w:t>
      </w:r>
      <w:bookmarkEnd w:id="1400"/>
      <w:bookmarkEnd w:id="1471"/>
    </w:p>
    <w:p w:rsidR="00A459A2" w:rsidRPr="001C25B2" w:rsidRDefault="00A459A2" w:rsidP="00A459A2">
      <w:pPr>
        <w:pStyle w:val="Heading2"/>
        <w:keepNext/>
        <w:numPr>
          <w:ilvl w:val="0"/>
          <w:numId w:val="0"/>
        </w:numPr>
        <w:autoSpaceDE/>
        <w:autoSpaceDN/>
        <w:adjustRightInd/>
        <w:spacing w:before="0" w:line="276" w:lineRule="auto"/>
        <w:ind w:left="576"/>
        <w:contextualSpacing w:val="0"/>
      </w:pPr>
      <w:bookmarkStart w:id="1472" w:name="_Toc336615949"/>
      <w:bookmarkStart w:id="1473" w:name="_Toc336608363"/>
      <w:bookmarkStart w:id="1474" w:name="_Toc336574922"/>
      <w:bookmarkStart w:id="1475" w:name="_Toc357345050"/>
    </w:p>
    <w:p w:rsidR="00A459A2" w:rsidRPr="001C25B2" w:rsidRDefault="00A459A2" w:rsidP="00BA3941">
      <w:pPr>
        <w:pStyle w:val="Heading2"/>
        <w:numPr>
          <w:ilvl w:val="1"/>
          <w:numId w:val="22"/>
        </w:numPr>
      </w:pPr>
      <w:bookmarkStart w:id="1476" w:name="_Toc357714426"/>
      <w:bookmarkStart w:id="1477" w:name="_Toc397332175"/>
      <w:bookmarkStart w:id="1478" w:name="_Toc399320603"/>
      <w:bookmarkStart w:id="1479" w:name="_Toc399623762"/>
      <w:bookmarkStart w:id="1480" w:name="_Toc422012110"/>
      <w:bookmarkStart w:id="1481" w:name="_Toc422311076"/>
      <w:bookmarkStart w:id="1482" w:name="_Toc457355516"/>
      <w:r w:rsidRPr="001C25B2">
        <w:t>REVENUE FROM SALE OF POWER AT APPROVED TARIFF</w:t>
      </w:r>
      <w:bookmarkEnd w:id="1472"/>
      <w:bookmarkEnd w:id="1473"/>
      <w:bookmarkEnd w:id="1474"/>
      <w:bookmarkEnd w:id="1475"/>
      <w:bookmarkEnd w:id="1476"/>
      <w:bookmarkEnd w:id="1477"/>
      <w:bookmarkEnd w:id="1478"/>
      <w:bookmarkEnd w:id="1479"/>
      <w:bookmarkEnd w:id="1480"/>
      <w:bookmarkEnd w:id="1481"/>
      <w:bookmarkEnd w:id="1482"/>
    </w:p>
    <w:p w:rsidR="00023318" w:rsidRDefault="00A459A2" w:rsidP="00023318">
      <w:pPr>
        <w:pStyle w:val="Heading3"/>
        <w:tabs>
          <w:tab w:val="clear" w:pos="720"/>
        </w:tabs>
        <w:ind w:left="993" w:hanging="993"/>
        <w:rPr>
          <w:rFonts w:asciiTheme="minorHAnsi" w:hAnsiTheme="minorHAnsi" w:cstheme="minorHAnsi"/>
          <w:szCs w:val="24"/>
        </w:rPr>
      </w:pPr>
      <w:r w:rsidRPr="001C25B2">
        <w:t xml:space="preserve">As detailed in the previous Chapter, the Commission has revised the Tariff for different categories. The Tariff so published shall become the notified Tariff applicable in the area of supply and shall come into force after seven days from the date of such publication of the Tariff, and unless amended or revoked, shall continue to be in force till issuance of the next Tariff Order. Considering the period of applicability, the revenue at revised Tariff for FY </w:t>
      </w:r>
      <w:r>
        <w:t>2016-17</w:t>
      </w:r>
      <w:r w:rsidRPr="001C25B2">
        <w:t xml:space="preserve"> is worked out as under:</w:t>
      </w:r>
    </w:p>
    <w:p w:rsidR="00A459A2" w:rsidRDefault="00A459A2" w:rsidP="00A459A2">
      <w:pPr>
        <w:pStyle w:val="Caption"/>
        <w:keepNext/>
        <w:spacing w:before="0" w:line="276" w:lineRule="auto"/>
        <w:rPr>
          <w:rFonts w:asciiTheme="minorHAnsi" w:hAnsiTheme="minorHAnsi" w:cstheme="minorHAnsi"/>
          <w:szCs w:val="24"/>
        </w:rPr>
      </w:pPr>
      <w:bookmarkStart w:id="1483" w:name="_Toc336616147"/>
      <w:bookmarkStart w:id="1484" w:name="_Toc336608563"/>
      <w:bookmarkStart w:id="1485" w:name="_Toc336572528"/>
      <w:bookmarkStart w:id="1486" w:name="_Toc338310727"/>
      <w:bookmarkStart w:id="1487" w:name="_Toc338419556"/>
      <w:bookmarkStart w:id="1488" w:name="_Toc357719755"/>
      <w:bookmarkStart w:id="1489" w:name="_Toc397332363"/>
      <w:bookmarkStart w:id="1490" w:name="_Toc399324268"/>
      <w:bookmarkStart w:id="1491" w:name="_Toc399624142"/>
      <w:bookmarkStart w:id="1492" w:name="_Toc422012358"/>
      <w:bookmarkStart w:id="1493" w:name="_Toc422311151"/>
    </w:p>
    <w:p w:rsidR="00A459A2" w:rsidRPr="00BD0B26" w:rsidRDefault="00A459A2" w:rsidP="00A459A2">
      <w:pPr>
        <w:pStyle w:val="Caption"/>
        <w:keepNext/>
        <w:spacing w:before="0" w:line="276" w:lineRule="auto"/>
        <w:rPr>
          <w:rFonts w:asciiTheme="minorHAnsi" w:hAnsiTheme="minorHAnsi" w:cstheme="minorHAnsi"/>
          <w:sz w:val="22"/>
          <w:szCs w:val="24"/>
        </w:rPr>
      </w:pPr>
      <w:bookmarkStart w:id="1494" w:name="_Toc457355659"/>
      <w:r w:rsidRPr="00BD0B26">
        <w:rPr>
          <w:rFonts w:asciiTheme="minorHAnsi" w:hAnsiTheme="minorHAnsi" w:cstheme="minorHAnsi"/>
          <w:sz w:val="22"/>
          <w:szCs w:val="24"/>
        </w:rPr>
        <w:t xml:space="preserve">Table </w:t>
      </w:r>
      <w:r w:rsidR="00BE5FBE" w:rsidRPr="00BD0B26">
        <w:rPr>
          <w:rFonts w:asciiTheme="minorHAnsi" w:hAnsiTheme="minorHAnsi" w:cstheme="minorHAnsi"/>
          <w:sz w:val="22"/>
          <w:szCs w:val="24"/>
        </w:rPr>
        <w:t>7</w:t>
      </w:r>
      <w:r w:rsidR="00023318" w:rsidRPr="00BD0B26">
        <w:rPr>
          <w:rFonts w:asciiTheme="minorHAnsi" w:hAnsiTheme="minorHAnsi" w:cstheme="minorHAnsi"/>
          <w:sz w:val="22"/>
          <w:szCs w:val="24"/>
        </w:rPr>
        <w:noBreakHyphen/>
      </w:r>
      <w:r w:rsidR="004A2D9E" w:rsidRPr="00BD0B26">
        <w:rPr>
          <w:rFonts w:asciiTheme="minorHAnsi" w:hAnsiTheme="minorHAnsi" w:cstheme="minorHAnsi"/>
          <w:sz w:val="22"/>
          <w:szCs w:val="24"/>
        </w:rPr>
        <w:fldChar w:fldCharType="begin"/>
      </w:r>
      <w:r w:rsidR="00023318" w:rsidRPr="00BD0B26">
        <w:rPr>
          <w:rFonts w:asciiTheme="minorHAnsi" w:hAnsiTheme="minorHAnsi" w:cstheme="minorHAnsi"/>
          <w:sz w:val="22"/>
          <w:szCs w:val="24"/>
        </w:rPr>
        <w:instrText xml:space="preserve"> SEQ Table \* ARABIC \s 1 </w:instrText>
      </w:r>
      <w:r w:rsidR="004A2D9E" w:rsidRPr="00BD0B26">
        <w:rPr>
          <w:rFonts w:asciiTheme="minorHAnsi" w:hAnsiTheme="minorHAnsi" w:cstheme="minorHAnsi"/>
          <w:sz w:val="22"/>
          <w:szCs w:val="24"/>
        </w:rPr>
        <w:fldChar w:fldCharType="separate"/>
      </w:r>
      <w:r w:rsidR="0011185B" w:rsidRPr="00BD0B26">
        <w:rPr>
          <w:rFonts w:asciiTheme="minorHAnsi" w:hAnsiTheme="minorHAnsi" w:cstheme="minorHAnsi"/>
          <w:noProof/>
          <w:sz w:val="22"/>
          <w:szCs w:val="24"/>
        </w:rPr>
        <w:t>1</w:t>
      </w:r>
      <w:r w:rsidR="004A2D9E" w:rsidRPr="00BD0B26">
        <w:rPr>
          <w:rFonts w:asciiTheme="minorHAnsi" w:hAnsiTheme="minorHAnsi" w:cstheme="minorHAnsi"/>
          <w:sz w:val="22"/>
          <w:szCs w:val="24"/>
        </w:rPr>
        <w:fldChar w:fldCharType="end"/>
      </w:r>
      <w:r w:rsidRPr="00BD0B26">
        <w:rPr>
          <w:rFonts w:asciiTheme="minorHAnsi" w:hAnsiTheme="minorHAnsi" w:cstheme="minorHAnsi"/>
          <w:sz w:val="22"/>
          <w:szCs w:val="24"/>
        </w:rPr>
        <w:t>: REVENUE FROM SALE OF POWER AT APPROVED TARIFF FOR FY 2016-17 (Rs. Crore)</w:t>
      </w:r>
      <w:bookmarkEnd w:id="1483"/>
      <w:bookmarkEnd w:id="1484"/>
      <w:bookmarkEnd w:id="1485"/>
      <w:bookmarkEnd w:id="1486"/>
      <w:bookmarkEnd w:id="1487"/>
      <w:bookmarkEnd w:id="1488"/>
      <w:bookmarkEnd w:id="1489"/>
      <w:bookmarkEnd w:id="1490"/>
      <w:bookmarkEnd w:id="1491"/>
      <w:bookmarkEnd w:id="1492"/>
      <w:bookmarkEnd w:id="1493"/>
      <w:bookmarkEnd w:id="1494"/>
    </w:p>
    <w:tbl>
      <w:tblPr>
        <w:tblW w:w="649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340"/>
        <w:gridCol w:w="2150"/>
      </w:tblGrid>
      <w:tr w:rsidR="00A459A2" w:rsidRPr="00F315CA" w:rsidTr="00A36DB4">
        <w:trPr>
          <w:trHeight w:val="143"/>
          <w:jc w:val="center"/>
        </w:trPr>
        <w:tc>
          <w:tcPr>
            <w:tcW w:w="4340" w:type="dxa"/>
            <w:shd w:val="clear" w:color="000000" w:fill="DCE6F1"/>
            <w:noWrap/>
            <w:hideMark/>
          </w:tcPr>
          <w:p w:rsidR="00023318" w:rsidRDefault="00772FCA" w:rsidP="00023318">
            <w:pPr>
              <w:spacing w:before="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Consumer categories</w:t>
            </w:r>
          </w:p>
        </w:tc>
        <w:tc>
          <w:tcPr>
            <w:tcW w:w="2150" w:type="dxa"/>
            <w:shd w:val="clear" w:color="000000" w:fill="DCE6F1"/>
            <w:hideMark/>
          </w:tcPr>
          <w:p w:rsidR="00D66C42" w:rsidRDefault="00772FCA">
            <w:pPr>
              <w:spacing w:before="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Approved Revenue</w:t>
            </w:r>
          </w:p>
          <w:p w:rsidR="00D66C42" w:rsidRDefault="00772FCA">
            <w:pPr>
              <w:spacing w:before="0" w:line="240" w:lineRule="auto"/>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FY 2016-17</w:t>
            </w:r>
          </w:p>
        </w:tc>
      </w:tr>
      <w:tr w:rsidR="00A459A2" w:rsidRPr="00F315CA" w:rsidTr="00A459A2">
        <w:trPr>
          <w:trHeight w:val="300"/>
          <w:jc w:val="center"/>
        </w:trPr>
        <w:tc>
          <w:tcPr>
            <w:tcW w:w="4340" w:type="dxa"/>
            <w:shd w:val="clear" w:color="auto" w:fill="auto"/>
            <w:noWrap/>
            <w:vAlign w:val="center"/>
            <w:hideMark/>
          </w:tcPr>
          <w:p w:rsidR="00A459A2" w:rsidRPr="00F315CA" w:rsidRDefault="00023318" w:rsidP="00A459A2">
            <w:pPr>
              <w:spacing w:before="0" w:line="240" w:lineRule="auto"/>
              <w:jc w:val="left"/>
              <w:rPr>
                <w:rFonts w:asciiTheme="minorHAnsi" w:hAnsiTheme="minorHAnsi" w:cstheme="minorHAnsi"/>
                <w:color w:val="000000"/>
                <w:sz w:val="22"/>
                <w:szCs w:val="22"/>
              </w:rPr>
            </w:pPr>
            <w:r w:rsidRPr="00023318">
              <w:rPr>
                <w:rFonts w:asciiTheme="minorHAnsi" w:hAnsiTheme="minorHAnsi" w:cstheme="minorHAnsi"/>
                <w:color w:val="000000"/>
                <w:sz w:val="22"/>
                <w:szCs w:val="22"/>
              </w:rPr>
              <w:t>LMV-1: Domestic</w:t>
            </w:r>
          </w:p>
        </w:tc>
        <w:tc>
          <w:tcPr>
            <w:tcW w:w="2150" w:type="dxa"/>
            <w:shd w:val="clear" w:color="auto" w:fill="auto"/>
            <w:noWrap/>
            <w:vAlign w:val="center"/>
            <w:hideMark/>
          </w:tcPr>
          <w:p w:rsidR="00A459A2"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1,072.37 </w:t>
            </w:r>
          </w:p>
        </w:tc>
      </w:tr>
      <w:tr w:rsidR="00A459A2" w:rsidRPr="00F315CA" w:rsidTr="00A459A2">
        <w:trPr>
          <w:trHeight w:val="300"/>
          <w:jc w:val="center"/>
        </w:trPr>
        <w:tc>
          <w:tcPr>
            <w:tcW w:w="4340" w:type="dxa"/>
            <w:shd w:val="clear" w:color="auto" w:fill="auto"/>
            <w:noWrap/>
            <w:vAlign w:val="center"/>
            <w:hideMark/>
          </w:tcPr>
          <w:p w:rsidR="00A459A2" w:rsidRPr="00F315CA" w:rsidRDefault="00023318" w:rsidP="00A459A2">
            <w:pPr>
              <w:spacing w:before="0" w:line="240" w:lineRule="auto"/>
              <w:jc w:val="left"/>
              <w:rPr>
                <w:rFonts w:asciiTheme="minorHAnsi" w:hAnsiTheme="minorHAnsi" w:cstheme="minorHAnsi"/>
                <w:color w:val="000000"/>
                <w:sz w:val="22"/>
                <w:szCs w:val="22"/>
              </w:rPr>
            </w:pPr>
            <w:r w:rsidRPr="00023318">
              <w:rPr>
                <w:rFonts w:asciiTheme="minorHAnsi" w:hAnsiTheme="minorHAnsi" w:cstheme="minorHAnsi"/>
                <w:color w:val="000000"/>
                <w:sz w:val="22"/>
                <w:szCs w:val="22"/>
              </w:rPr>
              <w:t>LMV-2:Non-Domestic</w:t>
            </w:r>
          </w:p>
        </w:tc>
        <w:tc>
          <w:tcPr>
            <w:tcW w:w="2150" w:type="dxa"/>
            <w:shd w:val="clear" w:color="auto" w:fill="auto"/>
            <w:noWrap/>
            <w:vAlign w:val="center"/>
            <w:hideMark/>
          </w:tcPr>
          <w:p w:rsidR="00D741AB" w:rsidRDefault="00772FCA">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 xml:space="preserve">                    198.50</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LMV-3: Public Lamps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56.47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LMV-4: Institutions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49.10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LMV-5: Private Tube Wells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 6: Small and Medium Power</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258.87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LMV-7: Public Water Works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38.54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LMV-8: State Tube Wells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LMV-9: Temporary Supply</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LMV-10: Departmental Employees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5.02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HV-1: Non-Industrial Bulk Loads</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130.69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HV-2: Large and Heavy Power</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355.23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HV-3: Railway Traction</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color w:val="000000"/>
                <w:sz w:val="22"/>
                <w:szCs w:val="22"/>
              </w:rPr>
            </w:pPr>
            <w:r>
              <w:rPr>
                <w:rFonts w:asciiTheme="minorHAnsi" w:hAnsiTheme="minorHAnsi" w:cstheme="minorHAnsi"/>
                <w:color w:val="000000"/>
                <w:sz w:val="22"/>
                <w:szCs w:val="22"/>
              </w:rPr>
              <w:t>HV-4: Lift Irrigation</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vAlign w:val="center"/>
            <w:hideMark/>
          </w:tcPr>
          <w:p w:rsidR="00F315CA" w:rsidRPr="00F315CA" w:rsidRDefault="00772FCA" w:rsidP="00A459A2">
            <w:pPr>
              <w:spacing w:before="0" w:line="240" w:lineRule="auto"/>
              <w:jc w:val="left"/>
              <w:rPr>
                <w:rFonts w:asciiTheme="minorHAnsi" w:hAnsiTheme="minorHAnsi" w:cstheme="minorHAnsi"/>
                <w:b/>
                <w:bCs/>
                <w:color w:val="000000"/>
                <w:sz w:val="22"/>
                <w:szCs w:val="22"/>
              </w:rPr>
            </w:pPr>
            <w:r>
              <w:rPr>
                <w:rFonts w:asciiTheme="minorHAnsi" w:hAnsiTheme="minorHAnsi" w:cstheme="minorHAnsi"/>
                <w:b/>
                <w:bCs/>
                <w:color w:val="000000"/>
                <w:sz w:val="22"/>
                <w:szCs w:val="22"/>
              </w:rPr>
              <w:t>Sub-total</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b/>
                <w:color w:val="000000"/>
                <w:sz w:val="22"/>
                <w:szCs w:val="22"/>
              </w:rPr>
            </w:pPr>
            <w:r w:rsidRPr="00023318">
              <w:rPr>
                <w:rFonts w:asciiTheme="minorHAnsi" w:hAnsiTheme="minorHAnsi"/>
                <w:color w:val="000000"/>
                <w:sz w:val="22"/>
                <w:szCs w:val="22"/>
              </w:rPr>
              <w:t xml:space="preserve">                2,164.79 </w:t>
            </w:r>
          </w:p>
        </w:tc>
      </w:tr>
      <w:tr w:rsidR="00F315CA" w:rsidRPr="00F315CA" w:rsidTr="00A459A2">
        <w:trPr>
          <w:trHeight w:val="300"/>
          <w:jc w:val="center"/>
        </w:trPr>
        <w:tc>
          <w:tcPr>
            <w:tcW w:w="4340" w:type="dxa"/>
            <w:shd w:val="clear" w:color="auto" w:fill="auto"/>
            <w:noWrap/>
            <w:hideMark/>
          </w:tcPr>
          <w:p w:rsidR="00F315CA" w:rsidRPr="00F315CA" w:rsidRDefault="00772FCA" w:rsidP="00A459A2">
            <w:pPr>
              <w:spacing w:before="0"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Extra State &amp; Bulk</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color w:val="000000"/>
                <w:sz w:val="22"/>
                <w:szCs w:val="22"/>
              </w:rPr>
            </w:pPr>
            <w:r w:rsidRPr="00023318">
              <w:rPr>
                <w:rFonts w:asciiTheme="minorHAnsi" w:hAnsiTheme="minorHAnsi"/>
                <w:color w:val="000000"/>
                <w:sz w:val="22"/>
                <w:szCs w:val="22"/>
              </w:rPr>
              <w:t xml:space="preserve">                             -   </w:t>
            </w:r>
          </w:p>
        </w:tc>
      </w:tr>
      <w:tr w:rsidR="00F315CA" w:rsidRPr="00F315CA" w:rsidTr="00A459A2">
        <w:trPr>
          <w:trHeight w:val="300"/>
          <w:jc w:val="center"/>
        </w:trPr>
        <w:tc>
          <w:tcPr>
            <w:tcW w:w="4340" w:type="dxa"/>
            <w:shd w:val="clear" w:color="auto" w:fill="auto"/>
            <w:noWrap/>
            <w:hideMark/>
          </w:tcPr>
          <w:p w:rsidR="00F315CA" w:rsidRPr="00F315CA" w:rsidRDefault="00772FCA" w:rsidP="00A459A2">
            <w:pPr>
              <w:spacing w:before="0" w:line="240" w:lineRule="auto"/>
              <w:rPr>
                <w:rFonts w:asciiTheme="minorHAnsi" w:hAnsiTheme="minorHAnsi" w:cstheme="minorHAnsi"/>
                <w:b/>
                <w:bCs/>
                <w:color w:val="000000"/>
                <w:sz w:val="22"/>
                <w:szCs w:val="22"/>
              </w:rPr>
            </w:pPr>
            <w:r>
              <w:rPr>
                <w:rFonts w:asciiTheme="minorHAnsi" w:hAnsiTheme="minorHAnsi" w:cstheme="minorHAnsi"/>
                <w:b/>
                <w:bCs/>
                <w:color w:val="000000"/>
                <w:sz w:val="22"/>
                <w:szCs w:val="22"/>
              </w:rPr>
              <w:t>Total</w:t>
            </w:r>
          </w:p>
        </w:tc>
        <w:tc>
          <w:tcPr>
            <w:tcW w:w="2150" w:type="dxa"/>
            <w:shd w:val="clear" w:color="auto" w:fill="auto"/>
            <w:noWrap/>
            <w:vAlign w:val="center"/>
            <w:hideMark/>
          </w:tcPr>
          <w:p w:rsidR="00F315CA" w:rsidRPr="00F315CA" w:rsidRDefault="00023318" w:rsidP="00A459A2">
            <w:pPr>
              <w:spacing w:before="0" w:line="240" w:lineRule="auto"/>
              <w:jc w:val="right"/>
              <w:rPr>
                <w:rFonts w:asciiTheme="minorHAnsi" w:hAnsiTheme="minorHAnsi" w:cs="Calibri"/>
                <w:b/>
                <w:color w:val="000000"/>
                <w:sz w:val="22"/>
                <w:szCs w:val="22"/>
              </w:rPr>
            </w:pPr>
            <w:r w:rsidRPr="00023318">
              <w:rPr>
                <w:rFonts w:asciiTheme="minorHAnsi" w:hAnsiTheme="minorHAnsi"/>
                <w:color w:val="000000"/>
                <w:sz w:val="22"/>
                <w:szCs w:val="22"/>
              </w:rPr>
              <w:t xml:space="preserve">                2,164.79 </w:t>
            </w:r>
          </w:p>
        </w:tc>
      </w:tr>
    </w:tbl>
    <w:p w:rsidR="00A459A2" w:rsidRPr="001C25B2" w:rsidRDefault="00A459A2" w:rsidP="00A459A2">
      <w:pPr>
        <w:spacing w:before="0"/>
        <w:ind w:left="270"/>
        <w:jc w:val="center"/>
        <w:rPr>
          <w:rFonts w:cstheme="minorHAnsi"/>
          <w:b/>
          <w:bCs/>
        </w:rPr>
      </w:pPr>
    </w:p>
    <w:p w:rsidR="00023318" w:rsidRDefault="00A459A2" w:rsidP="00023318">
      <w:pPr>
        <w:pStyle w:val="Heading3"/>
        <w:tabs>
          <w:tab w:val="clear" w:pos="720"/>
        </w:tabs>
        <w:ind w:left="993" w:hanging="993"/>
        <w:rPr>
          <w:rFonts w:asciiTheme="minorHAnsi" w:hAnsiTheme="minorHAnsi" w:cstheme="minorHAnsi"/>
          <w:bCs w:val="0"/>
          <w:szCs w:val="24"/>
        </w:rPr>
      </w:pPr>
      <w:bookmarkStart w:id="1495" w:name="_Toc336615950"/>
      <w:bookmarkStart w:id="1496" w:name="_Toc336608364"/>
      <w:bookmarkStart w:id="1497" w:name="_Toc336574923"/>
      <w:r w:rsidRPr="001C25B2">
        <w:rPr>
          <w:rFonts w:asciiTheme="minorHAnsi" w:hAnsiTheme="minorHAnsi" w:cstheme="minorHAnsi"/>
          <w:szCs w:val="24"/>
        </w:rPr>
        <w:t xml:space="preserve">The revenue increase due to revision in Tariff for KESCO would be Rs. </w:t>
      </w:r>
      <w:r>
        <w:rPr>
          <w:rFonts w:asciiTheme="minorHAnsi" w:hAnsiTheme="minorHAnsi" w:cstheme="minorHAnsi"/>
          <w:szCs w:val="24"/>
        </w:rPr>
        <w:t>4</w:t>
      </w:r>
      <w:r w:rsidR="00F315CA">
        <w:rPr>
          <w:rFonts w:asciiTheme="minorHAnsi" w:hAnsiTheme="minorHAnsi" w:cstheme="minorHAnsi"/>
          <w:szCs w:val="24"/>
        </w:rPr>
        <w:t>1.76</w:t>
      </w:r>
      <w:r w:rsidRPr="001C25B2">
        <w:rPr>
          <w:rFonts w:asciiTheme="minorHAnsi" w:hAnsiTheme="minorHAnsi" w:cstheme="minorHAnsi"/>
          <w:szCs w:val="24"/>
        </w:rPr>
        <w:t xml:space="preserve"> Crore (Rs. </w:t>
      </w:r>
      <w:r w:rsidR="004A0F95">
        <w:rPr>
          <w:rFonts w:asciiTheme="minorHAnsi" w:hAnsiTheme="minorHAnsi" w:cstheme="minorHAnsi"/>
          <w:szCs w:val="24"/>
        </w:rPr>
        <w:t>2,164.79</w:t>
      </w:r>
      <w:r w:rsidR="004A0F95" w:rsidRPr="001C25B2">
        <w:rPr>
          <w:rFonts w:asciiTheme="minorHAnsi" w:hAnsiTheme="minorHAnsi" w:cstheme="minorHAnsi"/>
          <w:szCs w:val="24"/>
        </w:rPr>
        <w:t xml:space="preserve"> </w:t>
      </w:r>
      <w:r w:rsidRPr="001C25B2">
        <w:rPr>
          <w:rFonts w:asciiTheme="minorHAnsi" w:hAnsiTheme="minorHAnsi" w:cstheme="minorHAnsi"/>
          <w:szCs w:val="24"/>
        </w:rPr>
        <w:t xml:space="preserve"> Crore – Rs. </w:t>
      </w:r>
      <w:r w:rsidR="004A0F95">
        <w:rPr>
          <w:rFonts w:asciiTheme="minorHAnsi" w:hAnsiTheme="minorHAnsi" w:cstheme="minorHAnsi"/>
          <w:szCs w:val="24"/>
        </w:rPr>
        <w:t>2,123.02</w:t>
      </w:r>
      <w:r w:rsidRPr="001C25B2">
        <w:rPr>
          <w:rFonts w:asciiTheme="minorHAnsi" w:hAnsiTheme="minorHAnsi" w:cstheme="minorHAnsi"/>
          <w:szCs w:val="24"/>
        </w:rPr>
        <w:t xml:space="preserve"> Crore).</w:t>
      </w:r>
    </w:p>
    <w:p w:rsidR="00023318" w:rsidRDefault="00A459A2" w:rsidP="00023318">
      <w:pPr>
        <w:pStyle w:val="Heading3"/>
        <w:tabs>
          <w:tab w:val="clear" w:pos="720"/>
        </w:tabs>
        <w:ind w:left="993" w:hanging="993"/>
        <w:rPr>
          <w:rFonts w:asciiTheme="minorHAnsi" w:hAnsiTheme="minorHAnsi" w:cstheme="minorHAnsi"/>
          <w:bCs w:val="0"/>
          <w:szCs w:val="24"/>
        </w:rPr>
      </w:pPr>
      <w:r w:rsidRPr="001C25B2">
        <w:rPr>
          <w:rFonts w:asciiTheme="minorHAnsi" w:hAnsiTheme="minorHAnsi" w:cstheme="minorHAnsi"/>
          <w:szCs w:val="24"/>
        </w:rPr>
        <w:t xml:space="preserve">The estimated gap / surplus after incorporating impact </w:t>
      </w:r>
      <w:r>
        <w:rPr>
          <w:rFonts w:asciiTheme="minorHAnsi" w:hAnsiTheme="minorHAnsi" w:cstheme="minorHAnsi"/>
          <w:szCs w:val="24"/>
        </w:rPr>
        <w:t>of revised Tariff for FY 2016-17</w:t>
      </w:r>
      <w:r w:rsidRPr="001C25B2">
        <w:rPr>
          <w:rFonts w:asciiTheme="minorHAnsi" w:hAnsiTheme="minorHAnsi" w:cstheme="minorHAnsi"/>
          <w:szCs w:val="24"/>
        </w:rPr>
        <w:t xml:space="preserve"> for the period of </w:t>
      </w:r>
      <w:r w:rsidR="00F315CA">
        <w:rPr>
          <w:rFonts w:asciiTheme="minorHAnsi" w:hAnsiTheme="minorHAnsi" w:cstheme="minorHAnsi"/>
          <w:szCs w:val="24"/>
        </w:rPr>
        <w:t>8</w:t>
      </w:r>
      <w:r w:rsidRPr="001C25B2">
        <w:rPr>
          <w:rFonts w:asciiTheme="minorHAnsi" w:hAnsiTheme="minorHAnsi" w:cstheme="minorHAnsi"/>
          <w:szCs w:val="24"/>
        </w:rPr>
        <w:t xml:space="preserve"> months is given in the Table below:</w:t>
      </w:r>
      <w:bookmarkEnd w:id="1495"/>
      <w:bookmarkEnd w:id="1496"/>
      <w:bookmarkEnd w:id="1497"/>
    </w:p>
    <w:p w:rsidR="00A459A2" w:rsidRPr="00BD0B26" w:rsidRDefault="00023318" w:rsidP="00A459A2">
      <w:pPr>
        <w:pStyle w:val="Caption"/>
        <w:keepNext/>
        <w:ind w:firstLine="540"/>
        <w:rPr>
          <w:rFonts w:asciiTheme="minorHAnsi" w:hAnsiTheme="minorHAnsi" w:cstheme="minorHAnsi"/>
          <w:sz w:val="22"/>
          <w:szCs w:val="24"/>
        </w:rPr>
      </w:pPr>
      <w:bookmarkStart w:id="1498" w:name="_Toc336616148"/>
      <w:bookmarkStart w:id="1499" w:name="_Toc336608564"/>
      <w:bookmarkStart w:id="1500" w:name="_Toc336572529"/>
      <w:bookmarkStart w:id="1501" w:name="_Toc338310728"/>
      <w:bookmarkStart w:id="1502" w:name="_Toc338419557"/>
      <w:bookmarkStart w:id="1503" w:name="_Toc357719756"/>
      <w:bookmarkStart w:id="1504" w:name="_Toc397332364"/>
      <w:bookmarkStart w:id="1505" w:name="_Toc399324269"/>
      <w:bookmarkStart w:id="1506" w:name="_Toc399624143"/>
      <w:bookmarkStart w:id="1507" w:name="_Toc422012359"/>
      <w:bookmarkStart w:id="1508" w:name="_Toc422311152"/>
      <w:bookmarkStart w:id="1509" w:name="_Toc457355660"/>
      <w:r w:rsidRPr="00BD0B26">
        <w:rPr>
          <w:rFonts w:asciiTheme="minorHAnsi" w:hAnsiTheme="minorHAnsi" w:cstheme="minorHAnsi"/>
          <w:sz w:val="22"/>
          <w:szCs w:val="24"/>
        </w:rPr>
        <w:lastRenderedPageBreak/>
        <w:t xml:space="preserve">Table </w:t>
      </w:r>
      <w:r w:rsidR="00BE5FBE" w:rsidRPr="00BD0B26">
        <w:rPr>
          <w:rFonts w:asciiTheme="minorHAnsi" w:hAnsiTheme="minorHAnsi" w:cstheme="minorHAnsi"/>
          <w:sz w:val="22"/>
          <w:szCs w:val="24"/>
        </w:rPr>
        <w:t>7</w:t>
      </w:r>
      <w:r w:rsidRPr="00BD0B26">
        <w:rPr>
          <w:rFonts w:asciiTheme="minorHAnsi" w:hAnsiTheme="minorHAnsi" w:cstheme="minorHAnsi"/>
          <w:sz w:val="22"/>
          <w:szCs w:val="24"/>
        </w:rPr>
        <w:noBreakHyphen/>
      </w:r>
      <w:r w:rsidR="004A2D9E" w:rsidRPr="00BD0B26">
        <w:rPr>
          <w:rFonts w:asciiTheme="minorHAnsi" w:hAnsiTheme="minorHAnsi" w:cstheme="minorHAnsi"/>
          <w:sz w:val="22"/>
          <w:szCs w:val="24"/>
        </w:rPr>
        <w:fldChar w:fldCharType="begin"/>
      </w:r>
      <w:r w:rsidRPr="00BD0B26">
        <w:rPr>
          <w:rFonts w:asciiTheme="minorHAnsi" w:hAnsiTheme="minorHAnsi" w:cstheme="minorHAnsi"/>
          <w:sz w:val="22"/>
          <w:szCs w:val="24"/>
        </w:rPr>
        <w:instrText xml:space="preserve"> SEQ Table \* ARABIC \s 1 </w:instrText>
      </w:r>
      <w:r w:rsidR="004A2D9E" w:rsidRPr="00BD0B26">
        <w:rPr>
          <w:rFonts w:asciiTheme="minorHAnsi" w:hAnsiTheme="minorHAnsi" w:cstheme="minorHAnsi"/>
          <w:sz w:val="22"/>
          <w:szCs w:val="24"/>
        </w:rPr>
        <w:fldChar w:fldCharType="separate"/>
      </w:r>
      <w:r w:rsidR="0011185B" w:rsidRPr="00BD0B26">
        <w:rPr>
          <w:rFonts w:asciiTheme="minorHAnsi" w:hAnsiTheme="minorHAnsi" w:cstheme="minorHAnsi"/>
          <w:noProof/>
          <w:sz w:val="22"/>
          <w:szCs w:val="24"/>
        </w:rPr>
        <w:t>2</w:t>
      </w:r>
      <w:r w:rsidR="004A2D9E" w:rsidRPr="00BD0B26">
        <w:rPr>
          <w:rFonts w:asciiTheme="minorHAnsi" w:hAnsiTheme="minorHAnsi" w:cstheme="minorHAnsi"/>
          <w:sz w:val="22"/>
          <w:szCs w:val="24"/>
        </w:rPr>
        <w:fldChar w:fldCharType="end"/>
      </w:r>
      <w:r w:rsidRPr="00BD0B26">
        <w:rPr>
          <w:rFonts w:asciiTheme="minorHAnsi" w:hAnsiTheme="minorHAnsi" w:cstheme="minorHAnsi"/>
          <w:sz w:val="22"/>
          <w:szCs w:val="24"/>
        </w:rPr>
        <w:t>:</w:t>
      </w:r>
      <w:r w:rsidR="00A459A2" w:rsidRPr="00BD0B26">
        <w:rPr>
          <w:rFonts w:asciiTheme="minorHAnsi" w:hAnsiTheme="minorHAnsi" w:cstheme="minorHAnsi"/>
          <w:sz w:val="22"/>
          <w:szCs w:val="24"/>
        </w:rPr>
        <w:t xml:space="preserve"> ESTIMATION OF ARR GAP/SURPLUS AT REVISED TARIFF FOR FY 2016-17 (Rs. Crore)</w:t>
      </w:r>
      <w:bookmarkEnd w:id="1498"/>
      <w:bookmarkEnd w:id="1499"/>
      <w:bookmarkEnd w:id="1500"/>
      <w:bookmarkEnd w:id="1501"/>
      <w:bookmarkEnd w:id="1502"/>
      <w:bookmarkEnd w:id="1503"/>
      <w:bookmarkEnd w:id="1504"/>
      <w:bookmarkEnd w:id="1505"/>
      <w:bookmarkEnd w:id="1506"/>
      <w:bookmarkEnd w:id="1507"/>
      <w:bookmarkEnd w:id="1508"/>
      <w:bookmarkEnd w:id="1509"/>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5509"/>
        <w:gridCol w:w="1709"/>
        <w:gridCol w:w="1667"/>
      </w:tblGrid>
      <w:tr w:rsidR="00A459A2" w:rsidRPr="00727420" w:rsidTr="00A459A2">
        <w:trPr>
          <w:trHeight w:val="600"/>
          <w:jc w:val="center"/>
        </w:trPr>
        <w:tc>
          <w:tcPr>
            <w:tcW w:w="3100" w:type="pct"/>
            <w:shd w:val="clear" w:color="000000" w:fill="DBE5F1"/>
            <w:hideMark/>
          </w:tcPr>
          <w:p w:rsidR="00A459A2" w:rsidRPr="00727420" w:rsidRDefault="00A459A2" w:rsidP="00A459A2">
            <w:pPr>
              <w:spacing w:before="0" w:line="240" w:lineRule="auto"/>
              <w:jc w:val="center"/>
              <w:rPr>
                <w:rFonts w:asciiTheme="minorHAnsi" w:hAnsiTheme="minorHAnsi" w:cstheme="minorHAnsi"/>
                <w:b/>
                <w:bCs/>
                <w:caps/>
                <w:kern w:val="32"/>
                <w:sz w:val="22"/>
                <w:szCs w:val="22"/>
              </w:rPr>
            </w:pPr>
            <w:r w:rsidRPr="00727420">
              <w:rPr>
                <w:rFonts w:asciiTheme="minorHAnsi" w:hAnsiTheme="minorHAnsi" w:cstheme="minorHAnsi"/>
                <w:b/>
                <w:bCs/>
                <w:color w:val="000000"/>
                <w:sz w:val="22"/>
                <w:szCs w:val="22"/>
              </w:rPr>
              <w:t>Particulars</w:t>
            </w:r>
          </w:p>
        </w:tc>
        <w:tc>
          <w:tcPr>
            <w:tcW w:w="962" w:type="pct"/>
            <w:shd w:val="clear" w:color="000000" w:fill="DBE5F1"/>
          </w:tcPr>
          <w:p w:rsidR="00A459A2" w:rsidRPr="00727420" w:rsidRDefault="00A459A2" w:rsidP="00A459A2">
            <w:pPr>
              <w:spacing w:before="0" w:line="240" w:lineRule="auto"/>
              <w:jc w:val="center"/>
              <w:rPr>
                <w:rFonts w:asciiTheme="minorHAnsi" w:hAnsiTheme="minorHAnsi" w:cstheme="minorHAnsi"/>
                <w:b/>
                <w:sz w:val="22"/>
                <w:szCs w:val="22"/>
              </w:rPr>
            </w:pPr>
            <w:r w:rsidRPr="00727420">
              <w:rPr>
                <w:rFonts w:asciiTheme="minorHAnsi" w:hAnsiTheme="minorHAnsi" w:cstheme="minorHAnsi"/>
                <w:b/>
                <w:bCs/>
                <w:color w:val="000000"/>
                <w:sz w:val="22"/>
                <w:szCs w:val="22"/>
              </w:rPr>
              <w:t>Petitioner</w:t>
            </w:r>
          </w:p>
        </w:tc>
        <w:tc>
          <w:tcPr>
            <w:tcW w:w="938" w:type="pct"/>
            <w:shd w:val="clear" w:color="000000" w:fill="DBE5F1"/>
            <w:hideMark/>
          </w:tcPr>
          <w:p w:rsidR="00A459A2" w:rsidRPr="00727420" w:rsidRDefault="00A459A2" w:rsidP="00A459A2">
            <w:pPr>
              <w:spacing w:before="0" w:line="240" w:lineRule="auto"/>
              <w:jc w:val="center"/>
              <w:rPr>
                <w:rFonts w:asciiTheme="minorHAnsi" w:hAnsiTheme="minorHAnsi" w:cstheme="minorHAnsi"/>
                <w:b/>
                <w:sz w:val="22"/>
                <w:szCs w:val="22"/>
              </w:rPr>
            </w:pPr>
            <w:r w:rsidRPr="00727420">
              <w:rPr>
                <w:rFonts w:asciiTheme="minorHAnsi" w:hAnsiTheme="minorHAnsi" w:cstheme="minorHAnsi"/>
                <w:b/>
                <w:bCs/>
                <w:color w:val="000000"/>
                <w:sz w:val="22"/>
                <w:szCs w:val="22"/>
              </w:rPr>
              <w:t>Approved</w:t>
            </w:r>
          </w:p>
        </w:tc>
      </w:tr>
      <w:tr w:rsidR="00A459A2" w:rsidRPr="00727420" w:rsidTr="00A459A2">
        <w:trPr>
          <w:trHeight w:val="300"/>
          <w:jc w:val="center"/>
        </w:trPr>
        <w:tc>
          <w:tcPr>
            <w:tcW w:w="3100" w:type="pct"/>
            <w:shd w:val="clear" w:color="auto" w:fill="auto"/>
            <w:vAlign w:val="center"/>
            <w:hideMark/>
          </w:tcPr>
          <w:p w:rsidR="00A459A2" w:rsidRPr="00727420" w:rsidRDefault="00A459A2" w:rsidP="00A459A2">
            <w:pPr>
              <w:spacing w:before="0" w:line="240" w:lineRule="auto"/>
              <w:rPr>
                <w:rFonts w:asciiTheme="minorHAnsi" w:hAnsiTheme="minorHAnsi" w:cstheme="minorHAnsi"/>
                <w:sz w:val="22"/>
                <w:szCs w:val="22"/>
              </w:rPr>
            </w:pPr>
            <w:r w:rsidRPr="00727420">
              <w:rPr>
                <w:rFonts w:asciiTheme="minorHAnsi" w:hAnsiTheme="minorHAnsi" w:cstheme="minorHAnsi"/>
                <w:color w:val="000000"/>
                <w:sz w:val="22"/>
                <w:szCs w:val="22"/>
              </w:rPr>
              <w:t>Revenue Gap for FY 2013-14</w:t>
            </w:r>
          </w:p>
        </w:tc>
        <w:tc>
          <w:tcPr>
            <w:tcW w:w="962" w:type="pct"/>
            <w:vAlign w:val="center"/>
          </w:tcPr>
          <w:p w:rsidR="00A459A2" w:rsidRPr="00603C21" w:rsidRDefault="00A459A2" w:rsidP="00A459A2">
            <w:pPr>
              <w:spacing w:before="0" w:line="240" w:lineRule="auto"/>
              <w:jc w:val="right"/>
              <w:rPr>
                <w:rFonts w:asciiTheme="minorHAnsi" w:hAnsiTheme="minorHAnsi" w:cs="Calibri"/>
                <w:color w:val="000000"/>
                <w:sz w:val="22"/>
                <w:szCs w:val="22"/>
              </w:rPr>
            </w:pPr>
            <w:r w:rsidRPr="00603C21">
              <w:rPr>
                <w:rFonts w:asciiTheme="minorHAnsi" w:hAnsiTheme="minorHAnsi"/>
                <w:color w:val="000000"/>
                <w:sz w:val="22"/>
                <w:szCs w:val="22"/>
              </w:rPr>
              <w:t>104.79</w:t>
            </w:r>
          </w:p>
        </w:tc>
        <w:tc>
          <w:tcPr>
            <w:tcW w:w="938" w:type="pct"/>
            <w:shd w:val="clear" w:color="auto" w:fill="auto"/>
            <w:noWrap/>
            <w:vAlign w:val="center"/>
            <w:hideMark/>
          </w:tcPr>
          <w:p w:rsidR="00A459A2" w:rsidRPr="00603C21" w:rsidRDefault="007F2629" w:rsidP="00A459A2">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(94.80)</w:t>
            </w:r>
          </w:p>
        </w:tc>
      </w:tr>
      <w:tr w:rsidR="00A459A2" w:rsidRPr="00727420" w:rsidTr="00A459A2">
        <w:trPr>
          <w:trHeight w:val="300"/>
          <w:jc w:val="center"/>
        </w:trPr>
        <w:tc>
          <w:tcPr>
            <w:tcW w:w="3100" w:type="pct"/>
            <w:shd w:val="clear" w:color="auto" w:fill="auto"/>
            <w:vAlign w:val="center"/>
            <w:hideMark/>
          </w:tcPr>
          <w:p w:rsidR="00A459A2" w:rsidRPr="00727420" w:rsidRDefault="00A459A2" w:rsidP="00A459A2">
            <w:pPr>
              <w:spacing w:before="0" w:line="240" w:lineRule="auto"/>
              <w:rPr>
                <w:rFonts w:asciiTheme="minorHAnsi" w:hAnsiTheme="minorHAnsi" w:cstheme="minorHAnsi"/>
                <w:sz w:val="22"/>
                <w:szCs w:val="22"/>
              </w:rPr>
            </w:pPr>
            <w:r w:rsidRPr="00727420">
              <w:rPr>
                <w:rFonts w:asciiTheme="minorHAnsi" w:hAnsiTheme="minorHAnsi" w:cstheme="minorHAnsi"/>
                <w:color w:val="000000"/>
                <w:sz w:val="22"/>
                <w:szCs w:val="22"/>
              </w:rPr>
              <w:t>Revenue Gap / (Surplus) for FY 2016-17 (at existing Tariff)</w:t>
            </w:r>
          </w:p>
        </w:tc>
        <w:tc>
          <w:tcPr>
            <w:tcW w:w="962" w:type="pct"/>
            <w:vAlign w:val="center"/>
          </w:tcPr>
          <w:p w:rsidR="00A459A2" w:rsidRPr="00603C21" w:rsidRDefault="00A459A2" w:rsidP="00A459A2">
            <w:pPr>
              <w:spacing w:before="0" w:line="240" w:lineRule="auto"/>
              <w:jc w:val="right"/>
              <w:rPr>
                <w:rFonts w:asciiTheme="minorHAnsi" w:hAnsiTheme="minorHAnsi" w:cs="Calibri"/>
                <w:color w:val="000000"/>
                <w:sz w:val="22"/>
                <w:szCs w:val="22"/>
              </w:rPr>
            </w:pPr>
            <w:r w:rsidRPr="00603C21">
              <w:rPr>
                <w:rFonts w:asciiTheme="minorHAnsi" w:hAnsiTheme="minorHAnsi"/>
                <w:color w:val="000000"/>
                <w:sz w:val="22"/>
                <w:szCs w:val="22"/>
              </w:rPr>
              <w:t>123.13</w:t>
            </w:r>
          </w:p>
        </w:tc>
        <w:tc>
          <w:tcPr>
            <w:tcW w:w="938" w:type="pct"/>
            <w:shd w:val="clear" w:color="auto" w:fill="auto"/>
            <w:noWrap/>
            <w:vAlign w:val="center"/>
            <w:hideMark/>
          </w:tcPr>
          <w:p w:rsidR="00D741AB" w:rsidRDefault="00A459A2">
            <w:pPr>
              <w:spacing w:before="0" w:line="240" w:lineRule="auto"/>
              <w:jc w:val="right"/>
              <w:rPr>
                <w:rFonts w:asciiTheme="minorHAnsi" w:hAnsiTheme="minorHAnsi" w:cs="Calibri"/>
                <w:color w:val="000000"/>
                <w:sz w:val="22"/>
                <w:szCs w:val="22"/>
              </w:rPr>
            </w:pPr>
            <w:r w:rsidRPr="00603C21">
              <w:rPr>
                <w:rFonts w:asciiTheme="minorHAnsi" w:hAnsiTheme="minorHAnsi"/>
                <w:color w:val="000000"/>
                <w:sz w:val="22"/>
                <w:szCs w:val="22"/>
              </w:rPr>
              <w:t>7.</w:t>
            </w:r>
            <w:r w:rsidR="00F315CA">
              <w:rPr>
                <w:rFonts w:asciiTheme="minorHAnsi" w:hAnsiTheme="minorHAnsi"/>
                <w:color w:val="000000"/>
                <w:sz w:val="22"/>
                <w:szCs w:val="22"/>
              </w:rPr>
              <w:t>57</w:t>
            </w:r>
          </w:p>
        </w:tc>
      </w:tr>
      <w:tr w:rsidR="00A459A2" w:rsidRPr="00727420" w:rsidTr="00A459A2">
        <w:trPr>
          <w:trHeight w:val="300"/>
          <w:jc w:val="center"/>
        </w:trPr>
        <w:tc>
          <w:tcPr>
            <w:tcW w:w="3100" w:type="pct"/>
            <w:shd w:val="clear" w:color="auto" w:fill="auto"/>
            <w:vAlign w:val="center"/>
            <w:hideMark/>
          </w:tcPr>
          <w:p w:rsidR="00A459A2" w:rsidRPr="00727420" w:rsidRDefault="00A459A2" w:rsidP="00A459A2">
            <w:pPr>
              <w:spacing w:before="0" w:line="240" w:lineRule="auto"/>
              <w:rPr>
                <w:rFonts w:asciiTheme="minorHAnsi" w:hAnsiTheme="minorHAnsi" w:cstheme="minorHAnsi"/>
                <w:color w:val="000000"/>
                <w:sz w:val="22"/>
                <w:szCs w:val="22"/>
              </w:rPr>
            </w:pPr>
            <w:r w:rsidRPr="00727420">
              <w:rPr>
                <w:rFonts w:asciiTheme="minorHAnsi" w:hAnsiTheme="minorHAnsi" w:cstheme="minorHAnsi"/>
                <w:color w:val="000000"/>
                <w:sz w:val="22"/>
                <w:szCs w:val="22"/>
              </w:rPr>
              <w:t>Increase in Revenue due to revision in Tariff</w:t>
            </w:r>
          </w:p>
        </w:tc>
        <w:tc>
          <w:tcPr>
            <w:tcW w:w="962" w:type="pct"/>
            <w:vAlign w:val="center"/>
          </w:tcPr>
          <w:p w:rsidR="00D741AB" w:rsidRDefault="00F315CA">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95.04</w:t>
            </w:r>
          </w:p>
        </w:tc>
        <w:tc>
          <w:tcPr>
            <w:tcW w:w="938" w:type="pct"/>
            <w:shd w:val="clear" w:color="auto" w:fill="auto"/>
            <w:noWrap/>
            <w:vAlign w:val="center"/>
            <w:hideMark/>
          </w:tcPr>
          <w:p w:rsidR="00A459A2" w:rsidRPr="00603C21" w:rsidRDefault="00A459A2" w:rsidP="00A459A2">
            <w:pPr>
              <w:spacing w:before="0" w:line="240" w:lineRule="auto"/>
              <w:jc w:val="right"/>
              <w:rPr>
                <w:rFonts w:asciiTheme="minorHAnsi" w:hAnsiTheme="minorHAnsi" w:cs="Calibri"/>
                <w:color w:val="000000"/>
                <w:sz w:val="22"/>
                <w:szCs w:val="22"/>
              </w:rPr>
            </w:pPr>
            <w:r w:rsidRPr="00603C21">
              <w:rPr>
                <w:rFonts w:asciiTheme="minorHAnsi" w:hAnsiTheme="minorHAnsi"/>
                <w:color w:val="000000"/>
                <w:sz w:val="22"/>
                <w:szCs w:val="22"/>
              </w:rPr>
              <w:t>4</w:t>
            </w:r>
            <w:r w:rsidR="00F315CA">
              <w:rPr>
                <w:rFonts w:asciiTheme="minorHAnsi" w:hAnsiTheme="minorHAnsi"/>
                <w:color w:val="000000"/>
                <w:sz w:val="22"/>
                <w:szCs w:val="22"/>
              </w:rPr>
              <w:t>1.76</w:t>
            </w:r>
          </w:p>
        </w:tc>
      </w:tr>
      <w:tr w:rsidR="00A459A2" w:rsidRPr="00727420" w:rsidTr="00A459A2">
        <w:trPr>
          <w:trHeight w:val="300"/>
          <w:jc w:val="center"/>
        </w:trPr>
        <w:tc>
          <w:tcPr>
            <w:tcW w:w="3100" w:type="pct"/>
            <w:shd w:val="clear" w:color="auto" w:fill="auto"/>
            <w:vAlign w:val="center"/>
            <w:hideMark/>
          </w:tcPr>
          <w:p w:rsidR="00A459A2" w:rsidRPr="00727420" w:rsidRDefault="00A459A2" w:rsidP="00A459A2">
            <w:pPr>
              <w:spacing w:before="0" w:line="240" w:lineRule="auto"/>
              <w:rPr>
                <w:rFonts w:asciiTheme="minorHAnsi" w:hAnsiTheme="minorHAnsi" w:cstheme="minorHAnsi"/>
                <w:color w:val="000000"/>
                <w:sz w:val="22"/>
                <w:szCs w:val="22"/>
              </w:rPr>
            </w:pPr>
            <w:r w:rsidRPr="00727420">
              <w:rPr>
                <w:rFonts w:asciiTheme="minorHAnsi" w:hAnsiTheme="minorHAnsi" w:cstheme="minorHAnsi"/>
                <w:color w:val="000000"/>
                <w:sz w:val="22"/>
                <w:szCs w:val="22"/>
              </w:rPr>
              <w:t>Total</w:t>
            </w:r>
            <w:r w:rsidR="0057075A">
              <w:rPr>
                <w:rFonts w:asciiTheme="minorHAnsi" w:hAnsiTheme="minorHAnsi" w:cstheme="minorHAnsi"/>
                <w:color w:val="000000"/>
                <w:sz w:val="22"/>
                <w:szCs w:val="22"/>
              </w:rPr>
              <w:t xml:space="preserve"> </w:t>
            </w:r>
            <w:r w:rsidR="00FF7477">
              <w:rPr>
                <w:rFonts w:asciiTheme="minorHAnsi" w:hAnsiTheme="minorHAnsi" w:cstheme="minorHAnsi"/>
                <w:color w:val="000000"/>
                <w:sz w:val="22"/>
                <w:szCs w:val="22"/>
              </w:rPr>
              <w:t>R</w:t>
            </w:r>
            <w:r w:rsidRPr="00727420">
              <w:rPr>
                <w:rFonts w:asciiTheme="minorHAnsi" w:hAnsiTheme="minorHAnsi" w:cstheme="minorHAnsi"/>
                <w:color w:val="000000"/>
                <w:sz w:val="22"/>
                <w:szCs w:val="22"/>
              </w:rPr>
              <w:t>evenue for FY 2016-17(Excluding Regulatory Surcharge)</w:t>
            </w:r>
          </w:p>
        </w:tc>
        <w:tc>
          <w:tcPr>
            <w:tcW w:w="962" w:type="pct"/>
            <w:vAlign w:val="center"/>
          </w:tcPr>
          <w:p w:rsidR="00D741AB" w:rsidRDefault="00F315CA">
            <w:pPr>
              <w:spacing w:before="0" w:line="240" w:lineRule="auto"/>
              <w:jc w:val="right"/>
              <w:rPr>
                <w:rFonts w:asciiTheme="minorHAnsi" w:hAnsiTheme="minorHAnsi" w:cs="Calibri"/>
                <w:color w:val="000000"/>
                <w:sz w:val="22"/>
                <w:szCs w:val="22"/>
              </w:rPr>
            </w:pPr>
            <w:r>
              <w:rPr>
                <w:rFonts w:asciiTheme="minorHAnsi" w:hAnsiTheme="minorHAnsi"/>
                <w:color w:val="000000"/>
                <w:sz w:val="22"/>
                <w:szCs w:val="22"/>
              </w:rPr>
              <w:t>2237.07</w:t>
            </w:r>
          </w:p>
        </w:tc>
        <w:tc>
          <w:tcPr>
            <w:tcW w:w="938" w:type="pct"/>
            <w:shd w:val="clear" w:color="auto" w:fill="auto"/>
            <w:noWrap/>
            <w:vAlign w:val="center"/>
            <w:hideMark/>
          </w:tcPr>
          <w:p w:rsidR="00D741AB" w:rsidRDefault="00A459A2">
            <w:pPr>
              <w:spacing w:before="0" w:line="240" w:lineRule="auto"/>
              <w:jc w:val="right"/>
              <w:rPr>
                <w:rFonts w:asciiTheme="minorHAnsi" w:hAnsiTheme="minorHAnsi" w:cs="Calibri"/>
                <w:color w:val="000000"/>
                <w:sz w:val="22"/>
                <w:szCs w:val="22"/>
              </w:rPr>
            </w:pPr>
            <w:r w:rsidRPr="00603C21">
              <w:rPr>
                <w:rFonts w:asciiTheme="minorHAnsi" w:hAnsiTheme="minorHAnsi"/>
                <w:color w:val="000000"/>
                <w:sz w:val="22"/>
                <w:szCs w:val="22"/>
              </w:rPr>
              <w:t>21</w:t>
            </w:r>
            <w:r w:rsidR="00F315CA">
              <w:rPr>
                <w:rFonts w:asciiTheme="minorHAnsi" w:hAnsiTheme="minorHAnsi"/>
                <w:color w:val="000000"/>
                <w:sz w:val="22"/>
                <w:szCs w:val="22"/>
              </w:rPr>
              <w:t>64.79</w:t>
            </w:r>
          </w:p>
        </w:tc>
      </w:tr>
      <w:tr w:rsidR="00A459A2" w:rsidRPr="00727420" w:rsidTr="00A459A2">
        <w:trPr>
          <w:trHeight w:val="300"/>
          <w:jc w:val="center"/>
        </w:trPr>
        <w:tc>
          <w:tcPr>
            <w:tcW w:w="3100" w:type="pct"/>
            <w:shd w:val="clear" w:color="auto" w:fill="auto"/>
            <w:vAlign w:val="center"/>
            <w:hideMark/>
          </w:tcPr>
          <w:p w:rsidR="00A459A2" w:rsidRPr="00727420" w:rsidRDefault="00A459A2" w:rsidP="00A459A2">
            <w:pPr>
              <w:spacing w:before="0" w:line="240" w:lineRule="auto"/>
              <w:rPr>
                <w:rFonts w:asciiTheme="minorHAnsi" w:hAnsiTheme="minorHAnsi" w:cstheme="minorHAnsi"/>
                <w:b/>
                <w:i/>
                <w:sz w:val="22"/>
                <w:szCs w:val="22"/>
              </w:rPr>
            </w:pPr>
            <w:r w:rsidRPr="00727420">
              <w:rPr>
                <w:rFonts w:asciiTheme="minorHAnsi" w:hAnsiTheme="minorHAnsi" w:cstheme="minorHAnsi"/>
                <w:b/>
                <w:color w:val="000000"/>
                <w:sz w:val="22"/>
                <w:szCs w:val="22"/>
              </w:rPr>
              <w:t>Net Revenue Gap for FY 2016-17 after tariff increase (Including gap for FY 2013-14)</w:t>
            </w:r>
          </w:p>
        </w:tc>
        <w:tc>
          <w:tcPr>
            <w:tcW w:w="962" w:type="pct"/>
            <w:vAlign w:val="center"/>
          </w:tcPr>
          <w:p w:rsidR="00D741AB" w:rsidRDefault="00F315CA">
            <w:pPr>
              <w:spacing w:before="0" w:line="240" w:lineRule="auto"/>
              <w:jc w:val="right"/>
              <w:rPr>
                <w:rFonts w:asciiTheme="minorHAnsi" w:hAnsiTheme="minorHAnsi" w:cs="Calibri"/>
                <w:b/>
                <w:color w:val="000000"/>
                <w:sz w:val="22"/>
                <w:szCs w:val="22"/>
              </w:rPr>
            </w:pPr>
            <w:r>
              <w:rPr>
                <w:rFonts w:asciiTheme="minorHAnsi" w:hAnsiTheme="minorHAnsi"/>
                <w:b/>
                <w:color w:val="000000"/>
                <w:sz w:val="22"/>
                <w:szCs w:val="22"/>
              </w:rPr>
              <w:t>132.87</w:t>
            </w:r>
          </w:p>
        </w:tc>
        <w:tc>
          <w:tcPr>
            <w:tcW w:w="938" w:type="pct"/>
            <w:shd w:val="clear" w:color="auto" w:fill="auto"/>
            <w:noWrap/>
            <w:vAlign w:val="center"/>
            <w:hideMark/>
          </w:tcPr>
          <w:p w:rsidR="00D741AB" w:rsidRDefault="007F2629">
            <w:pPr>
              <w:spacing w:before="0" w:line="240" w:lineRule="auto"/>
              <w:jc w:val="right"/>
              <w:rPr>
                <w:rFonts w:asciiTheme="minorHAnsi" w:hAnsiTheme="minorHAnsi" w:cs="Calibri"/>
                <w:b/>
                <w:color w:val="000000"/>
                <w:sz w:val="22"/>
                <w:szCs w:val="22"/>
              </w:rPr>
            </w:pPr>
            <w:r>
              <w:rPr>
                <w:rFonts w:asciiTheme="minorHAnsi" w:hAnsiTheme="minorHAnsi"/>
                <w:b/>
                <w:color w:val="000000"/>
                <w:sz w:val="22"/>
                <w:szCs w:val="22"/>
              </w:rPr>
              <w:t>(128.99)</w:t>
            </w:r>
          </w:p>
        </w:tc>
      </w:tr>
    </w:tbl>
    <w:p w:rsidR="00023318" w:rsidRPr="00023318" w:rsidRDefault="00023318" w:rsidP="00023318">
      <w:pPr>
        <w:pStyle w:val="Heading2"/>
        <w:numPr>
          <w:ilvl w:val="0"/>
          <w:numId w:val="0"/>
        </w:numPr>
        <w:ind w:left="780"/>
      </w:pPr>
      <w:bookmarkStart w:id="1510" w:name="_Toc455417485"/>
      <w:bookmarkStart w:id="1511" w:name="_Toc455487003"/>
      <w:bookmarkStart w:id="1512" w:name="_Toc455487302"/>
      <w:bookmarkStart w:id="1513" w:name="_Toc455487669"/>
      <w:bookmarkStart w:id="1514" w:name="_Toc455494096"/>
      <w:bookmarkStart w:id="1515" w:name="_Toc455494396"/>
      <w:bookmarkStart w:id="1516" w:name="_Toc455494693"/>
      <w:bookmarkStart w:id="1517" w:name="_Toc455496421"/>
      <w:bookmarkStart w:id="1518" w:name="_Toc455507140"/>
      <w:bookmarkStart w:id="1519" w:name="_Toc455507437"/>
      <w:bookmarkStart w:id="1520" w:name="_Toc455575085"/>
      <w:bookmarkStart w:id="1521" w:name="_Toc455673696"/>
      <w:bookmarkEnd w:id="1510"/>
      <w:bookmarkEnd w:id="1511"/>
      <w:bookmarkEnd w:id="1512"/>
      <w:bookmarkEnd w:id="1513"/>
      <w:bookmarkEnd w:id="1514"/>
      <w:bookmarkEnd w:id="1515"/>
      <w:bookmarkEnd w:id="1516"/>
      <w:bookmarkEnd w:id="1517"/>
      <w:bookmarkEnd w:id="1518"/>
      <w:bookmarkEnd w:id="1519"/>
      <w:bookmarkEnd w:id="1520"/>
      <w:bookmarkEnd w:id="1521"/>
    </w:p>
    <w:p w:rsidR="00023318" w:rsidRDefault="00A459A2" w:rsidP="00BA3941">
      <w:pPr>
        <w:pStyle w:val="Heading2"/>
        <w:numPr>
          <w:ilvl w:val="1"/>
          <w:numId w:val="22"/>
        </w:numPr>
      </w:pPr>
      <w:bookmarkStart w:id="1522" w:name="_Toc455417486"/>
      <w:bookmarkStart w:id="1523" w:name="_Toc455487004"/>
      <w:bookmarkStart w:id="1524" w:name="_Toc455487303"/>
      <w:bookmarkStart w:id="1525" w:name="_Toc455487670"/>
      <w:bookmarkStart w:id="1526" w:name="_Toc455494097"/>
      <w:bookmarkStart w:id="1527" w:name="_Toc455494397"/>
      <w:bookmarkStart w:id="1528" w:name="_Toc455494694"/>
      <w:bookmarkStart w:id="1529" w:name="_Toc455496422"/>
      <w:bookmarkStart w:id="1530" w:name="_Toc455507141"/>
      <w:bookmarkStart w:id="1531" w:name="_Toc455507438"/>
      <w:bookmarkStart w:id="1532" w:name="_Toc455575086"/>
      <w:bookmarkStart w:id="1533" w:name="_Toc455673697"/>
      <w:bookmarkStart w:id="1534" w:name="_Toc336615951"/>
      <w:bookmarkStart w:id="1535" w:name="_Toc336608365"/>
      <w:bookmarkStart w:id="1536" w:name="_Toc336574924"/>
      <w:bookmarkStart w:id="1537" w:name="_Toc357345051"/>
      <w:bookmarkStart w:id="1538" w:name="_Toc357714427"/>
      <w:bookmarkStart w:id="1539" w:name="_Toc397332176"/>
      <w:bookmarkStart w:id="1540" w:name="_Toc399320604"/>
      <w:bookmarkStart w:id="1541" w:name="_Toc399623763"/>
      <w:bookmarkStart w:id="1542" w:name="_Toc422012111"/>
      <w:bookmarkStart w:id="1543" w:name="_Toc422311077"/>
      <w:bookmarkStart w:id="1544" w:name="_Toc457355517"/>
      <w:bookmarkEnd w:id="1522"/>
      <w:bookmarkEnd w:id="1523"/>
      <w:bookmarkEnd w:id="1524"/>
      <w:bookmarkEnd w:id="1525"/>
      <w:bookmarkEnd w:id="1526"/>
      <w:bookmarkEnd w:id="1527"/>
      <w:bookmarkEnd w:id="1528"/>
      <w:bookmarkEnd w:id="1529"/>
      <w:bookmarkEnd w:id="1530"/>
      <w:bookmarkEnd w:id="1531"/>
      <w:bookmarkEnd w:id="1532"/>
      <w:bookmarkEnd w:id="1533"/>
      <w:r w:rsidRPr="001C25B2">
        <w:t>AVERAGE COST OF SUPPLY</w:t>
      </w:r>
      <w:bookmarkEnd w:id="1534"/>
      <w:bookmarkEnd w:id="1535"/>
      <w:bookmarkEnd w:id="1536"/>
      <w:bookmarkEnd w:id="1537"/>
      <w:bookmarkEnd w:id="1538"/>
      <w:bookmarkEnd w:id="1539"/>
      <w:bookmarkEnd w:id="1540"/>
      <w:bookmarkEnd w:id="1541"/>
      <w:bookmarkEnd w:id="1542"/>
      <w:bookmarkEnd w:id="1543"/>
      <w:bookmarkEnd w:id="1544"/>
    </w:p>
    <w:p w:rsidR="00023318" w:rsidRDefault="00A459A2" w:rsidP="00023318">
      <w:pPr>
        <w:pStyle w:val="Heading3"/>
        <w:tabs>
          <w:tab w:val="clear" w:pos="720"/>
        </w:tabs>
        <w:ind w:left="993" w:hanging="993"/>
        <w:rPr>
          <w:rFonts w:asciiTheme="minorHAnsi" w:hAnsiTheme="minorHAnsi" w:cstheme="minorHAnsi"/>
          <w:szCs w:val="24"/>
        </w:rPr>
      </w:pPr>
      <w:r w:rsidRPr="001C25B2">
        <w:rPr>
          <w:rFonts w:asciiTheme="minorHAnsi" w:hAnsiTheme="minorHAnsi" w:cstheme="minorHAnsi"/>
          <w:szCs w:val="24"/>
        </w:rPr>
        <w:t xml:space="preserve">In the instant Tariff Order, the cross subsidy structure has marginally changed as the ACOS has not undergone any significant change, however, for the recovery of accumulated revenue gap the tariff has been increased to some extent. The table below summarises the per unit revenue realisation (average billing rate) as a percentage of ACOS for KESCO.   </w:t>
      </w:r>
    </w:p>
    <w:p w:rsidR="00A459A2" w:rsidRPr="001C25B2" w:rsidRDefault="00A459A2" w:rsidP="00A459A2">
      <w:pPr>
        <w:pStyle w:val="Heading3"/>
        <w:numPr>
          <w:ilvl w:val="0"/>
          <w:numId w:val="0"/>
        </w:numPr>
        <w:spacing w:before="0"/>
        <w:ind w:left="720"/>
        <w:rPr>
          <w:rFonts w:asciiTheme="minorHAnsi" w:hAnsiTheme="minorHAnsi" w:cstheme="minorHAnsi"/>
          <w:szCs w:val="24"/>
        </w:rPr>
      </w:pPr>
    </w:p>
    <w:p w:rsidR="00A459A2" w:rsidRPr="00BD0B26" w:rsidRDefault="00023318" w:rsidP="00A459A2">
      <w:pPr>
        <w:pStyle w:val="Caption"/>
        <w:keepNext/>
        <w:spacing w:line="276" w:lineRule="auto"/>
        <w:rPr>
          <w:rFonts w:asciiTheme="minorHAnsi" w:hAnsiTheme="minorHAnsi" w:cstheme="minorHAnsi"/>
          <w:sz w:val="22"/>
          <w:szCs w:val="24"/>
        </w:rPr>
      </w:pPr>
      <w:bookmarkStart w:id="1545" w:name="_Toc336616149"/>
      <w:bookmarkStart w:id="1546" w:name="_Toc336608565"/>
      <w:bookmarkStart w:id="1547" w:name="_Toc336572530"/>
      <w:bookmarkStart w:id="1548" w:name="_Toc338310729"/>
      <w:bookmarkStart w:id="1549" w:name="_Toc338419558"/>
      <w:bookmarkStart w:id="1550" w:name="_Toc357719757"/>
      <w:bookmarkStart w:id="1551" w:name="_Toc397332365"/>
      <w:bookmarkStart w:id="1552" w:name="_Toc399324270"/>
      <w:bookmarkStart w:id="1553" w:name="_Toc399624144"/>
      <w:bookmarkStart w:id="1554" w:name="_Toc422012360"/>
      <w:bookmarkStart w:id="1555" w:name="_Toc422311153"/>
      <w:bookmarkStart w:id="1556" w:name="_Toc457355661"/>
      <w:r w:rsidRPr="00BD0B26">
        <w:rPr>
          <w:rFonts w:asciiTheme="minorHAnsi" w:hAnsiTheme="minorHAnsi" w:cstheme="minorHAnsi"/>
          <w:sz w:val="22"/>
          <w:szCs w:val="24"/>
        </w:rPr>
        <w:t xml:space="preserve">Table </w:t>
      </w:r>
      <w:r w:rsidR="00BE5FBE" w:rsidRPr="00BD0B26">
        <w:rPr>
          <w:rFonts w:asciiTheme="minorHAnsi" w:hAnsiTheme="minorHAnsi" w:cstheme="minorHAnsi"/>
          <w:sz w:val="22"/>
          <w:szCs w:val="24"/>
        </w:rPr>
        <w:t>7</w:t>
      </w:r>
      <w:r w:rsidRPr="00BD0B26">
        <w:rPr>
          <w:rFonts w:asciiTheme="minorHAnsi" w:hAnsiTheme="minorHAnsi" w:cstheme="minorHAnsi"/>
          <w:sz w:val="22"/>
          <w:szCs w:val="24"/>
        </w:rPr>
        <w:noBreakHyphen/>
      </w:r>
      <w:r w:rsidR="004A2D9E" w:rsidRPr="00BD0B26">
        <w:rPr>
          <w:rFonts w:asciiTheme="minorHAnsi" w:hAnsiTheme="minorHAnsi" w:cstheme="minorHAnsi"/>
          <w:sz w:val="22"/>
          <w:szCs w:val="24"/>
        </w:rPr>
        <w:fldChar w:fldCharType="begin"/>
      </w:r>
      <w:r w:rsidRPr="00BD0B26">
        <w:rPr>
          <w:rFonts w:asciiTheme="minorHAnsi" w:hAnsiTheme="minorHAnsi" w:cstheme="minorHAnsi"/>
          <w:sz w:val="22"/>
          <w:szCs w:val="24"/>
        </w:rPr>
        <w:instrText xml:space="preserve"> SEQ Table \* ARABIC \s 1 </w:instrText>
      </w:r>
      <w:r w:rsidR="004A2D9E" w:rsidRPr="00BD0B26">
        <w:rPr>
          <w:rFonts w:asciiTheme="minorHAnsi" w:hAnsiTheme="minorHAnsi" w:cstheme="minorHAnsi"/>
          <w:sz w:val="22"/>
          <w:szCs w:val="24"/>
        </w:rPr>
        <w:fldChar w:fldCharType="separate"/>
      </w:r>
      <w:r w:rsidR="0011185B" w:rsidRPr="00BD0B26">
        <w:rPr>
          <w:rFonts w:asciiTheme="minorHAnsi" w:hAnsiTheme="minorHAnsi" w:cstheme="minorHAnsi"/>
          <w:noProof/>
          <w:sz w:val="22"/>
          <w:szCs w:val="24"/>
        </w:rPr>
        <w:t>3</w:t>
      </w:r>
      <w:r w:rsidR="004A2D9E" w:rsidRPr="00BD0B26">
        <w:rPr>
          <w:rFonts w:asciiTheme="minorHAnsi" w:hAnsiTheme="minorHAnsi" w:cstheme="minorHAnsi"/>
          <w:sz w:val="22"/>
          <w:szCs w:val="24"/>
        </w:rPr>
        <w:fldChar w:fldCharType="end"/>
      </w:r>
      <w:r w:rsidRPr="00BD0B26">
        <w:rPr>
          <w:rFonts w:asciiTheme="minorHAnsi" w:hAnsiTheme="minorHAnsi" w:cstheme="minorHAnsi"/>
          <w:sz w:val="22"/>
          <w:szCs w:val="24"/>
        </w:rPr>
        <w:t>:</w:t>
      </w:r>
      <w:r w:rsidR="00A459A2" w:rsidRPr="00BD0B26">
        <w:rPr>
          <w:rFonts w:asciiTheme="minorHAnsi" w:hAnsiTheme="minorHAnsi" w:cstheme="minorHAnsi"/>
          <w:sz w:val="22"/>
          <w:szCs w:val="24"/>
        </w:rPr>
        <w:t xml:space="preserve"> </w:t>
      </w:r>
      <w:bookmarkEnd w:id="1545"/>
      <w:bookmarkEnd w:id="1546"/>
      <w:bookmarkEnd w:id="1547"/>
      <w:r w:rsidR="00A459A2" w:rsidRPr="00BD0B26">
        <w:rPr>
          <w:rFonts w:asciiTheme="minorHAnsi" w:hAnsiTheme="minorHAnsi" w:cstheme="minorHAnsi"/>
          <w:sz w:val="22"/>
          <w:szCs w:val="24"/>
        </w:rPr>
        <w:t>REVENUE REALIZED AS % OF ACOS</w:t>
      </w:r>
      <w:bookmarkEnd w:id="1548"/>
      <w:bookmarkEnd w:id="1549"/>
      <w:bookmarkEnd w:id="1550"/>
      <w:bookmarkEnd w:id="1551"/>
      <w:bookmarkEnd w:id="1552"/>
      <w:bookmarkEnd w:id="1553"/>
      <w:bookmarkEnd w:id="1554"/>
      <w:bookmarkEnd w:id="1555"/>
      <w:bookmarkEnd w:id="1556"/>
    </w:p>
    <w:tbl>
      <w:tblPr>
        <w:tblW w:w="9219"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407"/>
        <w:gridCol w:w="1418"/>
        <w:gridCol w:w="1701"/>
        <w:gridCol w:w="1276"/>
        <w:gridCol w:w="1417"/>
      </w:tblGrid>
      <w:tr w:rsidR="00B02521" w:rsidRPr="00D46561" w:rsidTr="00A36DB4">
        <w:trPr>
          <w:trHeight w:val="292"/>
          <w:tblHeader/>
        </w:trPr>
        <w:tc>
          <w:tcPr>
            <w:tcW w:w="3407" w:type="dxa"/>
            <w:vMerge w:val="restart"/>
            <w:shd w:val="clear" w:color="000000" w:fill="DBE5F1"/>
            <w:hideMark/>
          </w:tcPr>
          <w:p w:rsidR="00D66C42" w:rsidRDefault="00A459A2">
            <w:pPr>
              <w:spacing w:before="0" w:line="240" w:lineRule="auto"/>
              <w:jc w:val="center"/>
              <w:rPr>
                <w:rFonts w:asciiTheme="minorHAnsi" w:hAnsiTheme="minorHAnsi"/>
                <w:b/>
                <w:sz w:val="22"/>
                <w:szCs w:val="22"/>
              </w:rPr>
            </w:pPr>
            <w:r w:rsidRPr="00D46561">
              <w:rPr>
                <w:rFonts w:asciiTheme="minorHAnsi" w:hAnsiTheme="minorHAnsi"/>
                <w:b/>
                <w:sz w:val="22"/>
                <w:szCs w:val="22"/>
              </w:rPr>
              <w:t>Consumer Categories</w:t>
            </w:r>
          </w:p>
        </w:tc>
        <w:tc>
          <w:tcPr>
            <w:tcW w:w="3119" w:type="dxa"/>
            <w:gridSpan w:val="2"/>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Existing Tariff</w:t>
            </w:r>
          </w:p>
        </w:tc>
        <w:tc>
          <w:tcPr>
            <w:tcW w:w="2693" w:type="dxa"/>
            <w:gridSpan w:val="2"/>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Revised Tariff</w:t>
            </w:r>
          </w:p>
        </w:tc>
      </w:tr>
      <w:tr w:rsidR="00B02521" w:rsidRPr="00D46561" w:rsidTr="00A36DB4">
        <w:trPr>
          <w:trHeight w:val="978"/>
          <w:tblHeader/>
        </w:trPr>
        <w:tc>
          <w:tcPr>
            <w:tcW w:w="3407" w:type="dxa"/>
            <w:vMerge/>
            <w:hideMark/>
          </w:tcPr>
          <w:p w:rsidR="00D66C42" w:rsidRDefault="00D66C42">
            <w:pPr>
              <w:spacing w:before="0" w:line="240" w:lineRule="auto"/>
              <w:jc w:val="center"/>
              <w:rPr>
                <w:rFonts w:asciiTheme="minorHAnsi" w:hAnsiTheme="minorHAnsi" w:cs="Arial"/>
                <w:b/>
                <w:bCs/>
                <w:caps/>
                <w:kern w:val="32"/>
                <w:sz w:val="22"/>
                <w:szCs w:val="22"/>
              </w:rPr>
            </w:pPr>
          </w:p>
        </w:tc>
        <w:tc>
          <w:tcPr>
            <w:tcW w:w="1418" w:type="dxa"/>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Avg Revenue</w:t>
            </w:r>
            <w:r w:rsidRPr="00D46561">
              <w:rPr>
                <w:rFonts w:asciiTheme="minorHAnsi" w:hAnsiTheme="minorHAnsi"/>
                <w:b/>
                <w:color w:val="000000"/>
                <w:sz w:val="22"/>
                <w:szCs w:val="22"/>
              </w:rPr>
              <w:br/>
              <w:t>(Rs. / kWh)</w:t>
            </w:r>
          </w:p>
        </w:tc>
        <w:tc>
          <w:tcPr>
            <w:tcW w:w="1701" w:type="dxa"/>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Avg Revenue / unit % of ACOS</w:t>
            </w:r>
          </w:p>
        </w:tc>
        <w:tc>
          <w:tcPr>
            <w:tcW w:w="1276" w:type="dxa"/>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Avg Revenue</w:t>
            </w:r>
            <w:r w:rsidRPr="00D46561">
              <w:rPr>
                <w:rFonts w:asciiTheme="minorHAnsi" w:hAnsiTheme="minorHAnsi"/>
                <w:b/>
                <w:color w:val="000000"/>
                <w:sz w:val="22"/>
                <w:szCs w:val="22"/>
              </w:rPr>
              <w:br/>
              <w:t>(Rs. / kWh)</w:t>
            </w:r>
          </w:p>
        </w:tc>
        <w:tc>
          <w:tcPr>
            <w:tcW w:w="1417" w:type="dxa"/>
            <w:shd w:val="clear" w:color="000000" w:fill="DBE5F1"/>
            <w:hideMark/>
          </w:tcPr>
          <w:p w:rsidR="00D66C42" w:rsidRDefault="00A459A2">
            <w:pPr>
              <w:spacing w:before="0" w:line="240" w:lineRule="auto"/>
              <w:jc w:val="center"/>
              <w:rPr>
                <w:rFonts w:asciiTheme="minorHAnsi" w:hAnsiTheme="minorHAnsi"/>
                <w:b/>
                <w:color w:val="000000"/>
                <w:sz w:val="22"/>
                <w:szCs w:val="22"/>
              </w:rPr>
            </w:pPr>
            <w:r w:rsidRPr="00D46561">
              <w:rPr>
                <w:rFonts w:asciiTheme="minorHAnsi" w:hAnsiTheme="minorHAnsi"/>
                <w:b/>
                <w:color w:val="000000"/>
                <w:sz w:val="22"/>
                <w:szCs w:val="22"/>
              </w:rPr>
              <w:t>Avg Revenue / unit % of ACOS</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LMV-1: Domestic</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5.53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85.11%</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5.53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85.11%</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LMV-2:Non-Domestic</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8.44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129.91%</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9.21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141.77%</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LMV-3: Public Lamps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8.33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128.23%</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9.72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149.60%</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LMV-4: Institutions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7.29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112.10%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7.64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117.53%</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LMV-5: Private Tube Wells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 6: Small and Medium Power</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7.46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114.71%</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7.89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121.44%</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LMV-7: Public Water Works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8.27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127.25%</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9.43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145.03%</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LMV-8: State Tube Wells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LMV-9: Temporary Supply</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LMV-10: Departmental Employees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2.49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38.35%</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2.76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42.48%</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HV-1: Non-Industrial Bulk Loads</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8.39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129.15%</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9.42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144.91%</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jc w:val="left"/>
              <w:rPr>
                <w:rFonts w:asciiTheme="minorHAnsi" w:hAnsiTheme="minorHAnsi"/>
                <w:color w:val="000000"/>
                <w:sz w:val="22"/>
                <w:szCs w:val="22"/>
              </w:rPr>
            </w:pPr>
            <w:r w:rsidRPr="00D46561">
              <w:rPr>
                <w:rFonts w:asciiTheme="minorHAnsi" w:hAnsiTheme="minorHAnsi"/>
                <w:color w:val="000000"/>
                <w:sz w:val="22"/>
                <w:szCs w:val="22"/>
              </w:rPr>
              <w:t>HV-2: Large and Heavy Power</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7.86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120.88%</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7.86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120.88%</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HV-3: Railway Traction</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vAlign w:val="center"/>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t>HV-4: Lift Irrigation</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hideMark/>
          </w:tcPr>
          <w:p w:rsidR="00B02521" w:rsidRPr="00D46561" w:rsidRDefault="00B02521" w:rsidP="00A459A2">
            <w:pPr>
              <w:spacing w:before="0" w:line="240" w:lineRule="auto"/>
              <w:rPr>
                <w:rFonts w:asciiTheme="minorHAnsi" w:hAnsiTheme="minorHAnsi"/>
                <w:b/>
                <w:color w:val="000000"/>
                <w:sz w:val="22"/>
                <w:szCs w:val="22"/>
              </w:rPr>
            </w:pPr>
            <w:r w:rsidRPr="00D46561">
              <w:rPr>
                <w:rFonts w:asciiTheme="minorHAnsi" w:hAnsiTheme="minorHAnsi"/>
                <w:b/>
                <w:color w:val="000000"/>
                <w:sz w:val="22"/>
                <w:szCs w:val="22"/>
              </w:rPr>
              <w:t>Sub-total</w:t>
            </w:r>
          </w:p>
        </w:tc>
        <w:tc>
          <w:tcPr>
            <w:tcW w:w="1418" w:type="dxa"/>
            <w:shd w:val="clear" w:color="auto" w:fill="auto"/>
            <w:noWrap/>
            <w:vAlign w:val="bottom"/>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 xml:space="preserve">          6.48 </w:t>
            </w:r>
          </w:p>
        </w:tc>
        <w:tc>
          <w:tcPr>
            <w:tcW w:w="1701" w:type="dxa"/>
            <w:shd w:val="clear" w:color="auto" w:fill="auto"/>
            <w:noWrap/>
            <w:vAlign w:val="center"/>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99.64%</w:t>
            </w:r>
          </w:p>
        </w:tc>
        <w:tc>
          <w:tcPr>
            <w:tcW w:w="1276" w:type="dxa"/>
            <w:shd w:val="clear" w:color="auto" w:fill="auto"/>
            <w:noWrap/>
            <w:vAlign w:val="bottom"/>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 xml:space="preserve">          6.67 </w:t>
            </w:r>
          </w:p>
        </w:tc>
        <w:tc>
          <w:tcPr>
            <w:tcW w:w="1417" w:type="dxa"/>
            <w:shd w:val="clear" w:color="auto" w:fill="auto"/>
            <w:noWrap/>
            <w:vAlign w:val="center"/>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102.58%</w:t>
            </w:r>
          </w:p>
        </w:tc>
      </w:tr>
      <w:tr w:rsidR="00B02521" w:rsidRPr="00D46561" w:rsidTr="00B02521">
        <w:trPr>
          <w:trHeight w:val="292"/>
        </w:trPr>
        <w:tc>
          <w:tcPr>
            <w:tcW w:w="3407" w:type="dxa"/>
            <w:shd w:val="clear" w:color="auto" w:fill="auto"/>
            <w:noWrap/>
            <w:hideMark/>
          </w:tcPr>
          <w:p w:rsidR="00B02521" w:rsidRPr="00D46561" w:rsidRDefault="00B02521" w:rsidP="00A459A2">
            <w:pPr>
              <w:spacing w:before="0" w:line="240" w:lineRule="auto"/>
              <w:rPr>
                <w:rFonts w:asciiTheme="minorHAnsi" w:hAnsiTheme="minorHAnsi"/>
                <w:color w:val="000000"/>
                <w:sz w:val="22"/>
                <w:szCs w:val="22"/>
              </w:rPr>
            </w:pPr>
            <w:r w:rsidRPr="00D46561">
              <w:rPr>
                <w:rFonts w:asciiTheme="minorHAnsi" w:hAnsiTheme="minorHAnsi"/>
                <w:color w:val="000000"/>
                <w:sz w:val="22"/>
                <w:szCs w:val="22"/>
              </w:rPr>
              <w:lastRenderedPageBreak/>
              <w:t>Extra state &amp; Bulk</w:t>
            </w:r>
          </w:p>
        </w:tc>
        <w:tc>
          <w:tcPr>
            <w:tcW w:w="1418"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701"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c>
          <w:tcPr>
            <w:tcW w:w="1276" w:type="dxa"/>
            <w:shd w:val="clear" w:color="auto" w:fill="auto"/>
            <w:noWrap/>
            <w:vAlign w:val="bottom"/>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 xml:space="preserve">               -   </w:t>
            </w:r>
          </w:p>
        </w:tc>
        <w:tc>
          <w:tcPr>
            <w:tcW w:w="1417" w:type="dxa"/>
            <w:shd w:val="clear" w:color="auto" w:fill="auto"/>
            <w:noWrap/>
            <w:vAlign w:val="center"/>
            <w:hideMark/>
          </w:tcPr>
          <w:p w:rsidR="00B02521" w:rsidRPr="00D46561" w:rsidRDefault="00B02521" w:rsidP="00A459A2">
            <w:pPr>
              <w:spacing w:before="0" w:line="240" w:lineRule="auto"/>
              <w:jc w:val="right"/>
              <w:rPr>
                <w:rFonts w:asciiTheme="minorHAnsi" w:hAnsiTheme="minorHAnsi" w:cs="Calibri"/>
                <w:color w:val="000000"/>
                <w:sz w:val="22"/>
                <w:szCs w:val="22"/>
              </w:rPr>
            </w:pPr>
            <w:r>
              <w:rPr>
                <w:color w:val="000000"/>
                <w:sz w:val="22"/>
                <w:szCs w:val="22"/>
              </w:rPr>
              <w:t>0.00%</w:t>
            </w:r>
          </w:p>
        </w:tc>
      </w:tr>
      <w:tr w:rsidR="00B02521" w:rsidRPr="00D46561" w:rsidTr="00B02521">
        <w:trPr>
          <w:trHeight w:val="292"/>
        </w:trPr>
        <w:tc>
          <w:tcPr>
            <w:tcW w:w="3407" w:type="dxa"/>
            <w:shd w:val="clear" w:color="auto" w:fill="auto"/>
            <w:noWrap/>
            <w:hideMark/>
          </w:tcPr>
          <w:p w:rsidR="00B02521" w:rsidRPr="00D46561" w:rsidRDefault="00B02521" w:rsidP="00A459A2">
            <w:pPr>
              <w:spacing w:before="0" w:line="240" w:lineRule="auto"/>
              <w:rPr>
                <w:rFonts w:asciiTheme="minorHAnsi" w:hAnsiTheme="minorHAnsi"/>
                <w:b/>
                <w:color w:val="000000"/>
                <w:sz w:val="22"/>
                <w:szCs w:val="22"/>
              </w:rPr>
            </w:pPr>
            <w:r w:rsidRPr="00D46561">
              <w:rPr>
                <w:rFonts w:asciiTheme="minorHAnsi" w:hAnsiTheme="minorHAnsi"/>
                <w:b/>
                <w:color w:val="000000"/>
                <w:sz w:val="22"/>
                <w:szCs w:val="22"/>
              </w:rPr>
              <w:t>Total</w:t>
            </w:r>
          </w:p>
        </w:tc>
        <w:tc>
          <w:tcPr>
            <w:tcW w:w="1418" w:type="dxa"/>
            <w:shd w:val="clear" w:color="auto" w:fill="auto"/>
            <w:noWrap/>
            <w:vAlign w:val="bottom"/>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 xml:space="preserve">          6.48 </w:t>
            </w:r>
          </w:p>
        </w:tc>
        <w:tc>
          <w:tcPr>
            <w:tcW w:w="1701" w:type="dxa"/>
            <w:shd w:val="clear" w:color="auto" w:fill="auto"/>
            <w:noWrap/>
            <w:vAlign w:val="center"/>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99.64%</w:t>
            </w:r>
          </w:p>
        </w:tc>
        <w:tc>
          <w:tcPr>
            <w:tcW w:w="1276" w:type="dxa"/>
            <w:shd w:val="clear" w:color="auto" w:fill="auto"/>
            <w:noWrap/>
            <w:vAlign w:val="bottom"/>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 xml:space="preserve">          6.67 </w:t>
            </w:r>
          </w:p>
        </w:tc>
        <w:tc>
          <w:tcPr>
            <w:tcW w:w="1417" w:type="dxa"/>
            <w:shd w:val="clear" w:color="auto" w:fill="auto"/>
            <w:noWrap/>
            <w:vAlign w:val="center"/>
            <w:hideMark/>
          </w:tcPr>
          <w:p w:rsidR="00B02521" w:rsidRPr="00B02521" w:rsidRDefault="00023318" w:rsidP="00A459A2">
            <w:pPr>
              <w:spacing w:before="0" w:line="240" w:lineRule="auto"/>
              <w:jc w:val="right"/>
              <w:rPr>
                <w:rFonts w:asciiTheme="minorHAnsi" w:hAnsiTheme="minorHAnsi" w:cs="Calibri"/>
                <w:b/>
                <w:color w:val="000000"/>
                <w:sz w:val="22"/>
                <w:szCs w:val="22"/>
              </w:rPr>
            </w:pPr>
            <w:r w:rsidRPr="00023318">
              <w:rPr>
                <w:b/>
                <w:color w:val="000000"/>
                <w:sz w:val="22"/>
                <w:szCs w:val="22"/>
              </w:rPr>
              <w:t>102.58%</w:t>
            </w:r>
          </w:p>
        </w:tc>
      </w:tr>
    </w:tbl>
    <w:p w:rsidR="00023318" w:rsidRDefault="00023318" w:rsidP="00023318">
      <w:pPr>
        <w:pStyle w:val="Heading2"/>
        <w:numPr>
          <w:ilvl w:val="0"/>
          <w:numId w:val="0"/>
        </w:numPr>
        <w:ind w:left="990"/>
      </w:pPr>
    </w:p>
    <w:p w:rsidR="00023318" w:rsidRDefault="00C34658" w:rsidP="00BD0B26">
      <w:pPr>
        <w:pStyle w:val="Heading2"/>
        <w:spacing w:after="240"/>
        <w:ind w:left="990" w:hanging="990"/>
      </w:pPr>
      <w:bookmarkStart w:id="1557" w:name="_Toc457355518"/>
      <w:r w:rsidRPr="00C60AD1">
        <w:t>REGULATORY SURCHARGE</w:t>
      </w:r>
      <w:bookmarkEnd w:id="1401"/>
      <w:bookmarkEnd w:id="1402"/>
      <w:bookmarkEnd w:id="1403"/>
      <w:bookmarkEnd w:id="1557"/>
    </w:p>
    <w:p w:rsidR="00023318" w:rsidRPr="00023318" w:rsidRDefault="00023318" w:rsidP="00023318">
      <w:pPr>
        <w:pStyle w:val="Heading3"/>
        <w:tabs>
          <w:tab w:val="clear" w:pos="720"/>
        </w:tabs>
        <w:ind w:left="993" w:hanging="993"/>
        <w:rPr>
          <w:rFonts w:eastAsiaTheme="minorHAnsi" w:cstheme="minorHAnsi"/>
          <w:szCs w:val="24"/>
          <w:lang w:val="en-US"/>
        </w:rPr>
      </w:pPr>
      <w:r w:rsidRPr="00023318">
        <w:rPr>
          <w:szCs w:val="24"/>
        </w:rPr>
        <w:t>The Commission in its Tariff Order for FY 2014-15 had allowed a regulatory surcharge of 2.23% for liquidation of the Regulatory asset as approved in the aforesaid Order which was made applicable in the supply area of KESCO. The relevant extract of the same is reproduced below:</w:t>
      </w:r>
    </w:p>
    <w:p w:rsidR="00B02521" w:rsidRPr="00A36DB4" w:rsidRDefault="00B02521" w:rsidP="00B02521">
      <w:pPr>
        <w:pStyle w:val="Heading3"/>
        <w:numPr>
          <w:ilvl w:val="0"/>
          <w:numId w:val="0"/>
        </w:numPr>
        <w:tabs>
          <w:tab w:val="clear" w:pos="720"/>
        </w:tabs>
        <w:rPr>
          <w:rFonts w:eastAsiaTheme="minorHAnsi" w:cstheme="minorHAnsi"/>
          <w:szCs w:val="24"/>
          <w:lang w:val="en-US"/>
        </w:rPr>
      </w:pPr>
    </w:p>
    <w:p w:rsidR="00B02521" w:rsidRPr="00A36DB4" w:rsidRDefault="00023318" w:rsidP="00B02521">
      <w:pPr>
        <w:pStyle w:val="Heading3"/>
        <w:numPr>
          <w:ilvl w:val="2"/>
          <w:numId w:val="0"/>
        </w:numPr>
        <w:tabs>
          <w:tab w:val="clear" w:pos="720"/>
        </w:tabs>
        <w:spacing w:before="0"/>
        <w:ind w:left="1440"/>
        <w:rPr>
          <w:i/>
          <w:szCs w:val="24"/>
        </w:rPr>
      </w:pPr>
      <w:r w:rsidRPr="00023318">
        <w:rPr>
          <w:i/>
          <w:szCs w:val="24"/>
        </w:rPr>
        <w:t xml:space="preserve">“It may be observed that even after a considerable increase in Tariff allowed by the Commission in this Order, there is still a considerable accumulated revenue gap of Rs. 515.02 Crore. The huge and ever increasing cumulative outstanding revenue gap to be recovered from the consumers is a matter of great concern for the Commission as well as the Licensee. The consumers on the other hand are aggrieved with the poor quality of supply and services being rendered by the Licensee and the constantly rising tariff. The Commission issued an In-house paper on recovery of the cumulative revenue gap in which it was stated that </w:t>
      </w:r>
      <w:r w:rsidRPr="00023318">
        <w:rPr>
          <w:rFonts w:eastAsiaTheme="minorHAnsi"/>
          <w:i/>
          <w:szCs w:val="24"/>
          <w:lang w:val="en-US"/>
        </w:rPr>
        <w:t>the recovery of the accumulated revenue gap if allowed to be recovered in less than three years may result in a massive tariff shock for the consumers. In view of the same and considering such a huge amount of accumulated revenue gap / regulatory asset, the Commission in its In-House paper proposed the recovery of the same in more than 3 years to avoid any tariff shock to the consumers. The above methodology may however be in variation with the provisions of the Distribution Tariff Regulations, 2006 and the findings of the Hon’ble ATE in its Judgment in OP No. 1 of 2011 but would be the most appropriate way for recovering the gap in the current scenario of large accumulated revenue gap. However, the Licensee submitted that the recovery of the accumulated revenue gap / regulatory asset may be allowed in a period not exceeding 3 years at the most and preferably within the control period which is line with the findings of the Hon’ble ATE.</w:t>
      </w:r>
    </w:p>
    <w:p w:rsidR="00B02521" w:rsidRPr="00A36DB4" w:rsidRDefault="00B02521" w:rsidP="00B02521">
      <w:pPr>
        <w:pStyle w:val="Heading3"/>
        <w:numPr>
          <w:ilvl w:val="0"/>
          <w:numId w:val="0"/>
        </w:numPr>
        <w:ind w:left="2607"/>
        <w:rPr>
          <w:i/>
          <w:szCs w:val="24"/>
        </w:rPr>
      </w:pPr>
    </w:p>
    <w:p w:rsidR="00B02521" w:rsidRPr="00A36DB4" w:rsidRDefault="00023318" w:rsidP="00B02521">
      <w:pPr>
        <w:pStyle w:val="Heading3"/>
        <w:numPr>
          <w:ilvl w:val="2"/>
          <w:numId w:val="0"/>
        </w:numPr>
        <w:tabs>
          <w:tab w:val="clear" w:pos="720"/>
        </w:tabs>
        <w:spacing w:before="0"/>
        <w:ind w:left="1440"/>
        <w:rPr>
          <w:i/>
          <w:szCs w:val="24"/>
        </w:rPr>
      </w:pPr>
      <w:r w:rsidRPr="00023318">
        <w:rPr>
          <w:rFonts w:eastAsiaTheme="minorHAnsi"/>
          <w:i/>
          <w:szCs w:val="24"/>
          <w:lang w:val="en-US"/>
        </w:rPr>
        <w:t xml:space="preserve">It may be noted that the total accumulated revenue gap / regulatory asset of Rs. </w:t>
      </w:r>
      <w:r w:rsidRPr="00023318">
        <w:rPr>
          <w:i/>
          <w:szCs w:val="24"/>
        </w:rPr>
        <w:t>559.01</w:t>
      </w:r>
      <w:r w:rsidRPr="00023318">
        <w:rPr>
          <w:rFonts w:eastAsiaTheme="minorHAnsi"/>
          <w:i/>
          <w:szCs w:val="24"/>
          <w:lang w:val="en-US"/>
        </w:rPr>
        <w:t xml:space="preserve"> Crore if allowed to be recovered within 3 years would result in an additional regulatory surcharge of around 15%. It may be noted that along with other reasons the major reasons which have resulted in such a huge accumulated revenue gap / regulatory asset are (a) Not filling the FPPPCA Petition and (b) Late filing of the True-up Petitions. If the Licensees would have filed the FPPPCA and True-up Petitions on time the accumulated revenue gap / regulatory asset would have been much lower. And in such a case the recovery of the same could have been allowed within 3 years of time. However, in the current scenario it would not be appropriate to give a huge tariff shock to the consumers. Also the Hon’ble ATE in its various Judgments has ruled that the increase in Tariff should not result in tariff shock for the consumers. A relevant extract of the Hon’ble ATE’s Judgment in Appeal No.10 of 2013 &amp; I.A. Nos. 29 &amp; 30 of 2013 dated 25</w:t>
      </w:r>
      <w:r w:rsidRPr="00023318">
        <w:rPr>
          <w:rFonts w:eastAsiaTheme="minorHAnsi"/>
          <w:i/>
          <w:szCs w:val="24"/>
          <w:vertAlign w:val="superscript"/>
          <w:lang w:val="en-US"/>
        </w:rPr>
        <w:t>th</w:t>
      </w:r>
      <w:r w:rsidRPr="00023318">
        <w:rPr>
          <w:rFonts w:eastAsiaTheme="minorHAnsi"/>
          <w:i/>
          <w:szCs w:val="24"/>
          <w:lang w:val="en-US"/>
        </w:rPr>
        <w:t xml:space="preserve"> October, 2013 in matter of Association of Approved &amp; Classified Hotels vs Kerala State Electricity Regulatory Commission and Kerala State Electricity Board is reproduced below:</w:t>
      </w:r>
    </w:p>
    <w:p w:rsidR="00B02521" w:rsidRPr="00A36DB4" w:rsidRDefault="00023318" w:rsidP="00B02521">
      <w:pPr>
        <w:pStyle w:val="Heading3"/>
        <w:numPr>
          <w:ilvl w:val="0"/>
          <w:numId w:val="0"/>
        </w:numPr>
        <w:ind w:left="3096" w:hanging="936"/>
        <w:rPr>
          <w:b/>
          <w:i/>
          <w:szCs w:val="24"/>
          <w:u w:val="single"/>
        </w:rPr>
      </w:pPr>
      <w:r w:rsidRPr="00023318">
        <w:rPr>
          <w:b/>
          <w:i/>
          <w:szCs w:val="24"/>
          <w:u w:val="single"/>
        </w:rPr>
        <w:t>“21. Summary of our findings</w:t>
      </w:r>
    </w:p>
    <w:p w:rsidR="00B02521" w:rsidRPr="00A36DB4" w:rsidRDefault="00023318" w:rsidP="00B02521">
      <w:pPr>
        <w:pStyle w:val="Heading3"/>
        <w:numPr>
          <w:ilvl w:val="0"/>
          <w:numId w:val="0"/>
        </w:numPr>
        <w:ind w:left="2160"/>
        <w:rPr>
          <w:i/>
          <w:szCs w:val="24"/>
        </w:rPr>
      </w:pPr>
      <w:r w:rsidRPr="00023318">
        <w:rPr>
          <w:i/>
          <w:szCs w:val="24"/>
        </w:rPr>
        <w:t>The tariff determined by the State Commission for HT IV Commercial Category is inconsistent with the provisions of Act and Tariff Policy and the dictum held by this Tribunal in various judgments. The tariff of consumers of this category has been increased exorbitantly giving them tariff shock. Accordingly, the tariff fixed by the State Commission for HT IV Commercial Category is set aside and they will be charged at the tariff as proposed by the Electricity Board in their petition to the State Commission i.e. fixed charges of Rs. 400 per kVA per month and energy charges of Rs. 5.50 per kWh…”</w:t>
      </w:r>
    </w:p>
    <w:p w:rsidR="00B02521" w:rsidRPr="00A36DB4" w:rsidRDefault="00023318" w:rsidP="00B02521">
      <w:pPr>
        <w:pStyle w:val="Heading3"/>
        <w:numPr>
          <w:ilvl w:val="2"/>
          <w:numId w:val="0"/>
        </w:numPr>
        <w:tabs>
          <w:tab w:val="clear" w:pos="720"/>
        </w:tabs>
        <w:spacing w:before="0"/>
        <w:ind w:left="1440"/>
        <w:rPr>
          <w:rFonts w:cstheme="minorHAnsi"/>
          <w:i/>
          <w:szCs w:val="24"/>
        </w:rPr>
      </w:pPr>
      <w:r w:rsidRPr="00023318">
        <w:rPr>
          <w:i/>
          <w:szCs w:val="24"/>
        </w:rPr>
        <w:t>G</w:t>
      </w:r>
      <w:r w:rsidRPr="00023318">
        <w:rPr>
          <w:bCs w:val="0"/>
          <w:i/>
          <w:szCs w:val="24"/>
        </w:rPr>
        <w:t>iv</w:t>
      </w:r>
      <w:r w:rsidRPr="00023318">
        <w:rPr>
          <w:i/>
          <w:szCs w:val="24"/>
        </w:rPr>
        <w:t xml:space="preserve">ing </w:t>
      </w:r>
      <w:r w:rsidRPr="00023318">
        <w:rPr>
          <w:bCs w:val="0"/>
          <w:i/>
          <w:szCs w:val="24"/>
        </w:rPr>
        <w:t xml:space="preserve">due consideration </w:t>
      </w:r>
      <w:r w:rsidRPr="00023318">
        <w:rPr>
          <w:i/>
          <w:szCs w:val="24"/>
        </w:rPr>
        <w:t xml:space="preserve">to the view of the Hon’ble ATE it may not be appropriate to allow the recovery of the entire accumulated revenue gap / regulatory asset within 3 years of time which may result in Tariff shock to the consumers. The Commission for liquidation of the Regulatory asset as approved in this Order has decided to introduce a regulatory surcharge of 2.23% applicable on </w:t>
      </w:r>
      <w:r w:rsidRPr="00023318">
        <w:rPr>
          <w:b/>
          <w:i/>
          <w:szCs w:val="24"/>
        </w:rPr>
        <w:t>“RATE”</w:t>
      </w:r>
      <w:r w:rsidRPr="00023318">
        <w:rPr>
          <w:i/>
          <w:szCs w:val="24"/>
        </w:rPr>
        <w:t xml:space="preserve"> as defined in the Rate Schedule for FY 2014-15. </w:t>
      </w:r>
      <w:r w:rsidRPr="00023318">
        <w:rPr>
          <w:b/>
          <w:i/>
          <w:szCs w:val="24"/>
        </w:rPr>
        <w:t>Such surcharge would be applicable in the supply areas of KESCO only.</w:t>
      </w:r>
    </w:p>
    <w:p w:rsidR="00023318" w:rsidRPr="00023318" w:rsidRDefault="00023318" w:rsidP="00023318">
      <w:pPr>
        <w:pStyle w:val="Heading3"/>
        <w:tabs>
          <w:tab w:val="clear" w:pos="720"/>
        </w:tabs>
        <w:ind w:left="993" w:hanging="993"/>
      </w:pPr>
      <w:r w:rsidRPr="00023318">
        <w:lastRenderedPageBreak/>
        <w:t xml:space="preserve">Further, in the Tariff Order for FY 2014-15 dated October 1, 2014, the Commission had also linked the Regulatory Surcharge for FY 2015-16 with the actual performance of the Licensees in FY 2014-15. The relevant extract of the Order is reproduced below: </w:t>
      </w:r>
    </w:p>
    <w:p w:rsidR="00B02521" w:rsidRPr="00A36DB4" w:rsidRDefault="00B02521" w:rsidP="00C9333D">
      <w:pPr>
        <w:pStyle w:val="Heading3"/>
        <w:numPr>
          <w:ilvl w:val="0"/>
          <w:numId w:val="0"/>
        </w:numPr>
        <w:tabs>
          <w:tab w:val="clear" w:pos="720"/>
        </w:tabs>
        <w:ind w:left="720"/>
        <w:jc w:val="right"/>
        <w:rPr>
          <w:rFonts w:cstheme="minorHAnsi"/>
          <w:szCs w:val="24"/>
        </w:rPr>
      </w:pPr>
    </w:p>
    <w:p w:rsidR="00B02521" w:rsidRPr="00A36DB4" w:rsidRDefault="00023318" w:rsidP="00B02521">
      <w:pPr>
        <w:pStyle w:val="Heading3"/>
        <w:numPr>
          <w:ilvl w:val="0"/>
          <w:numId w:val="0"/>
        </w:numPr>
        <w:tabs>
          <w:tab w:val="clear" w:pos="720"/>
        </w:tabs>
        <w:spacing w:before="0"/>
        <w:ind w:left="1440"/>
        <w:rPr>
          <w:rFonts w:cstheme="minorHAnsi"/>
          <w:i/>
          <w:szCs w:val="24"/>
        </w:rPr>
      </w:pPr>
      <w:r w:rsidRPr="00023318">
        <w:rPr>
          <w:rFonts w:cstheme="minorHAnsi"/>
          <w:i/>
          <w:szCs w:val="24"/>
        </w:rPr>
        <w:t>“In view of the above, the applicable Regulatory Surcharge for FY 2014-15 shall be 2.23%. However, the Regulatory Surcharge for subsequent year shall be linked with the actual performance of the Licensees in previous year i.e. the regulatory surcharge for FY 2015-16 will depend on the performance of the Licensees in FY 2014-15. In case the Distribution Licensees fail to achieve the target distribution losses in FY 2014-15, the regulatory surcharge for subsequent year i.e. FY 2015-16 shall be reduced by 10% over the applicable regulatory surcharge for the previous year (i.e. FY 2014-15). The Commission at the end of FY 2015-16 shall again review the applicability of the regulatory surcharge for future years i.e. beyond 2015-16 based on the actual performance of Licensee in the past years.”</w:t>
      </w:r>
    </w:p>
    <w:p w:rsidR="00B02521" w:rsidRPr="00A36DB4" w:rsidRDefault="00B02521" w:rsidP="00B02521">
      <w:pPr>
        <w:pStyle w:val="Heading3"/>
        <w:numPr>
          <w:ilvl w:val="0"/>
          <w:numId w:val="0"/>
        </w:numPr>
        <w:tabs>
          <w:tab w:val="clear" w:pos="720"/>
        </w:tabs>
        <w:spacing w:before="0"/>
        <w:rPr>
          <w:rFonts w:cstheme="minorHAnsi"/>
          <w:i/>
          <w:szCs w:val="24"/>
        </w:rPr>
      </w:pPr>
    </w:p>
    <w:p w:rsidR="00B02521" w:rsidRPr="00A36DB4" w:rsidRDefault="00023318" w:rsidP="00B02521">
      <w:pPr>
        <w:pStyle w:val="Heading3"/>
        <w:numPr>
          <w:ilvl w:val="0"/>
          <w:numId w:val="0"/>
        </w:numPr>
        <w:tabs>
          <w:tab w:val="clear" w:pos="720"/>
        </w:tabs>
        <w:spacing w:before="0"/>
        <w:ind w:left="1440"/>
        <w:rPr>
          <w:szCs w:val="24"/>
        </w:rPr>
      </w:pPr>
      <w:r w:rsidRPr="00023318">
        <w:rPr>
          <w:rFonts w:cstheme="minorHAnsi"/>
          <w:i/>
          <w:szCs w:val="24"/>
        </w:rPr>
        <w:t>It may be clarified that the Regulatory Surcharge reduced on account of the under-achieved performance targets shall be considered as deemed recovery. The Commission after accounting the actual recovery and the deemed recovery shall true-up the over / under recovery of the accumulated Regulatory Surcharge while undertaking the Truing up of the relevant year.</w:t>
      </w:r>
    </w:p>
    <w:p w:rsidR="00F755EF" w:rsidRPr="00A36DB4" w:rsidRDefault="00F755EF" w:rsidP="00B02521">
      <w:pPr>
        <w:pStyle w:val="Heading3"/>
        <w:numPr>
          <w:ilvl w:val="0"/>
          <w:numId w:val="0"/>
        </w:numPr>
        <w:tabs>
          <w:tab w:val="clear" w:pos="720"/>
        </w:tabs>
        <w:spacing w:before="0"/>
        <w:ind w:left="1440"/>
        <w:rPr>
          <w:rFonts w:cstheme="minorHAnsi"/>
          <w:i/>
          <w:szCs w:val="24"/>
        </w:rPr>
      </w:pPr>
    </w:p>
    <w:p w:rsidR="00B02521" w:rsidRPr="00A36DB4" w:rsidRDefault="00023318" w:rsidP="00B02521">
      <w:pPr>
        <w:pStyle w:val="Heading3"/>
        <w:numPr>
          <w:ilvl w:val="0"/>
          <w:numId w:val="0"/>
        </w:numPr>
        <w:tabs>
          <w:tab w:val="clear" w:pos="720"/>
        </w:tabs>
        <w:spacing w:before="0"/>
        <w:ind w:left="1440"/>
        <w:rPr>
          <w:szCs w:val="24"/>
        </w:rPr>
      </w:pPr>
      <w:r w:rsidRPr="00023318">
        <w:rPr>
          <w:rFonts w:cstheme="minorHAnsi"/>
          <w:i/>
          <w:szCs w:val="24"/>
        </w:rPr>
        <w:t>The Licensee is directed to depict the Regulatory Surcharge separately and distinctly in the electricity bills of the consumers. The Commission directs the Licensee to maintain separate accounting fields for the regulatory surcharge approved in this Order, and capture the amount collected as Regulatory Surcharge in both of its financial and commercial statements. This would enable the Licensee to correctly report the amounts collected towards Regulatory Surcharge.</w:t>
      </w:r>
    </w:p>
    <w:p w:rsidR="00B02521" w:rsidRPr="00A36DB4" w:rsidRDefault="00B02521" w:rsidP="00B02521">
      <w:pPr>
        <w:pStyle w:val="ListParagraph"/>
        <w:ind w:left="0"/>
      </w:pPr>
    </w:p>
    <w:p w:rsidR="00B02521" w:rsidRPr="00A36DB4" w:rsidRDefault="00023318" w:rsidP="00B02521">
      <w:pPr>
        <w:pStyle w:val="Heading3"/>
        <w:numPr>
          <w:ilvl w:val="0"/>
          <w:numId w:val="0"/>
        </w:numPr>
        <w:tabs>
          <w:tab w:val="clear" w:pos="720"/>
        </w:tabs>
        <w:spacing w:before="0"/>
        <w:ind w:left="1440"/>
        <w:rPr>
          <w:szCs w:val="24"/>
        </w:rPr>
      </w:pPr>
      <w:r w:rsidRPr="00023318">
        <w:rPr>
          <w:rFonts w:cstheme="minorHAnsi"/>
          <w:i/>
          <w:szCs w:val="24"/>
        </w:rPr>
        <w:t>The Licensee is directed to submit the actual Regulatory Surcharge recovered in FY 2014-15 on account of the Revenue Gap / Regulatory Asset admitted by the Commission in this Order along with the actual Distribution Losses achieved in FY 2014-15 added in FY 2014-15 by 15th April, 2015.</w:t>
      </w:r>
    </w:p>
    <w:p w:rsidR="00B02521" w:rsidRPr="00A36DB4" w:rsidRDefault="00B02521" w:rsidP="00B02521">
      <w:pPr>
        <w:pStyle w:val="ListParagraph"/>
        <w:ind w:left="1440"/>
      </w:pPr>
    </w:p>
    <w:p w:rsidR="00B02521" w:rsidRPr="00A36DB4" w:rsidRDefault="00023318" w:rsidP="00B02521">
      <w:pPr>
        <w:pStyle w:val="Heading3"/>
        <w:numPr>
          <w:ilvl w:val="0"/>
          <w:numId w:val="0"/>
        </w:numPr>
        <w:tabs>
          <w:tab w:val="clear" w:pos="720"/>
        </w:tabs>
        <w:spacing w:before="0"/>
        <w:ind w:left="1440"/>
        <w:rPr>
          <w:rFonts w:cstheme="minorHAnsi"/>
          <w:b/>
          <w:i/>
          <w:szCs w:val="24"/>
        </w:rPr>
      </w:pPr>
      <w:r w:rsidRPr="00023318">
        <w:rPr>
          <w:rFonts w:cstheme="minorHAnsi"/>
          <w:b/>
          <w:i/>
          <w:szCs w:val="24"/>
        </w:rPr>
        <w:t>Based on the achievement or under-achievement of target Distribution Losses the Regulatory Surcharge for subsequent financial year i.e. FY 2015-16 shall be revised as detailed in Para 12.3.6 above and the same shall be applicable for FY 2015-16.”(Emphasis Added)</w:t>
      </w:r>
    </w:p>
    <w:p w:rsidR="00B02521" w:rsidRPr="00A36DB4" w:rsidRDefault="00B02521" w:rsidP="00B02521">
      <w:pPr>
        <w:pStyle w:val="Heading3"/>
        <w:numPr>
          <w:ilvl w:val="0"/>
          <w:numId w:val="0"/>
        </w:numPr>
        <w:tabs>
          <w:tab w:val="clear" w:pos="720"/>
        </w:tabs>
        <w:spacing w:before="0"/>
        <w:rPr>
          <w:rFonts w:cstheme="minorHAnsi"/>
          <w:i/>
          <w:szCs w:val="24"/>
        </w:rPr>
      </w:pPr>
    </w:p>
    <w:p w:rsidR="00023318" w:rsidRPr="00023318" w:rsidRDefault="00023318" w:rsidP="00023318">
      <w:pPr>
        <w:pStyle w:val="Heading3"/>
        <w:tabs>
          <w:tab w:val="clear" w:pos="720"/>
        </w:tabs>
        <w:ind w:left="993" w:hanging="993"/>
      </w:pPr>
      <w:r w:rsidRPr="00023318">
        <w:t>Thus, with regard to above, the Commission passed an Order on April 22, 2015 in the matter of “Applicability of Regulatory Surcharges for State Distribution Licensees for FY 2015-16 as per Commissions Orders dated June 6, 2014 and October 1, 2014”. The relevant extract of the aforesaid Order regarding applicability of Regulatory Surcharge-2 (i.e. for the recovery of approved Revenue Gap on account of True-up of ARRs for FY 2008-09 to FY 2011-12) for FY 2015-16 is reproduced below:</w:t>
      </w:r>
    </w:p>
    <w:p w:rsidR="00B02521" w:rsidRPr="00A36DB4" w:rsidRDefault="00B02521" w:rsidP="00B02521">
      <w:pPr>
        <w:pStyle w:val="Heading3"/>
        <w:numPr>
          <w:ilvl w:val="0"/>
          <w:numId w:val="0"/>
        </w:numPr>
        <w:tabs>
          <w:tab w:val="clear" w:pos="720"/>
        </w:tabs>
        <w:ind w:left="720"/>
        <w:rPr>
          <w:rFonts w:cstheme="minorHAnsi"/>
          <w:szCs w:val="24"/>
        </w:rPr>
      </w:pPr>
    </w:p>
    <w:p w:rsidR="00B02521" w:rsidRPr="00A36DB4" w:rsidRDefault="00023318" w:rsidP="00B02521">
      <w:pPr>
        <w:pStyle w:val="Heading3"/>
        <w:numPr>
          <w:ilvl w:val="0"/>
          <w:numId w:val="0"/>
        </w:numPr>
        <w:tabs>
          <w:tab w:val="clear" w:pos="720"/>
        </w:tabs>
        <w:spacing w:before="0"/>
        <w:ind w:left="1440"/>
        <w:rPr>
          <w:b/>
          <w:i/>
          <w:szCs w:val="24"/>
        </w:rPr>
      </w:pPr>
      <w:r w:rsidRPr="00023318">
        <w:rPr>
          <w:i/>
          <w:szCs w:val="24"/>
        </w:rPr>
        <w:t>“It can be seen from the above that the Commission in its Order dated October 1, 2014 have linked the Regulatory Surcharge of KESCO only to the target Distribution Losses of FY 2014-15. As may be observed from Table 2 above, KESCO has not been able to achieve the target distribution losses in FY 2014-15. Thus considering the same, the applicable regulatory surcharge for FY 2015-16 for recovery of the revenue gap approved by the Commission in its Order dated October 1, 2014 has been reduced by 10%.”</w:t>
      </w:r>
    </w:p>
    <w:p w:rsidR="00B02521" w:rsidRPr="006B1DF3" w:rsidRDefault="00B02521" w:rsidP="00B02521">
      <w:pPr>
        <w:spacing w:line="312" w:lineRule="auto"/>
        <w:ind w:left="1440"/>
        <w:rPr>
          <w:rFonts w:cs="Arial"/>
          <w:i/>
        </w:rPr>
      </w:pPr>
    </w:p>
    <w:p w:rsidR="00B02521" w:rsidRPr="006B1DF3" w:rsidRDefault="00B02521" w:rsidP="00B02521">
      <w:pPr>
        <w:spacing w:line="312" w:lineRule="auto"/>
        <w:ind w:left="1440"/>
        <w:rPr>
          <w:rFonts w:cs="Arial"/>
          <w:i/>
        </w:rPr>
      </w:pPr>
      <w:r w:rsidRPr="00F52DC5">
        <w:rPr>
          <w:rFonts w:cs="Arial"/>
          <w:i/>
        </w:rPr>
        <w:t>The summary of the Regulatory Surcharge-2 applicable for FY 2014-15 and FY 2015-16 is shown in the Table below:</w:t>
      </w:r>
    </w:p>
    <w:p w:rsidR="00B02521" w:rsidRPr="00BD0B26" w:rsidRDefault="00B02521" w:rsidP="00B02521">
      <w:pPr>
        <w:jc w:val="center"/>
        <w:rPr>
          <w:rFonts w:cs="Arial"/>
          <w:i/>
          <w:sz w:val="22"/>
        </w:rPr>
      </w:pPr>
      <w:r w:rsidRPr="00BD0B26">
        <w:rPr>
          <w:b/>
          <w:i/>
          <w:sz w:val="22"/>
        </w:rPr>
        <w:t>Table</w:t>
      </w:r>
      <w:r w:rsidR="001C7C71" w:rsidRPr="00BD0B26">
        <w:rPr>
          <w:b/>
          <w:i/>
          <w:sz w:val="22"/>
        </w:rPr>
        <w:t xml:space="preserve"> 5</w:t>
      </w:r>
      <w:r w:rsidRPr="00BD0B26">
        <w:rPr>
          <w:b/>
          <w:i/>
          <w:sz w:val="22"/>
        </w:rPr>
        <w:t>: Summary of the Regulatory Surcharge - 2 applicable for FY 2014-15 and FY 2015-16 is shown in the Table below:</w:t>
      </w:r>
    </w:p>
    <w:tbl>
      <w:tblPr>
        <w:tblW w:w="4611" w:type="pct"/>
        <w:jc w:val="right"/>
        <w:tblInd w:w="-13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506"/>
        <w:gridCol w:w="2755"/>
        <w:gridCol w:w="2933"/>
      </w:tblGrid>
      <w:tr w:rsidR="00B02521" w:rsidRPr="006B1DF3" w:rsidTr="0007159A">
        <w:trPr>
          <w:trHeight w:val="683"/>
          <w:tblHeader/>
          <w:jc w:val="right"/>
        </w:trPr>
        <w:tc>
          <w:tcPr>
            <w:tcW w:w="1529" w:type="pct"/>
            <w:shd w:val="clear" w:color="000000" w:fill="DBE5F1"/>
            <w:vAlign w:val="center"/>
            <w:hideMark/>
          </w:tcPr>
          <w:p w:rsidR="00023318" w:rsidRDefault="00B02521" w:rsidP="00023318">
            <w:pPr>
              <w:spacing w:before="0"/>
              <w:jc w:val="center"/>
              <w:rPr>
                <w:b/>
                <w:bCs/>
                <w:i/>
                <w:color w:val="000000"/>
                <w:sz w:val="22"/>
              </w:rPr>
            </w:pPr>
            <w:r w:rsidRPr="00F52DC5">
              <w:rPr>
                <w:b/>
                <w:bCs/>
                <w:i/>
                <w:color w:val="000000"/>
                <w:sz w:val="22"/>
              </w:rPr>
              <w:t>Distribution Licensee</w:t>
            </w:r>
          </w:p>
        </w:tc>
        <w:tc>
          <w:tcPr>
            <w:tcW w:w="1681" w:type="pct"/>
            <w:shd w:val="clear" w:color="000000" w:fill="DBE5F1"/>
            <w:vAlign w:val="center"/>
            <w:hideMark/>
          </w:tcPr>
          <w:p w:rsidR="00023318" w:rsidRDefault="00B02521" w:rsidP="00023318">
            <w:pPr>
              <w:spacing w:before="0"/>
              <w:jc w:val="center"/>
              <w:rPr>
                <w:b/>
                <w:bCs/>
                <w:i/>
                <w:color w:val="000000"/>
                <w:sz w:val="22"/>
              </w:rPr>
            </w:pPr>
            <w:r w:rsidRPr="00F52DC5">
              <w:rPr>
                <w:b/>
                <w:bCs/>
                <w:i/>
                <w:color w:val="000000"/>
                <w:sz w:val="22"/>
              </w:rPr>
              <w:t>Regulatory Surcharge - 2 (Applicable for FY 2014-15) (As approved in Order dated Oct 1, 2014)</w:t>
            </w:r>
          </w:p>
        </w:tc>
        <w:tc>
          <w:tcPr>
            <w:tcW w:w="1790" w:type="pct"/>
            <w:shd w:val="clear" w:color="000000" w:fill="DBE5F1"/>
            <w:vAlign w:val="center"/>
            <w:hideMark/>
          </w:tcPr>
          <w:p w:rsidR="00023318" w:rsidRDefault="00B02521" w:rsidP="00023318">
            <w:pPr>
              <w:spacing w:before="0"/>
              <w:jc w:val="center"/>
              <w:rPr>
                <w:b/>
                <w:bCs/>
                <w:i/>
                <w:color w:val="000000"/>
                <w:sz w:val="22"/>
              </w:rPr>
            </w:pPr>
            <w:r w:rsidRPr="00F52DC5">
              <w:rPr>
                <w:b/>
                <w:bCs/>
                <w:i/>
                <w:color w:val="000000"/>
                <w:sz w:val="22"/>
              </w:rPr>
              <w:t>Regulatory Surcharge - 2 (Applicable for FY 2015-16) (As approved in this Order)</w:t>
            </w:r>
          </w:p>
        </w:tc>
      </w:tr>
      <w:tr w:rsidR="00B02521" w:rsidRPr="006B1DF3" w:rsidTr="0007159A">
        <w:trPr>
          <w:trHeight w:val="300"/>
          <w:jc w:val="right"/>
        </w:trPr>
        <w:tc>
          <w:tcPr>
            <w:tcW w:w="1529" w:type="pct"/>
            <w:shd w:val="clear" w:color="auto" w:fill="auto"/>
            <w:vAlign w:val="bottom"/>
            <w:hideMark/>
          </w:tcPr>
          <w:p w:rsidR="00023318" w:rsidRDefault="00B02521" w:rsidP="00023318">
            <w:pPr>
              <w:spacing w:before="0"/>
              <w:rPr>
                <w:b/>
                <w:i/>
                <w:color w:val="000000"/>
                <w:sz w:val="22"/>
              </w:rPr>
            </w:pPr>
            <w:r w:rsidRPr="00F52DC5">
              <w:rPr>
                <w:b/>
                <w:i/>
                <w:color w:val="000000"/>
                <w:sz w:val="22"/>
              </w:rPr>
              <w:t>DVVNL</w:t>
            </w:r>
          </w:p>
        </w:tc>
        <w:tc>
          <w:tcPr>
            <w:tcW w:w="1681" w:type="pct"/>
            <w:shd w:val="clear" w:color="auto" w:fill="auto"/>
            <w:vAlign w:val="bottom"/>
            <w:hideMark/>
          </w:tcPr>
          <w:p w:rsidR="00023318" w:rsidRDefault="00B02521" w:rsidP="00023318">
            <w:pPr>
              <w:spacing w:before="0"/>
              <w:jc w:val="right"/>
              <w:rPr>
                <w:i/>
                <w:color w:val="000000"/>
                <w:sz w:val="22"/>
              </w:rPr>
            </w:pPr>
            <w:r w:rsidRPr="00F52DC5">
              <w:rPr>
                <w:i/>
                <w:color w:val="000000"/>
                <w:sz w:val="22"/>
              </w:rPr>
              <w:t>2.38%</w:t>
            </w:r>
          </w:p>
        </w:tc>
        <w:tc>
          <w:tcPr>
            <w:tcW w:w="1790" w:type="pct"/>
            <w:shd w:val="clear" w:color="auto" w:fill="auto"/>
            <w:noWrap/>
            <w:vAlign w:val="bottom"/>
            <w:hideMark/>
          </w:tcPr>
          <w:p w:rsidR="00023318" w:rsidRDefault="00B02521" w:rsidP="00023318">
            <w:pPr>
              <w:spacing w:before="0"/>
              <w:jc w:val="right"/>
              <w:rPr>
                <w:i/>
                <w:color w:val="000000"/>
                <w:sz w:val="22"/>
              </w:rPr>
            </w:pPr>
            <w:r w:rsidRPr="00F52DC5">
              <w:rPr>
                <w:i/>
                <w:color w:val="000000"/>
                <w:sz w:val="22"/>
              </w:rPr>
              <w:t>2.38%</w:t>
            </w:r>
          </w:p>
        </w:tc>
      </w:tr>
      <w:tr w:rsidR="00B02521" w:rsidRPr="006B1DF3" w:rsidTr="0007159A">
        <w:trPr>
          <w:trHeight w:val="300"/>
          <w:jc w:val="right"/>
        </w:trPr>
        <w:tc>
          <w:tcPr>
            <w:tcW w:w="1529" w:type="pct"/>
            <w:shd w:val="clear" w:color="auto" w:fill="auto"/>
            <w:vAlign w:val="bottom"/>
            <w:hideMark/>
          </w:tcPr>
          <w:p w:rsidR="00023318" w:rsidRDefault="00B02521" w:rsidP="00023318">
            <w:pPr>
              <w:spacing w:before="0"/>
              <w:rPr>
                <w:b/>
                <w:i/>
                <w:color w:val="000000"/>
                <w:sz w:val="22"/>
              </w:rPr>
            </w:pPr>
            <w:r w:rsidRPr="00F52DC5">
              <w:rPr>
                <w:b/>
                <w:i/>
                <w:color w:val="000000"/>
                <w:sz w:val="22"/>
              </w:rPr>
              <w:t>MVVNL</w:t>
            </w:r>
          </w:p>
        </w:tc>
        <w:tc>
          <w:tcPr>
            <w:tcW w:w="1681" w:type="pct"/>
            <w:shd w:val="clear" w:color="auto" w:fill="auto"/>
            <w:vAlign w:val="bottom"/>
            <w:hideMark/>
          </w:tcPr>
          <w:p w:rsidR="00023318" w:rsidRDefault="00B02521" w:rsidP="00023318">
            <w:pPr>
              <w:spacing w:before="0"/>
              <w:jc w:val="right"/>
              <w:rPr>
                <w:i/>
                <w:color w:val="000000"/>
                <w:sz w:val="22"/>
              </w:rPr>
            </w:pPr>
            <w:r w:rsidRPr="00F52DC5">
              <w:rPr>
                <w:i/>
                <w:color w:val="000000"/>
                <w:sz w:val="22"/>
              </w:rPr>
              <w:t>2.38%</w:t>
            </w:r>
          </w:p>
        </w:tc>
        <w:tc>
          <w:tcPr>
            <w:tcW w:w="1790" w:type="pct"/>
            <w:shd w:val="clear" w:color="auto" w:fill="auto"/>
            <w:noWrap/>
            <w:vAlign w:val="bottom"/>
            <w:hideMark/>
          </w:tcPr>
          <w:p w:rsidR="00023318" w:rsidRDefault="00B02521" w:rsidP="00023318">
            <w:pPr>
              <w:spacing w:before="0"/>
              <w:jc w:val="right"/>
              <w:rPr>
                <w:i/>
                <w:color w:val="000000"/>
                <w:sz w:val="22"/>
              </w:rPr>
            </w:pPr>
            <w:r w:rsidRPr="00F52DC5">
              <w:rPr>
                <w:i/>
                <w:color w:val="000000"/>
                <w:sz w:val="22"/>
              </w:rPr>
              <w:t>2.38%</w:t>
            </w:r>
          </w:p>
        </w:tc>
      </w:tr>
      <w:tr w:rsidR="00B02521" w:rsidRPr="006B1DF3" w:rsidTr="0007159A">
        <w:trPr>
          <w:trHeight w:val="300"/>
          <w:jc w:val="right"/>
        </w:trPr>
        <w:tc>
          <w:tcPr>
            <w:tcW w:w="1529" w:type="pct"/>
            <w:shd w:val="clear" w:color="auto" w:fill="auto"/>
            <w:vAlign w:val="bottom"/>
            <w:hideMark/>
          </w:tcPr>
          <w:p w:rsidR="00023318" w:rsidRDefault="00B02521" w:rsidP="00023318">
            <w:pPr>
              <w:spacing w:before="0"/>
              <w:rPr>
                <w:b/>
                <w:i/>
                <w:color w:val="000000"/>
                <w:sz w:val="22"/>
              </w:rPr>
            </w:pPr>
            <w:r w:rsidRPr="00F52DC5">
              <w:rPr>
                <w:b/>
                <w:i/>
                <w:color w:val="000000"/>
                <w:sz w:val="22"/>
              </w:rPr>
              <w:t>PVVNL</w:t>
            </w:r>
          </w:p>
        </w:tc>
        <w:tc>
          <w:tcPr>
            <w:tcW w:w="1681" w:type="pct"/>
            <w:shd w:val="clear" w:color="auto" w:fill="auto"/>
            <w:vAlign w:val="bottom"/>
            <w:hideMark/>
          </w:tcPr>
          <w:p w:rsidR="00023318" w:rsidRDefault="00B02521" w:rsidP="00023318">
            <w:pPr>
              <w:spacing w:before="0"/>
              <w:jc w:val="right"/>
              <w:rPr>
                <w:i/>
                <w:color w:val="000000"/>
                <w:sz w:val="22"/>
              </w:rPr>
            </w:pPr>
            <w:r w:rsidRPr="00F52DC5">
              <w:rPr>
                <w:i/>
                <w:color w:val="000000"/>
                <w:sz w:val="22"/>
              </w:rPr>
              <w:t>2.38%</w:t>
            </w:r>
          </w:p>
        </w:tc>
        <w:tc>
          <w:tcPr>
            <w:tcW w:w="1790" w:type="pct"/>
            <w:shd w:val="clear" w:color="auto" w:fill="auto"/>
            <w:noWrap/>
            <w:vAlign w:val="bottom"/>
            <w:hideMark/>
          </w:tcPr>
          <w:p w:rsidR="00023318" w:rsidRDefault="00B02521" w:rsidP="00023318">
            <w:pPr>
              <w:spacing w:before="0"/>
              <w:jc w:val="right"/>
              <w:rPr>
                <w:i/>
                <w:color w:val="000000"/>
                <w:sz w:val="22"/>
              </w:rPr>
            </w:pPr>
            <w:r w:rsidRPr="00F52DC5">
              <w:rPr>
                <w:i/>
                <w:color w:val="000000"/>
                <w:sz w:val="22"/>
              </w:rPr>
              <w:t>2.38%</w:t>
            </w:r>
          </w:p>
        </w:tc>
      </w:tr>
      <w:tr w:rsidR="00B02521" w:rsidRPr="006B1DF3" w:rsidTr="0007159A">
        <w:trPr>
          <w:trHeight w:val="300"/>
          <w:jc w:val="right"/>
        </w:trPr>
        <w:tc>
          <w:tcPr>
            <w:tcW w:w="1529" w:type="pct"/>
            <w:shd w:val="clear" w:color="auto" w:fill="auto"/>
            <w:vAlign w:val="bottom"/>
            <w:hideMark/>
          </w:tcPr>
          <w:p w:rsidR="00023318" w:rsidRDefault="00B02521" w:rsidP="00023318">
            <w:pPr>
              <w:spacing w:before="0"/>
              <w:rPr>
                <w:b/>
                <w:i/>
                <w:color w:val="000000"/>
                <w:sz w:val="22"/>
              </w:rPr>
            </w:pPr>
            <w:r w:rsidRPr="00F52DC5">
              <w:rPr>
                <w:b/>
                <w:i/>
                <w:color w:val="000000"/>
                <w:sz w:val="22"/>
              </w:rPr>
              <w:t>PuVVNL</w:t>
            </w:r>
          </w:p>
        </w:tc>
        <w:tc>
          <w:tcPr>
            <w:tcW w:w="1681" w:type="pct"/>
            <w:shd w:val="clear" w:color="auto" w:fill="auto"/>
            <w:vAlign w:val="bottom"/>
            <w:hideMark/>
          </w:tcPr>
          <w:p w:rsidR="00023318" w:rsidRDefault="00B02521" w:rsidP="00023318">
            <w:pPr>
              <w:spacing w:before="0"/>
              <w:jc w:val="right"/>
              <w:rPr>
                <w:i/>
                <w:color w:val="000000"/>
                <w:sz w:val="22"/>
              </w:rPr>
            </w:pPr>
            <w:r w:rsidRPr="00F52DC5">
              <w:rPr>
                <w:i/>
                <w:color w:val="000000"/>
                <w:sz w:val="22"/>
              </w:rPr>
              <w:t>2.38%</w:t>
            </w:r>
          </w:p>
        </w:tc>
        <w:tc>
          <w:tcPr>
            <w:tcW w:w="1790" w:type="pct"/>
            <w:shd w:val="clear" w:color="auto" w:fill="auto"/>
            <w:noWrap/>
            <w:vAlign w:val="bottom"/>
            <w:hideMark/>
          </w:tcPr>
          <w:p w:rsidR="00023318" w:rsidRDefault="00B02521" w:rsidP="00023318">
            <w:pPr>
              <w:spacing w:before="0"/>
              <w:jc w:val="right"/>
              <w:rPr>
                <w:i/>
                <w:color w:val="000000"/>
                <w:sz w:val="22"/>
              </w:rPr>
            </w:pPr>
            <w:r w:rsidRPr="00F52DC5">
              <w:rPr>
                <w:i/>
                <w:color w:val="000000"/>
                <w:sz w:val="22"/>
              </w:rPr>
              <w:t>2.38%</w:t>
            </w:r>
          </w:p>
        </w:tc>
      </w:tr>
      <w:tr w:rsidR="00B02521" w:rsidRPr="006B1DF3" w:rsidTr="0007159A">
        <w:trPr>
          <w:trHeight w:val="300"/>
          <w:jc w:val="right"/>
        </w:trPr>
        <w:tc>
          <w:tcPr>
            <w:tcW w:w="1529" w:type="pct"/>
            <w:shd w:val="clear" w:color="auto" w:fill="auto"/>
            <w:vAlign w:val="bottom"/>
            <w:hideMark/>
          </w:tcPr>
          <w:p w:rsidR="00023318" w:rsidRDefault="00B02521" w:rsidP="00023318">
            <w:pPr>
              <w:spacing w:before="0"/>
              <w:rPr>
                <w:b/>
                <w:i/>
                <w:color w:val="000000"/>
                <w:sz w:val="22"/>
              </w:rPr>
            </w:pPr>
            <w:r w:rsidRPr="00F52DC5">
              <w:rPr>
                <w:b/>
                <w:i/>
                <w:color w:val="000000"/>
                <w:sz w:val="22"/>
              </w:rPr>
              <w:t>KESCO</w:t>
            </w:r>
          </w:p>
        </w:tc>
        <w:tc>
          <w:tcPr>
            <w:tcW w:w="1681" w:type="pct"/>
            <w:shd w:val="clear" w:color="auto" w:fill="auto"/>
            <w:vAlign w:val="bottom"/>
            <w:hideMark/>
          </w:tcPr>
          <w:p w:rsidR="00023318" w:rsidRDefault="00B02521" w:rsidP="00023318">
            <w:pPr>
              <w:spacing w:before="0"/>
              <w:jc w:val="right"/>
              <w:rPr>
                <w:i/>
                <w:color w:val="000000"/>
                <w:sz w:val="22"/>
              </w:rPr>
            </w:pPr>
            <w:r w:rsidRPr="00F52DC5">
              <w:rPr>
                <w:i/>
                <w:color w:val="000000"/>
                <w:sz w:val="22"/>
              </w:rPr>
              <w:t>2.23%</w:t>
            </w:r>
          </w:p>
        </w:tc>
        <w:tc>
          <w:tcPr>
            <w:tcW w:w="1790" w:type="pct"/>
            <w:shd w:val="clear" w:color="auto" w:fill="auto"/>
            <w:noWrap/>
            <w:vAlign w:val="bottom"/>
            <w:hideMark/>
          </w:tcPr>
          <w:p w:rsidR="00023318" w:rsidRDefault="00B02521" w:rsidP="00023318">
            <w:pPr>
              <w:spacing w:before="0"/>
              <w:jc w:val="right"/>
              <w:rPr>
                <w:i/>
                <w:color w:val="000000"/>
                <w:sz w:val="22"/>
              </w:rPr>
            </w:pPr>
            <w:r w:rsidRPr="00F52DC5">
              <w:rPr>
                <w:i/>
                <w:color w:val="000000"/>
                <w:sz w:val="22"/>
              </w:rPr>
              <w:t>2.01%</w:t>
            </w:r>
          </w:p>
        </w:tc>
      </w:tr>
    </w:tbl>
    <w:p w:rsidR="00D741AB" w:rsidRDefault="00B02521">
      <w:pPr>
        <w:pStyle w:val="Heading3"/>
        <w:numPr>
          <w:ilvl w:val="0"/>
          <w:numId w:val="0"/>
        </w:numPr>
        <w:tabs>
          <w:tab w:val="clear" w:pos="720"/>
        </w:tabs>
        <w:spacing w:before="0"/>
        <w:ind w:left="630"/>
        <w:rPr>
          <w:rFonts w:asciiTheme="minorHAnsi" w:hAnsiTheme="minorHAnsi"/>
          <w:i/>
          <w:szCs w:val="24"/>
        </w:rPr>
      </w:pPr>
      <w:r w:rsidRPr="00F52DC5">
        <w:rPr>
          <w:rFonts w:asciiTheme="minorHAnsi" w:hAnsiTheme="minorHAnsi"/>
          <w:b/>
          <w:i/>
          <w:szCs w:val="24"/>
        </w:rPr>
        <w:lastRenderedPageBreak/>
        <w:t>Note:</w:t>
      </w:r>
      <w:r w:rsidRPr="00F52DC5">
        <w:rPr>
          <w:rFonts w:asciiTheme="minorHAnsi" w:hAnsiTheme="minorHAnsi"/>
          <w:i/>
          <w:szCs w:val="24"/>
        </w:rPr>
        <w:t xml:space="preserve"> The Regulatory Surcharge for FY 2015-16 as approved in this Order would be effective from 1</w:t>
      </w:r>
      <w:r w:rsidRPr="00F52DC5">
        <w:rPr>
          <w:rFonts w:asciiTheme="minorHAnsi" w:hAnsiTheme="minorHAnsi"/>
          <w:i/>
          <w:szCs w:val="24"/>
          <w:vertAlign w:val="superscript"/>
        </w:rPr>
        <w:t>st</w:t>
      </w:r>
      <w:r w:rsidRPr="00F52DC5">
        <w:rPr>
          <w:rFonts w:asciiTheme="minorHAnsi" w:hAnsiTheme="minorHAnsi"/>
          <w:i/>
          <w:szCs w:val="24"/>
        </w:rPr>
        <w:t xml:space="preserve"> April, 2015</w:t>
      </w:r>
    </w:p>
    <w:p w:rsidR="00B02521" w:rsidRPr="006B1DF3" w:rsidRDefault="00B02521" w:rsidP="00B02521">
      <w:pPr>
        <w:pStyle w:val="Heading3"/>
        <w:numPr>
          <w:ilvl w:val="0"/>
          <w:numId w:val="0"/>
        </w:numPr>
        <w:tabs>
          <w:tab w:val="clear" w:pos="720"/>
        </w:tabs>
        <w:spacing w:before="0"/>
        <w:rPr>
          <w:rFonts w:asciiTheme="minorHAnsi" w:hAnsiTheme="minorHAnsi"/>
          <w:i/>
          <w:szCs w:val="24"/>
        </w:rPr>
      </w:pPr>
    </w:p>
    <w:p w:rsidR="00B02521" w:rsidRPr="006B1DF3" w:rsidRDefault="00B02521" w:rsidP="00B02521">
      <w:pPr>
        <w:spacing w:line="312" w:lineRule="auto"/>
        <w:ind w:left="1440"/>
        <w:rPr>
          <w:rFonts w:cs="Arial"/>
          <w:i/>
        </w:rPr>
      </w:pPr>
      <w:r w:rsidRPr="00F52DC5">
        <w:rPr>
          <w:rFonts w:cs="Arial"/>
          <w:i/>
        </w:rPr>
        <w:t xml:space="preserve">…….As detailed in by the Commission in its Orders dated June 6, 2014 and October 1, 2014, the Regulatory Surcharges reduced on account of the under-achieved performance targets shall be considered as deemed recovery. The Commission after accounting the actual recovery and the deemed recovery shall true-up the over / under recovery of the accumulated Regulatory Surcharges while undertaking the Truing up of the relevant year. </w:t>
      </w:r>
    </w:p>
    <w:p w:rsidR="00B02521" w:rsidRPr="006B1DF3" w:rsidRDefault="00B02521" w:rsidP="00B02521">
      <w:pPr>
        <w:spacing w:line="312" w:lineRule="auto"/>
        <w:ind w:left="1440"/>
        <w:rPr>
          <w:rFonts w:cs="Arial"/>
          <w:i/>
        </w:rPr>
      </w:pPr>
      <w:r w:rsidRPr="00F52DC5">
        <w:rPr>
          <w:rFonts w:cs="Arial"/>
          <w:i/>
        </w:rPr>
        <w:t>The Licensees are directed to depict the Regulatory Surcharges distinctly in the electricity bills of the consumers. The Commission directs the Licensee to maintain separate accounting fields to capture the amounts collected as Regulatory Surcharges in both of its financial and commercial statements. This would enable the Licensee to correctly report the amounts collected towards Regulatory Surcharges.</w:t>
      </w:r>
    </w:p>
    <w:p w:rsidR="00B02521" w:rsidRPr="006B1DF3" w:rsidRDefault="00B02521" w:rsidP="00B02521">
      <w:pPr>
        <w:spacing w:line="312" w:lineRule="auto"/>
        <w:ind w:left="1440"/>
        <w:rPr>
          <w:rFonts w:cs="Arial"/>
          <w:i/>
        </w:rPr>
      </w:pPr>
      <w:r w:rsidRPr="00F52DC5">
        <w:rPr>
          <w:rFonts w:cs="Arial"/>
          <w:i/>
        </w:rPr>
        <w:t>Further as in the absence of the actual distribution losses the Commission for the purpose of this Order has considered the estimated Distribution Losses for FY 2014-15 as provided in its ARR / Tariff Petitions for FY 2015-16, the applicable Regulatory Surcharges for FY 2015-16 as worked out in this Order are provisional and subject to change based on the actual additional consumer addition and the actual distribution losses for FY 2014-15. The Distribution Licensees are directed to submit the same at the earliest.</w:t>
      </w:r>
    </w:p>
    <w:p w:rsidR="00B02521" w:rsidRPr="006B1DF3" w:rsidRDefault="00B02521" w:rsidP="00B02521">
      <w:pPr>
        <w:spacing w:line="312" w:lineRule="auto"/>
        <w:ind w:left="1440"/>
        <w:rPr>
          <w:rFonts w:cs="Arial"/>
          <w:i/>
        </w:rPr>
      </w:pPr>
      <w:r w:rsidRPr="00F52DC5">
        <w:rPr>
          <w:rFonts w:cs="Arial"/>
          <w:i/>
        </w:rPr>
        <w:t>It is to be noted that as the efforts for reduction in line losses have been mostly directed at the domestic and agriculture consumers, the revised Regulatory Surcharge-1 &amp; Regulatory Surcharge-2 for FY 2015-16 as approved in this order, would only be applicable for the consumer of LMV-1 &amp; LMV-5 categories only.”</w:t>
      </w:r>
    </w:p>
    <w:p w:rsidR="00023318" w:rsidRPr="00023318" w:rsidRDefault="00023318" w:rsidP="00023318">
      <w:pPr>
        <w:pStyle w:val="Heading3"/>
        <w:tabs>
          <w:tab w:val="clear" w:pos="720"/>
        </w:tabs>
        <w:ind w:left="993" w:hanging="993"/>
      </w:pPr>
      <w:r w:rsidRPr="00023318">
        <w:t xml:space="preserve">The Commission in its Tariff Order for FY 2015-16 dated June 18, 2015  had allowed  a regulatory  surcharge  of  3.91% for LMV-1 &amp; LMV-5 categories and 4.13 % for all other categories for  liquidation  of  the Regulatory  asset  as  </w:t>
      </w:r>
      <w:r w:rsidRPr="00023318">
        <w:lastRenderedPageBreak/>
        <w:t>approved  in  the  aforesaid  Order  which  was  made applicable  in  the  supply  area of KESCO.  The relevant extract of the same is reproduced below:</w:t>
      </w:r>
    </w:p>
    <w:p w:rsidR="00B02521" w:rsidRPr="00241B55" w:rsidRDefault="00023318" w:rsidP="00B02521">
      <w:pPr>
        <w:pStyle w:val="ListParagraph"/>
        <w:spacing w:line="312" w:lineRule="auto"/>
        <w:ind w:left="1440"/>
        <w:rPr>
          <w:rFonts w:cs="Arial"/>
          <w:i/>
        </w:rPr>
      </w:pPr>
      <w:r w:rsidRPr="00023318">
        <w:rPr>
          <w:i/>
        </w:rPr>
        <w:t xml:space="preserve">“The Commission, for liquidation of the Regulatory asset for past years, has decided to revise the Regulatory Surcharge-2 from existing level of 2.23 % to 4.13% applicable on “RATE” as defined in the Rate Schedule for FY 2015-16. Further, the Commission vide Order dated April 22, 2015 has reduced the Regulatory Surcharge-2 for LMV-1 &amp; LMV-5 categories and </w:t>
      </w:r>
      <w:r w:rsidRPr="00023318">
        <w:rPr>
          <w:rFonts w:cstheme="minorHAnsi"/>
          <w:i/>
        </w:rPr>
        <w:t xml:space="preserve">the reduction in revenue to be recovered from </w:t>
      </w:r>
      <w:r w:rsidRPr="00023318">
        <w:rPr>
          <w:i/>
        </w:rPr>
        <w:t>Regulatory Surcharge from the consumer of LMV-1 &amp; LMV-5 had been considered as deemed recovery.</w:t>
      </w:r>
      <w:r w:rsidRPr="00023318">
        <w:rPr>
          <w:b/>
          <w:i/>
        </w:rPr>
        <w:t xml:space="preserve"> Thus, in cognizance to the above, the regulatory surcharge for FY 2015-16 for the consumers of LMV-1 &amp; LMV-5 categories would be 3.91% while the regulatory surcharge for all other categories would be 4.13%.</w:t>
      </w:r>
      <w:r w:rsidRPr="00023318">
        <w:rPr>
          <w:i/>
        </w:rPr>
        <w:t xml:space="preserve"> </w:t>
      </w:r>
      <w:r w:rsidRPr="00023318">
        <w:rPr>
          <w:rFonts w:cstheme="minorHAnsi"/>
          <w:i/>
        </w:rPr>
        <w:t>It is to be noted that revenue to be recovered due to reduction in Regulatory Surcharge of the Consumers of LMV-1 &amp; LMV-5 categories, shall be considered as deemed recovery for FY 2015-16. S</w:t>
      </w:r>
      <w:r w:rsidRPr="00023318">
        <w:rPr>
          <w:i/>
        </w:rPr>
        <w:t>uch surcharge would be applicable in the supply areas of KESCO only………”</w:t>
      </w:r>
    </w:p>
    <w:p w:rsidR="00B02521" w:rsidRPr="00BD0B26" w:rsidRDefault="00023318" w:rsidP="00BD0B26">
      <w:pPr>
        <w:pStyle w:val="Heading3"/>
        <w:tabs>
          <w:tab w:val="clear" w:pos="720"/>
        </w:tabs>
        <w:ind w:left="993" w:hanging="993"/>
      </w:pPr>
      <w:r w:rsidRPr="00023318">
        <w:t xml:space="preserve">Further, in the Tariff Order for FY 2015-16, the Commission had also linked the Regulatory  Surcharge  for  FY  2016-17 with  the  actual  performance  of  the Licensees  in  FY  2015-16.  The relevant extract of the Order is reproduced below:  </w:t>
      </w:r>
    </w:p>
    <w:p w:rsidR="00B02521" w:rsidRPr="00241B55" w:rsidRDefault="00023318" w:rsidP="00B02521">
      <w:pPr>
        <w:spacing w:line="312" w:lineRule="auto"/>
        <w:ind w:left="1440"/>
        <w:rPr>
          <w:rFonts w:cstheme="minorHAnsi"/>
          <w:i/>
        </w:rPr>
      </w:pPr>
      <w:r w:rsidRPr="00023318">
        <w:rPr>
          <w:rFonts w:cstheme="minorHAnsi"/>
          <w:i/>
        </w:rPr>
        <w:t xml:space="preserve">“8.4.8 Thus, the applicable Regulatory Surcharge for subsequent year shall be linked with the actual performance of the Licensees in previous year i.e. the regulatory surcharge for FY 2016-17 will depend on the performance of the Licensees in FY 2015-16. </w:t>
      </w:r>
      <w:r w:rsidRPr="00023318">
        <w:rPr>
          <w:rFonts w:cstheme="minorHAnsi"/>
          <w:b/>
          <w:i/>
        </w:rPr>
        <w:t>In case the Distribution Licensees fail to achieve the Distribution loss target in FY 2015-16, the regulatory surcharge for subsequent year i.e. FY 2016-17 shall be reduced by 10% over the applicable regulatory surcharge for the previous year (i.e. FY 2015-16)</w:t>
      </w:r>
      <w:r w:rsidRPr="00023318">
        <w:rPr>
          <w:rFonts w:cstheme="minorHAnsi"/>
          <w:i/>
        </w:rPr>
        <w:t>.” [Emphasis Supplied]</w:t>
      </w:r>
    </w:p>
    <w:p w:rsidR="00023318" w:rsidRPr="00023318" w:rsidRDefault="00023318" w:rsidP="00023318">
      <w:pPr>
        <w:pStyle w:val="Heading3"/>
        <w:tabs>
          <w:tab w:val="clear" w:pos="720"/>
        </w:tabs>
        <w:ind w:left="993" w:hanging="993"/>
      </w:pPr>
      <w:r w:rsidRPr="00023318">
        <w:rPr>
          <w:rFonts w:cs="Times New Roman"/>
          <w:szCs w:val="24"/>
        </w:rPr>
        <w:t>The Commission, in Suo-Moto proceedings on the matter of Regulatory Surcharge, issued an Order on April 18, 201</w:t>
      </w:r>
      <w:r w:rsidRPr="00023318">
        <w:t>6</w:t>
      </w:r>
      <w:r w:rsidRPr="00023318">
        <w:rPr>
          <w:rFonts w:cs="Times New Roman"/>
          <w:szCs w:val="24"/>
        </w:rPr>
        <w:t xml:space="preserve"> directed the Distribution Licensee to continue levying of Regulatory Sucharge-2 (RS-2) as per the Tariff Orders for FY 2015-16 dated June 18, 2015 till issuance of further Orders in this regard. The relevant extract of the same is reproduced below:</w:t>
      </w:r>
    </w:p>
    <w:p w:rsidR="00B02521" w:rsidRPr="00241B55" w:rsidRDefault="00B02521" w:rsidP="00B02521">
      <w:pPr>
        <w:pStyle w:val="ListParagraph"/>
        <w:spacing w:before="0" w:after="200"/>
        <w:contextualSpacing/>
      </w:pPr>
    </w:p>
    <w:p w:rsidR="00B02521" w:rsidRPr="00241B55" w:rsidRDefault="00023318" w:rsidP="00B02521">
      <w:pPr>
        <w:pStyle w:val="ListParagraph"/>
        <w:spacing w:before="0" w:after="200"/>
        <w:ind w:left="1440"/>
        <w:contextualSpacing/>
        <w:rPr>
          <w:i/>
        </w:rPr>
      </w:pPr>
      <w:r w:rsidRPr="00023318">
        <w:rPr>
          <w:i/>
        </w:rPr>
        <w:t>“4. The Commission also directs the Distribution Licensees to continue levying of RS-2 as per the Tariff Orders for FY 2015-16 dated June 18, 2015 till issuance of further Orders in this regard.”</w:t>
      </w:r>
    </w:p>
    <w:p w:rsidR="00023318" w:rsidRPr="00023318" w:rsidRDefault="00023318" w:rsidP="00023318">
      <w:pPr>
        <w:pStyle w:val="Heading3"/>
        <w:tabs>
          <w:tab w:val="clear" w:pos="720"/>
        </w:tabs>
        <w:ind w:left="993" w:hanging="993"/>
      </w:pPr>
      <w:r w:rsidRPr="00023318">
        <w:rPr>
          <w:rFonts w:cs="Times New Roman"/>
          <w:szCs w:val="24"/>
        </w:rPr>
        <w:t xml:space="preserve">Also, in the previous Tariff Order for FY 2015-16, the  Distribution  Licensee was  directed  to  submit  the  actual  Regulatory Surcharge-2  recovered  in  FY  2015-16  on  account  of  the  Revenue  Gap  / Regulatory  Asset  admitted  by  the  Commission  in  the Tariff Order FY 2015-16 by April 15, 2016. Based on the submissions, achievement or under-achievement of performance parameters, the Regulatory Surcharge for subsequent financial year i.e. FY 2016-17 was to be revised. </w:t>
      </w:r>
    </w:p>
    <w:p w:rsidR="00023318" w:rsidRPr="00023318" w:rsidRDefault="00023318" w:rsidP="00023318">
      <w:pPr>
        <w:pStyle w:val="ListParagraph"/>
        <w:ind w:left="993"/>
      </w:pPr>
      <w:r w:rsidRPr="00023318">
        <w:rPr>
          <w:bCs/>
        </w:rPr>
        <w:t>It is to be noted that the Petitioner has not submitted any information with regard to the performance parameter like actual distribution loss  in FY 2015-16 as directed by the Commission in its Tariff</w:t>
      </w:r>
      <w:r w:rsidRPr="00023318">
        <w:rPr>
          <w:rFonts w:cstheme="minorHAnsi"/>
        </w:rPr>
        <w:t xml:space="preserve"> Order for FY 2015-16. </w:t>
      </w:r>
      <w:r w:rsidRPr="00023318">
        <w:rPr>
          <w:rFonts w:cstheme="minorHAnsi"/>
          <w:b/>
        </w:rPr>
        <w:t xml:space="preserve">The Petitioner is hereby directed to submit the relevant information at the earliest. </w:t>
      </w:r>
      <w:r w:rsidRPr="00023318">
        <w:rPr>
          <w:rFonts w:cstheme="minorHAnsi"/>
        </w:rPr>
        <w:t xml:space="preserve">The Commission after taking into consideration the huge amount of Regulatory Asset accumulated in the previous years and associated carrying costs involved with it and in absence of required information regarding the actual Distribution Loss for FY 2015-16 has decided to continue with the Regulatory Surcharge </w:t>
      </w:r>
      <w:r w:rsidRPr="00023318">
        <w:rPr>
          <w:rFonts w:cstheme="minorHAnsi"/>
          <w:b/>
        </w:rPr>
        <w:t>“Rate”</w:t>
      </w:r>
      <w:r w:rsidRPr="00023318">
        <w:rPr>
          <w:rFonts w:cstheme="minorHAnsi"/>
        </w:rPr>
        <w:t xml:space="preserve"> approved in the tariff Order for FY 2015-16. </w:t>
      </w:r>
      <w:r w:rsidRPr="00023318">
        <w:rPr>
          <w:rFonts w:cstheme="minorHAnsi"/>
          <w:b/>
        </w:rPr>
        <w:t xml:space="preserve">Thus, the applicable Regulatory Surcharge-2 for FY 2016-17 </w:t>
      </w:r>
      <w:r w:rsidRPr="00023318">
        <w:rPr>
          <w:b/>
        </w:rPr>
        <w:t>for the consumers of LMV-1 &amp; LMV-5 categories would be 3.91% while the regulatory surcharge for all other categories would be 4.13%.in the supply area of KESCO.</w:t>
      </w:r>
    </w:p>
    <w:p w:rsidR="00023318" w:rsidRPr="00023318" w:rsidRDefault="00023318" w:rsidP="00023318">
      <w:pPr>
        <w:ind w:left="993"/>
      </w:pPr>
    </w:p>
    <w:p w:rsidR="00023318" w:rsidRPr="00BD0B26" w:rsidRDefault="00023318" w:rsidP="00BD0B26">
      <w:pPr>
        <w:pStyle w:val="Heading2"/>
        <w:ind w:left="990" w:hanging="990"/>
        <w:rPr>
          <w:rFonts w:ascii="Calibri" w:hAnsi="Calibri"/>
        </w:rPr>
      </w:pPr>
      <w:bookmarkStart w:id="1558" w:name="_Toc455417489"/>
      <w:bookmarkStart w:id="1559" w:name="_Toc455487007"/>
      <w:bookmarkStart w:id="1560" w:name="_Toc455487306"/>
      <w:bookmarkStart w:id="1561" w:name="_Toc455487673"/>
      <w:bookmarkStart w:id="1562" w:name="_Toc455494100"/>
      <w:bookmarkStart w:id="1563" w:name="_Toc455494400"/>
      <w:bookmarkStart w:id="1564" w:name="_Toc455494697"/>
      <w:bookmarkStart w:id="1565" w:name="_Toc455496425"/>
      <w:bookmarkStart w:id="1566" w:name="_Toc455507144"/>
      <w:bookmarkStart w:id="1567" w:name="_Toc455507441"/>
      <w:bookmarkStart w:id="1568" w:name="_Toc455575089"/>
      <w:bookmarkStart w:id="1569" w:name="_Toc455673700"/>
      <w:bookmarkStart w:id="1570" w:name="_Toc422012113"/>
      <w:bookmarkStart w:id="1571" w:name="_Toc422311079"/>
      <w:bookmarkStart w:id="1572" w:name="_Toc457355519"/>
      <w:bookmarkEnd w:id="1558"/>
      <w:bookmarkEnd w:id="1559"/>
      <w:bookmarkEnd w:id="1560"/>
      <w:bookmarkEnd w:id="1561"/>
      <w:bookmarkEnd w:id="1562"/>
      <w:bookmarkEnd w:id="1563"/>
      <w:bookmarkEnd w:id="1564"/>
      <w:bookmarkEnd w:id="1565"/>
      <w:bookmarkEnd w:id="1566"/>
      <w:bookmarkEnd w:id="1567"/>
      <w:bookmarkEnd w:id="1568"/>
      <w:bookmarkEnd w:id="1569"/>
      <w:r w:rsidRPr="00023318">
        <w:rPr>
          <w:rFonts w:ascii="Calibri" w:hAnsi="Calibri"/>
        </w:rPr>
        <w:t>TREATMENT OF REVENUE GAP / REGULATORY ASSET ADMITTED IN THIS ORDER</w:t>
      </w:r>
      <w:bookmarkEnd w:id="1570"/>
      <w:bookmarkEnd w:id="1571"/>
      <w:bookmarkEnd w:id="1572"/>
      <w:r w:rsidRPr="00023318">
        <w:rPr>
          <w:rFonts w:ascii="Calibri" w:hAnsi="Calibri"/>
        </w:rPr>
        <w:t xml:space="preserve"> </w:t>
      </w:r>
    </w:p>
    <w:p w:rsidR="00023318" w:rsidRPr="00023318" w:rsidRDefault="00023318" w:rsidP="00023318">
      <w:pPr>
        <w:pStyle w:val="Heading3"/>
        <w:tabs>
          <w:tab w:val="clear" w:pos="720"/>
        </w:tabs>
        <w:ind w:left="993" w:hanging="993"/>
        <w:rPr>
          <w:rFonts w:cstheme="minorHAnsi"/>
          <w:szCs w:val="24"/>
        </w:rPr>
      </w:pPr>
      <w:r w:rsidRPr="00023318">
        <w:rPr>
          <w:rFonts w:cstheme="minorHAnsi"/>
          <w:szCs w:val="24"/>
        </w:rPr>
        <w:t xml:space="preserve">With regard to the carrying cost, while undertaking the True up of FY 2008-09 to FY 2011-12, the Commission in Tariff Order for FY 2014-15 has disallowed the claim of Petitioner towards carrying cost. The relevant extract of the aforesaid Order is reproduced below: </w:t>
      </w:r>
    </w:p>
    <w:p w:rsidR="002836C7" w:rsidRPr="00241B55" w:rsidRDefault="00023318" w:rsidP="002836C7">
      <w:pPr>
        <w:pStyle w:val="Heading3"/>
        <w:numPr>
          <w:ilvl w:val="0"/>
          <w:numId w:val="0"/>
        </w:numPr>
        <w:tabs>
          <w:tab w:val="clear" w:pos="720"/>
        </w:tabs>
        <w:spacing w:after="120"/>
        <w:ind w:left="1440"/>
        <w:rPr>
          <w:i/>
        </w:rPr>
      </w:pPr>
      <w:r w:rsidRPr="00023318">
        <w:rPr>
          <w:i/>
        </w:rPr>
        <w:t xml:space="preserve">“UPPCL and the State Discoms namely DVVNL, PuVVNL, MVVNL and PVNNL have filed an Appeal before the Hon’ble ATE against the Commission’s views on the matter. Since, the matter is sub-judice before the Hon’ble ATE, the Commission has considered the same philosophy on </w:t>
      </w:r>
      <w:r w:rsidRPr="00023318">
        <w:rPr>
          <w:i/>
        </w:rPr>
        <w:lastRenderedPageBreak/>
        <w:t>the issue as mentioned above. Therefore, the Commission has disallowed the Petitioner’s claim of Rs. 170.17 towards carrying cost in the present Order. However, the same shall be reviewed based on the Judgment of the Hon’ble ATE in this regard.”</w:t>
      </w:r>
    </w:p>
    <w:p w:rsidR="00023318" w:rsidRPr="00023318" w:rsidRDefault="00023318" w:rsidP="00023318">
      <w:pPr>
        <w:pStyle w:val="Heading3"/>
        <w:tabs>
          <w:tab w:val="clear" w:pos="720"/>
        </w:tabs>
        <w:ind w:left="993" w:hanging="993"/>
        <w:rPr>
          <w:rFonts w:cstheme="minorHAnsi"/>
          <w:i/>
          <w:szCs w:val="24"/>
        </w:rPr>
      </w:pPr>
      <w:r w:rsidRPr="00023318">
        <w:rPr>
          <w:rFonts w:cstheme="minorHAnsi"/>
          <w:szCs w:val="24"/>
        </w:rPr>
        <w:t xml:space="preserve">Thus, in line with the approach adopted by the Commission in its earlier Order, the Commission has disallowed the claim of Petitioner towards carrying cost in present Order.  </w:t>
      </w:r>
    </w:p>
    <w:p w:rsidR="00023318" w:rsidRDefault="00023318" w:rsidP="00023318">
      <w:pPr>
        <w:pStyle w:val="Heading3"/>
        <w:tabs>
          <w:tab w:val="clear" w:pos="720"/>
        </w:tabs>
        <w:ind w:left="993" w:hanging="993"/>
        <w:rPr>
          <w:rFonts w:asciiTheme="minorHAnsi" w:hAnsiTheme="minorHAnsi" w:cstheme="minorHAnsi"/>
          <w:i/>
          <w:szCs w:val="24"/>
        </w:rPr>
      </w:pPr>
      <w:r w:rsidRPr="00023318">
        <w:rPr>
          <w:rFonts w:cstheme="minorHAnsi"/>
          <w:szCs w:val="24"/>
        </w:rPr>
        <w:t>Further, there was some inadvertent error in the computation of carrying cost in Tariff Order for FY 2014-15, which was rectified in the Tariff Order for FY 2015-16 as detailed below:</w:t>
      </w:r>
    </w:p>
    <w:p w:rsidR="002836C7" w:rsidRPr="001C25B2" w:rsidRDefault="002836C7" w:rsidP="002836C7">
      <w:pPr>
        <w:pStyle w:val="Heading3"/>
        <w:numPr>
          <w:ilvl w:val="0"/>
          <w:numId w:val="0"/>
        </w:numPr>
        <w:tabs>
          <w:tab w:val="clear" w:pos="720"/>
        </w:tabs>
        <w:ind w:left="993"/>
        <w:rPr>
          <w:rFonts w:asciiTheme="minorHAnsi" w:hAnsiTheme="minorHAnsi" w:cstheme="minorHAnsi"/>
          <w:i/>
          <w:szCs w:val="24"/>
        </w:rPr>
      </w:pPr>
    </w:p>
    <w:p w:rsidR="002836C7" w:rsidRPr="00BD0B26" w:rsidRDefault="002836C7" w:rsidP="002836C7">
      <w:pPr>
        <w:pStyle w:val="Heading3"/>
        <w:numPr>
          <w:ilvl w:val="0"/>
          <w:numId w:val="0"/>
        </w:numPr>
        <w:tabs>
          <w:tab w:val="clear" w:pos="720"/>
        </w:tabs>
        <w:spacing w:before="0"/>
        <w:ind w:left="993"/>
        <w:jc w:val="center"/>
        <w:rPr>
          <w:rFonts w:asciiTheme="minorHAnsi" w:eastAsiaTheme="minorHAnsi" w:hAnsiTheme="minorHAnsi" w:cstheme="minorHAnsi"/>
          <w:b/>
          <w:color w:val="FF0000"/>
          <w:sz w:val="22"/>
          <w:szCs w:val="24"/>
          <w:lang w:val="en-US"/>
        </w:rPr>
      </w:pPr>
      <w:bookmarkStart w:id="1573" w:name="_Toc422012361"/>
      <w:bookmarkStart w:id="1574" w:name="_Toc422311154"/>
      <w:bookmarkStart w:id="1575" w:name="_Toc455698179"/>
      <w:r w:rsidRPr="00BD0B26">
        <w:rPr>
          <w:rFonts w:asciiTheme="minorHAnsi" w:hAnsiTheme="minorHAnsi" w:cstheme="minorHAnsi"/>
          <w:b/>
          <w:sz w:val="22"/>
          <w:szCs w:val="24"/>
        </w:rPr>
        <w:t>Table</w:t>
      </w:r>
      <w:r w:rsidR="001C7C71" w:rsidRPr="00BD0B26">
        <w:rPr>
          <w:rFonts w:asciiTheme="minorHAnsi" w:hAnsiTheme="minorHAnsi" w:cstheme="minorHAnsi"/>
          <w:b/>
          <w:sz w:val="22"/>
          <w:szCs w:val="24"/>
        </w:rPr>
        <w:t xml:space="preserve"> 8-4</w:t>
      </w:r>
      <w:r w:rsidRPr="00BD0B26">
        <w:rPr>
          <w:rFonts w:asciiTheme="minorHAnsi" w:hAnsiTheme="minorHAnsi" w:cstheme="minorHAnsi"/>
          <w:b/>
          <w:sz w:val="22"/>
          <w:szCs w:val="24"/>
        </w:rPr>
        <w:t>: REVISED REVENUE GAP FOR FY 2014-15</w:t>
      </w:r>
      <w:bookmarkEnd w:id="1573"/>
      <w:bookmarkEnd w:id="1574"/>
      <w:bookmarkEnd w:id="1575"/>
    </w:p>
    <w:tbl>
      <w:tblPr>
        <w:tblW w:w="5000" w:type="pct"/>
        <w:tblLook w:val="04A0"/>
      </w:tblPr>
      <w:tblGrid>
        <w:gridCol w:w="6925"/>
        <w:gridCol w:w="1960"/>
      </w:tblGrid>
      <w:tr w:rsidR="002836C7" w:rsidRPr="002836C7" w:rsidTr="00241B55">
        <w:trPr>
          <w:trHeight w:val="365"/>
          <w:tblHeader/>
        </w:trPr>
        <w:tc>
          <w:tcPr>
            <w:tcW w:w="3897" w:type="pct"/>
            <w:tcBorders>
              <w:top w:val="dotted" w:sz="4" w:space="0" w:color="auto"/>
              <w:left w:val="dotted" w:sz="4" w:space="0" w:color="auto"/>
              <w:bottom w:val="dotted" w:sz="4" w:space="0" w:color="auto"/>
              <w:right w:val="dotted" w:sz="4" w:space="0" w:color="auto"/>
            </w:tcBorders>
            <w:shd w:val="clear" w:color="000000" w:fill="DBE5F1"/>
            <w:hideMark/>
          </w:tcPr>
          <w:p w:rsidR="00023318" w:rsidRPr="00023318" w:rsidRDefault="00023318" w:rsidP="00023318">
            <w:pPr>
              <w:spacing w:before="0" w:line="240" w:lineRule="auto"/>
              <w:jc w:val="center"/>
              <w:rPr>
                <w:rFonts w:cstheme="minorHAnsi"/>
                <w:b/>
                <w:bCs/>
                <w:color w:val="000000"/>
                <w:sz w:val="22"/>
                <w:szCs w:val="22"/>
              </w:rPr>
            </w:pPr>
            <w:r w:rsidRPr="00023318">
              <w:rPr>
                <w:rFonts w:cstheme="minorHAnsi"/>
                <w:b/>
                <w:bCs/>
                <w:color w:val="000000"/>
                <w:sz w:val="22"/>
                <w:szCs w:val="22"/>
              </w:rPr>
              <w:t>Particulars</w:t>
            </w:r>
          </w:p>
        </w:tc>
        <w:tc>
          <w:tcPr>
            <w:tcW w:w="1103" w:type="pct"/>
            <w:tcBorders>
              <w:top w:val="dotted" w:sz="4" w:space="0" w:color="auto"/>
              <w:left w:val="nil"/>
              <w:bottom w:val="dotted" w:sz="4" w:space="0" w:color="auto"/>
              <w:right w:val="dotted" w:sz="4" w:space="0" w:color="auto"/>
            </w:tcBorders>
            <w:shd w:val="clear" w:color="000000" w:fill="DBE5F1"/>
            <w:noWrap/>
            <w:hideMark/>
          </w:tcPr>
          <w:p w:rsidR="00023318" w:rsidRPr="00023318" w:rsidRDefault="00023318" w:rsidP="00023318">
            <w:pPr>
              <w:spacing w:before="0" w:line="240" w:lineRule="auto"/>
              <w:jc w:val="center"/>
              <w:rPr>
                <w:rFonts w:cstheme="minorHAnsi"/>
                <w:b/>
                <w:bCs/>
                <w:color w:val="000000"/>
                <w:sz w:val="22"/>
                <w:szCs w:val="22"/>
              </w:rPr>
            </w:pPr>
            <w:r w:rsidRPr="00023318">
              <w:rPr>
                <w:rFonts w:cstheme="minorHAnsi"/>
                <w:b/>
                <w:bCs/>
                <w:color w:val="000000"/>
                <w:sz w:val="22"/>
                <w:szCs w:val="22"/>
              </w:rPr>
              <w:t>KESCO</w:t>
            </w:r>
          </w:p>
        </w:tc>
      </w:tr>
      <w:tr w:rsidR="002836C7" w:rsidRPr="002836C7" w:rsidTr="00D33404">
        <w:trPr>
          <w:trHeight w:val="255"/>
        </w:trPr>
        <w:tc>
          <w:tcPr>
            <w:tcW w:w="3897" w:type="pct"/>
            <w:tcBorders>
              <w:top w:val="nil"/>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cs="Calibri"/>
                <w:b/>
                <w:bCs/>
                <w:color w:val="000000"/>
                <w:sz w:val="22"/>
                <w:szCs w:val="22"/>
              </w:rPr>
            </w:pPr>
            <w:r w:rsidRPr="00023318">
              <w:rPr>
                <w:rFonts w:cs="Calibri"/>
                <w:b/>
                <w:bCs/>
                <w:color w:val="000000"/>
                <w:sz w:val="22"/>
                <w:szCs w:val="22"/>
              </w:rPr>
              <w:t>Revised Revenue Gap for FY 2008-09 to FY 2011-12</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b/>
                <w:bCs/>
                <w:color w:val="000000"/>
                <w:sz w:val="22"/>
                <w:szCs w:val="22"/>
              </w:rPr>
            </w:pPr>
            <w:r w:rsidRPr="00023318">
              <w:rPr>
                <w:rFonts w:cs="Calibri"/>
                <w:b/>
                <w:bCs/>
                <w:color w:val="000000"/>
                <w:sz w:val="22"/>
                <w:szCs w:val="22"/>
              </w:rPr>
              <w:t>578.29</w:t>
            </w:r>
          </w:p>
        </w:tc>
      </w:tr>
      <w:tr w:rsidR="002836C7" w:rsidRPr="002836C7" w:rsidTr="00D33404">
        <w:trPr>
          <w:trHeight w:val="255"/>
        </w:trPr>
        <w:tc>
          <w:tcPr>
            <w:tcW w:w="3897" w:type="pct"/>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rFonts w:cs="Calibri"/>
                <w:color w:val="000000"/>
                <w:sz w:val="22"/>
                <w:szCs w:val="22"/>
              </w:rPr>
            </w:pPr>
            <w:r w:rsidRPr="00023318">
              <w:rPr>
                <w:rFonts w:cs="Calibri"/>
                <w:color w:val="000000"/>
                <w:sz w:val="22"/>
                <w:szCs w:val="22"/>
              </w:rPr>
              <w:t>Carrying Cost on the Regulatory Asset @ 10%</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color w:val="000000"/>
                <w:sz w:val="22"/>
                <w:szCs w:val="22"/>
              </w:rPr>
            </w:pPr>
            <w:r w:rsidRPr="00023318">
              <w:rPr>
                <w:rFonts w:cs="Calibri"/>
                <w:color w:val="000000"/>
                <w:sz w:val="22"/>
                <w:szCs w:val="22"/>
              </w:rPr>
              <w:t>28.7</w:t>
            </w:r>
          </w:p>
        </w:tc>
      </w:tr>
      <w:tr w:rsidR="002836C7" w:rsidRPr="002836C7" w:rsidTr="002836C7">
        <w:trPr>
          <w:trHeight w:val="251"/>
        </w:trPr>
        <w:tc>
          <w:tcPr>
            <w:tcW w:w="3897" w:type="pct"/>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rFonts w:cs="Calibri"/>
                <w:color w:val="000000"/>
                <w:sz w:val="22"/>
                <w:szCs w:val="22"/>
              </w:rPr>
            </w:pPr>
            <w:r w:rsidRPr="00023318">
              <w:rPr>
                <w:rFonts w:cs="Calibri"/>
                <w:color w:val="000000"/>
                <w:sz w:val="22"/>
                <w:szCs w:val="22"/>
              </w:rPr>
              <w:t>Revenue Gap / (Surplus) for FY 2014-15 (at existing Tariff)</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color w:val="000000"/>
                <w:sz w:val="22"/>
                <w:szCs w:val="22"/>
              </w:rPr>
            </w:pPr>
            <w:r w:rsidRPr="00023318">
              <w:rPr>
                <w:rFonts w:cs="Calibri"/>
                <w:color w:val="000000"/>
                <w:sz w:val="22"/>
                <w:szCs w:val="22"/>
              </w:rPr>
              <w:t>-19.29</w:t>
            </w:r>
          </w:p>
        </w:tc>
      </w:tr>
      <w:tr w:rsidR="002836C7" w:rsidRPr="002836C7" w:rsidTr="00D33404">
        <w:trPr>
          <w:trHeight w:val="255"/>
        </w:trPr>
        <w:tc>
          <w:tcPr>
            <w:tcW w:w="3897" w:type="pct"/>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rFonts w:cs="Calibri"/>
                <w:color w:val="000000"/>
                <w:sz w:val="22"/>
                <w:szCs w:val="22"/>
              </w:rPr>
            </w:pPr>
            <w:r w:rsidRPr="00023318">
              <w:rPr>
                <w:rFonts w:cs="Calibri"/>
                <w:color w:val="000000"/>
                <w:sz w:val="22"/>
                <w:szCs w:val="22"/>
              </w:rPr>
              <w:t>Increase in Revenue due to Tariff revision</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color w:val="000000"/>
                <w:sz w:val="22"/>
                <w:szCs w:val="22"/>
              </w:rPr>
            </w:pPr>
            <w:r w:rsidRPr="00023318">
              <w:rPr>
                <w:rFonts w:cs="Calibri"/>
                <w:b/>
                <w:bCs/>
                <w:color w:val="000000"/>
                <w:sz w:val="22"/>
                <w:szCs w:val="22"/>
              </w:rPr>
              <w:t>43.98</w:t>
            </w:r>
          </w:p>
        </w:tc>
      </w:tr>
      <w:tr w:rsidR="002836C7" w:rsidRPr="002836C7" w:rsidTr="00D33404">
        <w:trPr>
          <w:trHeight w:val="530"/>
        </w:trPr>
        <w:tc>
          <w:tcPr>
            <w:tcW w:w="3897" w:type="pct"/>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rFonts w:cs="Calibri"/>
                <w:color w:val="000000"/>
                <w:sz w:val="22"/>
                <w:szCs w:val="22"/>
              </w:rPr>
            </w:pPr>
            <w:r w:rsidRPr="00023318">
              <w:rPr>
                <w:rFonts w:cs="Calibri"/>
                <w:color w:val="000000"/>
                <w:sz w:val="22"/>
                <w:szCs w:val="22"/>
              </w:rPr>
              <w:t>Net Revenue Gap for FY 2014-15 after tariff increase (Including gap for FY 2008-09 to FY 2011-12)</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color w:val="000000"/>
                <w:sz w:val="22"/>
                <w:szCs w:val="22"/>
              </w:rPr>
            </w:pPr>
            <w:r w:rsidRPr="00023318">
              <w:rPr>
                <w:rFonts w:cs="Calibri"/>
                <w:color w:val="000000"/>
                <w:sz w:val="22"/>
                <w:szCs w:val="22"/>
              </w:rPr>
              <w:t>543.7</w:t>
            </w:r>
          </w:p>
        </w:tc>
      </w:tr>
      <w:tr w:rsidR="002836C7" w:rsidRPr="002836C7" w:rsidTr="00D33404">
        <w:trPr>
          <w:trHeight w:val="255"/>
        </w:trPr>
        <w:tc>
          <w:tcPr>
            <w:tcW w:w="3897" w:type="pct"/>
            <w:tcBorders>
              <w:top w:val="nil"/>
              <w:left w:val="dotted" w:sz="4" w:space="0" w:color="auto"/>
              <w:bottom w:val="dotted" w:sz="4" w:space="0" w:color="auto"/>
              <w:right w:val="dotted" w:sz="4" w:space="0" w:color="auto"/>
            </w:tcBorders>
            <w:shd w:val="clear" w:color="auto" w:fill="auto"/>
            <w:vAlign w:val="bottom"/>
            <w:hideMark/>
          </w:tcPr>
          <w:p w:rsidR="00023318" w:rsidRPr="00023318" w:rsidRDefault="00023318" w:rsidP="00023318">
            <w:pPr>
              <w:spacing w:before="0" w:line="240" w:lineRule="auto"/>
              <w:rPr>
                <w:rFonts w:cs="Calibri"/>
                <w:color w:val="000000"/>
                <w:sz w:val="22"/>
                <w:szCs w:val="22"/>
              </w:rPr>
            </w:pPr>
            <w:r w:rsidRPr="00023318">
              <w:rPr>
                <w:rFonts w:cs="Calibri"/>
                <w:color w:val="000000"/>
                <w:sz w:val="22"/>
                <w:szCs w:val="22"/>
              </w:rPr>
              <w:t>Recovery through Regulatory Surcharge</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color w:val="000000"/>
                <w:sz w:val="22"/>
                <w:szCs w:val="22"/>
              </w:rPr>
            </w:pPr>
            <w:r w:rsidRPr="00023318">
              <w:rPr>
                <w:rFonts w:cs="Calibri"/>
                <w:color w:val="000000"/>
                <w:sz w:val="22"/>
                <w:szCs w:val="22"/>
              </w:rPr>
              <w:t>18.51</w:t>
            </w:r>
          </w:p>
        </w:tc>
      </w:tr>
      <w:tr w:rsidR="002836C7" w:rsidRPr="002836C7" w:rsidTr="002836C7">
        <w:trPr>
          <w:trHeight w:val="568"/>
        </w:trPr>
        <w:tc>
          <w:tcPr>
            <w:tcW w:w="3897" w:type="pct"/>
            <w:tcBorders>
              <w:top w:val="nil"/>
              <w:left w:val="dotted" w:sz="4" w:space="0" w:color="auto"/>
              <w:bottom w:val="dotted" w:sz="4" w:space="0" w:color="auto"/>
              <w:right w:val="dotted" w:sz="4" w:space="0" w:color="auto"/>
            </w:tcBorders>
            <w:shd w:val="clear" w:color="auto" w:fill="auto"/>
            <w:vAlign w:val="center"/>
            <w:hideMark/>
          </w:tcPr>
          <w:p w:rsidR="00023318" w:rsidRPr="00023318" w:rsidRDefault="00023318" w:rsidP="00023318">
            <w:pPr>
              <w:spacing w:before="0" w:line="240" w:lineRule="auto"/>
              <w:rPr>
                <w:rFonts w:cs="Calibri"/>
                <w:b/>
                <w:bCs/>
                <w:color w:val="000000"/>
                <w:sz w:val="22"/>
                <w:szCs w:val="22"/>
              </w:rPr>
            </w:pPr>
            <w:r w:rsidRPr="00023318">
              <w:rPr>
                <w:rFonts w:cs="Calibri"/>
                <w:b/>
                <w:bCs/>
                <w:color w:val="000000"/>
                <w:sz w:val="22"/>
                <w:szCs w:val="22"/>
              </w:rPr>
              <w:t>Net Revenue Gap after considering part recovery of Regulatory Asset admitted by the Commission in  Order dated October 1, 2014</w:t>
            </w:r>
          </w:p>
        </w:tc>
        <w:tc>
          <w:tcPr>
            <w:tcW w:w="1103" w:type="pct"/>
            <w:tcBorders>
              <w:top w:val="nil"/>
              <w:left w:val="nil"/>
              <w:bottom w:val="dotted" w:sz="4" w:space="0" w:color="auto"/>
              <w:right w:val="dotted" w:sz="4" w:space="0" w:color="auto"/>
            </w:tcBorders>
            <w:shd w:val="clear" w:color="auto" w:fill="auto"/>
            <w:noWrap/>
            <w:vAlign w:val="center"/>
            <w:hideMark/>
          </w:tcPr>
          <w:p w:rsidR="00023318" w:rsidRPr="00023318" w:rsidRDefault="00023318" w:rsidP="00023318">
            <w:pPr>
              <w:spacing w:before="0" w:line="240" w:lineRule="auto"/>
              <w:jc w:val="right"/>
              <w:rPr>
                <w:rFonts w:cs="Calibri"/>
                <w:b/>
                <w:bCs/>
                <w:color w:val="000000"/>
                <w:sz w:val="22"/>
                <w:szCs w:val="22"/>
              </w:rPr>
            </w:pPr>
            <w:r w:rsidRPr="00023318">
              <w:rPr>
                <w:rFonts w:cs="Calibri"/>
                <w:b/>
                <w:bCs/>
                <w:color w:val="000000"/>
                <w:sz w:val="22"/>
                <w:szCs w:val="22"/>
              </w:rPr>
              <w:t>525.19</w:t>
            </w:r>
          </w:p>
        </w:tc>
      </w:tr>
    </w:tbl>
    <w:p w:rsidR="00023318" w:rsidRDefault="00023318" w:rsidP="00023318">
      <w:pPr>
        <w:pStyle w:val="Heading3"/>
        <w:numPr>
          <w:ilvl w:val="0"/>
          <w:numId w:val="0"/>
        </w:numPr>
        <w:tabs>
          <w:tab w:val="clear" w:pos="720"/>
        </w:tabs>
        <w:spacing w:before="0"/>
        <w:ind w:left="993"/>
        <w:rPr>
          <w:rFonts w:asciiTheme="minorHAnsi" w:hAnsiTheme="minorHAnsi" w:cstheme="minorHAnsi"/>
        </w:rPr>
      </w:pPr>
    </w:p>
    <w:p w:rsidR="00023318" w:rsidRDefault="002836C7" w:rsidP="00023318">
      <w:pPr>
        <w:pStyle w:val="Heading3"/>
        <w:tabs>
          <w:tab w:val="clear" w:pos="720"/>
        </w:tabs>
        <w:spacing w:after="120"/>
        <w:ind w:left="993" w:hanging="993"/>
        <w:rPr>
          <w:rFonts w:asciiTheme="minorHAnsi" w:hAnsiTheme="minorHAnsi" w:cstheme="minorHAnsi"/>
        </w:rPr>
      </w:pPr>
      <w:bookmarkStart w:id="1576" w:name="_Toc399324272"/>
      <w:bookmarkStart w:id="1577" w:name="_Toc399624146"/>
      <w:r>
        <w:t>Further the Commission in its Tariff Order for FY 2015-16 dated June 18, 2015 determined the revenue gap as follows:</w:t>
      </w:r>
    </w:p>
    <w:p w:rsidR="002836C7" w:rsidRPr="00BD0B26" w:rsidRDefault="00DE437B" w:rsidP="002836C7">
      <w:pPr>
        <w:pStyle w:val="Heading3"/>
        <w:numPr>
          <w:ilvl w:val="0"/>
          <w:numId w:val="0"/>
        </w:numPr>
        <w:spacing w:before="0"/>
        <w:ind w:left="936"/>
        <w:jc w:val="center"/>
        <w:rPr>
          <w:rFonts w:asciiTheme="minorHAnsi" w:hAnsiTheme="minorHAnsi" w:cstheme="minorHAnsi"/>
          <w:b/>
          <w:sz w:val="22"/>
          <w:szCs w:val="24"/>
        </w:rPr>
      </w:pPr>
      <w:bookmarkStart w:id="1578" w:name="_Toc455698180"/>
      <w:r w:rsidRPr="00BD0B26">
        <w:rPr>
          <w:rFonts w:asciiTheme="minorHAnsi" w:hAnsiTheme="minorHAnsi" w:cstheme="minorHAnsi"/>
          <w:b/>
          <w:sz w:val="22"/>
          <w:szCs w:val="24"/>
        </w:rPr>
        <w:t>Table</w:t>
      </w:r>
      <w:r w:rsidR="001C7C71" w:rsidRPr="00BD0B26">
        <w:rPr>
          <w:rFonts w:asciiTheme="minorHAnsi" w:hAnsiTheme="minorHAnsi" w:cstheme="minorHAnsi"/>
          <w:b/>
          <w:sz w:val="22"/>
          <w:szCs w:val="24"/>
        </w:rPr>
        <w:t xml:space="preserve"> 8-5</w:t>
      </w:r>
      <w:r w:rsidR="002836C7" w:rsidRPr="00BD0B26">
        <w:rPr>
          <w:rFonts w:asciiTheme="minorHAnsi" w:hAnsiTheme="minorHAnsi" w:cstheme="minorHAnsi"/>
          <w:b/>
          <w:sz w:val="22"/>
          <w:szCs w:val="24"/>
        </w:rPr>
        <w:t>: REGULATORY SURCHARGE FOR FY 2015-16</w:t>
      </w:r>
      <w:bookmarkEnd w:id="1578"/>
    </w:p>
    <w:tbl>
      <w:tblPr>
        <w:tblW w:w="5000" w:type="pct"/>
        <w:jc w:val="center"/>
        <w:tblLayout w:type="fixed"/>
        <w:tblLook w:val="04A0"/>
      </w:tblPr>
      <w:tblGrid>
        <w:gridCol w:w="7128"/>
        <w:gridCol w:w="1757"/>
      </w:tblGrid>
      <w:tr w:rsidR="002836C7" w:rsidRPr="002836C7" w:rsidTr="00241B55">
        <w:trPr>
          <w:trHeight w:val="400"/>
          <w:tblHeader/>
          <w:jc w:val="center"/>
        </w:trPr>
        <w:tc>
          <w:tcPr>
            <w:tcW w:w="4011" w:type="pct"/>
            <w:tcBorders>
              <w:top w:val="dotted" w:sz="4" w:space="0" w:color="auto"/>
              <w:left w:val="dotted" w:sz="4" w:space="0" w:color="auto"/>
              <w:bottom w:val="dotted" w:sz="4" w:space="0" w:color="auto"/>
              <w:right w:val="dotted" w:sz="4" w:space="0" w:color="auto"/>
            </w:tcBorders>
            <w:shd w:val="clear" w:color="auto" w:fill="DBE5F1" w:themeFill="accent1" w:themeFillTint="33"/>
            <w:hideMark/>
          </w:tcPr>
          <w:bookmarkEnd w:id="1576"/>
          <w:bookmarkEnd w:id="1577"/>
          <w:p w:rsidR="00023318" w:rsidRPr="00023318" w:rsidRDefault="00023318" w:rsidP="00023318">
            <w:pPr>
              <w:spacing w:before="0" w:line="240" w:lineRule="auto"/>
              <w:jc w:val="center"/>
              <w:rPr>
                <w:rFonts w:cstheme="minorHAnsi"/>
                <w:b/>
                <w:bCs/>
                <w:color w:val="000000"/>
                <w:sz w:val="22"/>
                <w:szCs w:val="22"/>
              </w:rPr>
            </w:pPr>
            <w:r w:rsidRPr="00023318">
              <w:rPr>
                <w:rFonts w:cs="Calibri"/>
                <w:b/>
                <w:bCs/>
                <w:color w:val="000000"/>
                <w:sz w:val="22"/>
                <w:szCs w:val="22"/>
              </w:rPr>
              <w:t>Particulars</w:t>
            </w:r>
          </w:p>
        </w:tc>
        <w:tc>
          <w:tcPr>
            <w:tcW w:w="989" w:type="pct"/>
            <w:tcBorders>
              <w:top w:val="dotted" w:sz="4" w:space="0" w:color="auto"/>
              <w:left w:val="nil"/>
              <w:bottom w:val="dotted" w:sz="4" w:space="0" w:color="auto"/>
              <w:right w:val="dotted" w:sz="4" w:space="0" w:color="auto"/>
            </w:tcBorders>
            <w:shd w:val="clear" w:color="auto" w:fill="DBE5F1" w:themeFill="accent1" w:themeFillTint="33"/>
            <w:noWrap/>
            <w:hideMark/>
          </w:tcPr>
          <w:p w:rsidR="00023318" w:rsidRPr="00023318" w:rsidRDefault="00023318" w:rsidP="00023318">
            <w:pPr>
              <w:spacing w:before="0" w:line="240" w:lineRule="auto"/>
              <w:jc w:val="center"/>
              <w:rPr>
                <w:rFonts w:cstheme="minorHAnsi"/>
                <w:b/>
                <w:bCs/>
                <w:color w:val="000000"/>
                <w:sz w:val="22"/>
                <w:szCs w:val="22"/>
              </w:rPr>
            </w:pPr>
            <w:r w:rsidRPr="00023318">
              <w:rPr>
                <w:rFonts w:cs="Calibri"/>
                <w:b/>
                <w:bCs/>
                <w:color w:val="000000"/>
                <w:sz w:val="22"/>
                <w:szCs w:val="22"/>
              </w:rPr>
              <w:t>KESCO</w:t>
            </w:r>
          </w:p>
        </w:tc>
      </w:tr>
      <w:tr w:rsidR="002836C7" w:rsidRPr="002836C7" w:rsidTr="00D33404">
        <w:trPr>
          <w:trHeight w:val="512"/>
          <w:jc w:val="center"/>
        </w:trPr>
        <w:tc>
          <w:tcPr>
            <w:tcW w:w="4011"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
                <w:bCs/>
                <w:color w:val="000000"/>
                <w:sz w:val="22"/>
                <w:szCs w:val="22"/>
              </w:rPr>
            </w:pPr>
            <w:r>
              <w:rPr>
                <w:rFonts w:cs="Calibri"/>
                <w:b/>
                <w:bCs/>
                <w:color w:val="000000"/>
                <w:sz w:val="22"/>
                <w:szCs w:val="22"/>
              </w:rPr>
              <w:t>Net Revenue Gap after considering part recovery of Regulatory Asset admitted by the Commission in  Order dated October 1, 2014</w:t>
            </w:r>
          </w:p>
        </w:tc>
        <w:tc>
          <w:tcPr>
            <w:tcW w:w="989" w:type="pct"/>
            <w:tcBorders>
              <w:top w:val="dotted" w:sz="4" w:space="0" w:color="auto"/>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
                <w:bCs/>
                <w:color w:val="000000"/>
                <w:sz w:val="22"/>
                <w:szCs w:val="22"/>
              </w:rPr>
            </w:pPr>
            <w:r>
              <w:rPr>
                <w:rFonts w:cs="Calibri"/>
                <w:b/>
                <w:bCs/>
                <w:color w:val="000000"/>
                <w:sz w:val="22"/>
                <w:szCs w:val="22"/>
              </w:rPr>
              <w:t>525.19</w:t>
            </w:r>
          </w:p>
        </w:tc>
      </w:tr>
      <w:tr w:rsidR="002836C7" w:rsidRPr="002836C7" w:rsidTr="00D33404">
        <w:trPr>
          <w:trHeight w:val="332"/>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Cs/>
                <w:color w:val="000000"/>
                <w:sz w:val="22"/>
                <w:szCs w:val="22"/>
              </w:rPr>
            </w:pPr>
            <w:r>
              <w:rPr>
                <w:rFonts w:cs="Calibri"/>
                <w:bCs/>
                <w:color w:val="000000"/>
                <w:sz w:val="22"/>
                <w:szCs w:val="22"/>
              </w:rPr>
              <w:t>Carrying Cost on the Regulatory Asset as admitted in Order dated October 1, 2014 @ 10%</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Cs/>
                <w:color w:val="000000"/>
                <w:sz w:val="22"/>
                <w:szCs w:val="22"/>
              </w:rPr>
            </w:pPr>
            <w:r>
              <w:rPr>
                <w:rFonts w:cs="Calibri"/>
                <w:color w:val="000000"/>
                <w:sz w:val="22"/>
                <w:szCs w:val="22"/>
              </w:rPr>
              <w:t>52.52</w:t>
            </w:r>
          </w:p>
        </w:tc>
      </w:tr>
      <w:tr w:rsidR="002836C7" w:rsidRPr="002836C7" w:rsidTr="00D33404">
        <w:trPr>
          <w:trHeight w:val="255"/>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
                <w:bCs/>
                <w:color w:val="000000"/>
                <w:sz w:val="22"/>
                <w:szCs w:val="22"/>
              </w:rPr>
            </w:pPr>
            <w:r>
              <w:rPr>
                <w:rFonts w:cs="Calibri"/>
                <w:b/>
                <w:bCs/>
                <w:color w:val="000000"/>
                <w:sz w:val="22"/>
                <w:szCs w:val="22"/>
              </w:rPr>
              <w:t>Total Revenue Gap (Including Carrying Cost)</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
                <w:bCs/>
                <w:color w:val="000000"/>
                <w:sz w:val="22"/>
                <w:szCs w:val="22"/>
              </w:rPr>
            </w:pPr>
            <w:r>
              <w:rPr>
                <w:rFonts w:cs="Calibri"/>
                <w:b/>
                <w:bCs/>
                <w:color w:val="000000"/>
                <w:sz w:val="22"/>
                <w:szCs w:val="22"/>
              </w:rPr>
              <w:t>577.7</w:t>
            </w:r>
          </w:p>
        </w:tc>
      </w:tr>
      <w:tr w:rsidR="002836C7" w:rsidRPr="002836C7" w:rsidTr="00D33404">
        <w:trPr>
          <w:trHeight w:val="323"/>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
                <w:bCs/>
                <w:color w:val="000000"/>
                <w:sz w:val="22"/>
                <w:szCs w:val="22"/>
              </w:rPr>
            </w:pPr>
            <w:r>
              <w:rPr>
                <w:rFonts w:cs="Calibri"/>
                <w:b/>
                <w:bCs/>
                <w:color w:val="000000"/>
                <w:sz w:val="22"/>
                <w:szCs w:val="22"/>
              </w:rPr>
              <w:t>Revenue Gap for FY 2012-13</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
                <w:bCs/>
                <w:color w:val="000000"/>
                <w:sz w:val="22"/>
                <w:szCs w:val="22"/>
              </w:rPr>
            </w:pPr>
            <w:r>
              <w:rPr>
                <w:rFonts w:cs="Calibri"/>
                <w:color w:val="000000"/>
                <w:sz w:val="22"/>
                <w:szCs w:val="22"/>
              </w:rPr>
              <w:t>306.99</w:t>
            </w:r>
          </w:p>
        </w:tc>
      </w:tr>
      <w:tr w:rsidR="002836C7" w:rsidRPr="002836C7" w:rsidTr="00D33404">
        <w:trPr>
          <w:trHeight w:val="386"/>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Carrying Cost on the Regulatory Asset for the Revenue Gap of FY 2012-13 @ 10%</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Cs/>
                <w:color w:val="000000"/>
                <w:sz w:val="22"/>
                <w:szCs w:val="22"/>
              </w:rPr>
            </w:pPr>
            <w:r>
              <w:rPr>
                <w:rFonts w:cs="Calibri"/>
                <w:color w:val="000000"/>
                <w:sz w:val="22"/>
                <w:szCs w:val="22"/>
              </w:rPr>
              <w:t>24.39</w:t>
            </w:r>
          </w:p>
        </w:tc>
      </w:tr>
      <w:tr w:rsidR="002836C7" w:rsidRPr="002836C7" w:rsidTr="00D33404">
        <w:trPr>
          <w:trHeight w:val="179"/>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Revenue Gap for FY 2012-13 after Carrying Cost</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Cs/>
                <w:color w:val="000000"/>
                <w:sz w:val="22"/>
                <w:szCs w:val="22"/>
              </w:rPr>
            </w:pPr>
            <w:r>
              <w:rPr>
                <w:rFonts w:cs="Calibri"/>
                <w:color w:val="000000"/>
                <w:sz w:val="22"/>
                <w:szCs w:val="22"/>
              </w:rPr>
              <w:t>331.38</w:t>
            </w:r>
          </w:p>
        </w:tc>
      </w:tr>
      <w:tr w:rsidR="002836C7" w:rsidRPr="002836C7" w:rsidTr="00D33404">
        <w:trPr>
          <w:trHeight w:val="377"/>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Total Revenue Gap till FY 2012-13 (Including Gap of Previous Years )</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Cs/>
                <w:color w:val="000000"/>
                <w:sz w:val="22"/>
                <w:szCs w:val="22"/>
              </w:rPr>
            </w:pPr>
            <w:r>
              <w:rPr>
                <w:rFonts w:cs="Calibri"/>
                <w:color w:val="000000"/>
                <w:sz w:val="22"/>
                <w:szCs w:val="22"/>
              </w:rPr>
              <w:t>909.09</w:t>
            </w:r>
          </w:p>
        </w:tc>
      </w:tr>
      <w:tr w:rsidR="002836C7" w:rsidRPr="002836C7" w:rsidTr="00D33404">
        <w:trPr>
          <w:trHeight w:val="341"/>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Revenue Gap / (Surplus) for FY 2015-16 (at existing Tariff)</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cs="Calibri"/>
                <w:color w:val="000000"/>
                <w:sz w:val="22"/>
                <w:szCs w:val="22"/>
              </w:rPr>
              <w:t>(29.98)</w:t>
            </w:r>
          </w:p>
        </w:tc>
      </w:tr>
      <w:tr w:rsidR="002836C7" w:rsidRPr="002836C7" w:rsidTr="00D33404">
        <w:trPr>
          <w:trHeight w:val="255"/>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lastRenderedPageBreak/>
              <w:t>Increase in Revenue due to Tariff revision</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cs="Calibri"/>
                <w:color w:val="000000"/>
                <w:sz w:val="22"/>
                <w:szCs w:val="22"/>
              </w:rPr>
              <w:t>96.03</w:t>
            </w:r>
          </w:p>
        </w:tc>
      </w:tr>
      <w:tr w:rsidR="002836C7" w:rsidRPr="002836C7" w:rsidTr="00D33404">
        <w:trPr>
          <w:trHeight w:val="255"/>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Total approved revenue for FY 2015-16</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cs="Calibri"/>
                <w:color w:val="000000"/>
                <w:sz w:val="22"/>
                <w:szCs w:val="22"/>
              </w:rPr>
              <w:t>2004.88</w:t>
            </w:r>
          </w:p>
        </w:tc>
      </w:tr>
      <w:tr w:rsidR="002836C7" w:rsidRPr="002836C7" w:rsidTr="00D33404">
        <w:trPr>
          <w:trHeight w:val="368"/>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
                <w:bCs/>
                <w:color w:val="000000"/>
                <w:sz w:val="22"/>
                <w:szCs w:val="22"/>
              </w:rPr>
            </w:pPr>
            <w:r>
              <w:rPr>
                <w:rFonts w:cs="Calibri"/>
                <w:b/>
                <w:bCs/>
                <w:color w:val="000000"/>
                <w:sz w:val="22"/>
                <w:szCs w:val="22"/>
              </w:rPr>
              <w:t>Net Revenue Gap / (Surplus) for FY 2015-16 after tariff increase</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
                <w:bCs/>
                <w:color w:val="000000"/>
                <w:sz w:val="22"/>
                <w:szCs w:val="22"/>
              </w:rPr>
            </w:pPr>
            <w:r>
              <w:rPr>
                <w:rFonts w:cs="Calibri"/>
                <w:b/>
                <w:bCs/>
                <w:color w:val="000000"/>
                <w:sz w:val="22"/>
                <w:szCs w:val="22"/>
              </w:rPr>
              <w:t>(126.01)</w:t>
            </w:r>
          </w:p>
        </w:tc>
      </w:tr>
      <w:tr w:rsidR="002836C7" w:rsidRPr="002836C7" w:rsidTr="00D33404">
        <w:trPr>
          <w:trHeight w:val="255"/>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color w:val="000000"/>
                <w:sz w:val="22"/>
                <w:szCs w:val="22"/>
              </w:rPr>
            </w:pPr>
            <w:r>
              <w:rPr>
                <w:rFonts w:cs="Calibri"/>
                <w:color w:val="000000"/>
                <w:sz w:val="22"/>
                <w:szCs w:val="22"/>
              </w:rPr>
              <w:t>Recovery through Regulatory Surcharge</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color w:val="000000"/>
                <w:sz w:val="22"/>
                <w:szCs w:val="22"/>
              </w:rPr>
            </w:pPr>
            <w:r>
              <w:rPr>
                <w:rFonts w:cs="Calibri"/>
                <w:color w:val="000000"/>
                <w:sz w:val="22"/>
                <w:szCs w:val="22"/>
              </w:rPr>
              <w:t>65.79</w:t>
            </w:r>
          </w:p>
        </w:tc>
      </w:tr>
      <w:tr w:rsidR="002836C7" w:rsidRPr="002836C7" w:rsidTr="00D33404">
        <w:trPr>
          <w:trHeight w:val="530"/>
          <w:jc w:val="center"/>
        </w:trPr>
        <w:tc>
          <w:tcPr>
            <w:tcW w:w="4011" w:type="pct"/>
            <w:tcBorders>
              <w:top w:val="nil"/>
              <w:left w:val="dotted" w:sz="4" w:space="0" w:color="auto"/>
              <w:bottom w:val="dotted" w:sz="4" w:space="0" w:color="auto"/>
              <w:right w:val="dotted" w:sz="4" w:space="0" w:color="auto"/>
            </w:tcBorders>
            <w:shd w:val="clear" w:color="auto" w:fill="auto"/>
            <w:vAlign w:val="center"/>
            <w:hideMark/>
          </w:tcPr>
          <w:p w:rsidR="00023318" w:rsidRDefault="00772FCA" w:rsidP="00023318">
            <w:pPr>
              <w:spacing w:before="0" w:line="240" w:lineRule="auto"/>
              <w:rPr>
                <w:rFonts w:cs="Calibri"/>
                <w:b/>
                <w:bCs/>
                <w:color w:val="000000"/>
                <w:sz w:val="22"/>
                <w:szCs w:val="22"/>
              </w:rPr>
            </w:pPr>
            <w:r>
              <w:rPr>
                <w:rFonts w:cs="Calibri"/>
                <w:b/>
                <w:bCs/>
                <w:color w:val="000000"/>
                <w:sz w:val="22"/>
                <w:szCs w:val="22"/>
              </w:rPr>
              <w:t>Net Revenue Gap after considering part recovery of Regulatory Asset admitted by the Commission in this Order</w:t>
            </w:r>
          </w:p>
        </w:tc>
        <w:tc>
          <w:tcPr>
            <w:tcW w:w="989" w:type="pct"/>
            <w:tcBorders>
              <w:top w:val="nil"/>
              <w:left w:val="nil"/>
              <w:bottom w:val="dotted" w:sz="4" w:space="0" w:color="auto"/>
              <w:right w:val="dotted" w:sz="4" w:space="0" w:color="auto"/>
            </w:tcBorders>
            <w:shd w:val="clear" w:color="auto" w:fill="auto"/>
            <w:noWrap/>
            <w:vAlign w:val="center"/>
            <w:hideMark/>
          </w:tcPr>
          <w:p w:rsidR="00023318" w:rsidRDefault="00772FCA" w:rsidP="00023318">
            <w:pPr>
              <w:spacing w:before="0" w:line="240" w:lineRule="auto"/>
              <w:jc w:val="right"/>
              <w:rPr>
                <w:rFonts w:cs="Calibri"/>
                <w:b/>
                <w:bCs/>
                <w:color w:val="000000"/>
                <w:sz w:val="22"/>
                <w:szCs w:val="22"/>
              </w:rPr>
            </w:pPr>
            <w:r>
              <w:rPr>
                <w:rFonts w:cs="Calibri"/>
                <w:b/>
                <w:bCs/>
                <w:color w:val="000000"/>
                <w:sz w:val="22"/>
                <w:szCs w:val="22"/>
              </w:rPr>
              <w:t>717.29</w:t>
            </w:r>
          </w:p>
        </w:tc>
      </w:tr>
    </w:tbl>
    <w:p w:rsidR="00D741AB" w:rsidRDefault="00D741AB">
      <w:pPr>
        <w:pStyle w:val="Heading3"/>
        <w:numPr>
          <w:ilvl w:val="0"/>
          <w:numId w:val="0"/>
        </w:numPr>
        <w:spacing w:before="0"/>
        <w:ind w:left="936"/>
        <w:jc w:val="center"/>
        <w:rPr>
          <w:rFonts w:asciiTheme="minorHAnsi" w:hAnsiTheme="minorHAnsi" w:cstheme="minorHAnsi"/>
          <w:b/>
          <w:szCs w:val="24"/>
        </w:rPr>
      </w:pPr>
    </w:p>
    <w:p w:rsidR="00023318" w:rsidRPr="00023318" w:rsidRDefault="00772FCA" w:rsidP="00023318">
      <w:pPr>
        <w:pStyle w:val="Heading3"/>
        <w:tabs>
          <w:tab w:val="clear" w:pos="720"/>
        </w:tabs>
        <w:spacing w:after="120"/>
        <w:ind w:left="993" w:hanging="993"/>
        <w:rPr>
          <w:rFonts w:asciiTheme="minorHAnsi" w:hAnsiTheme="minorHAnsi" w:cstheme="minorHAnsi"/>
        </w:rPr>
      </w:pPr>
      <w:r>
        <w:rPr>
          <w:szCs w:val="24"/>
        </w:rPr>
        <w:t>The Commission in its Tariff Orders for FY 2014-15 and FY 2015-16 for the State Discoms has allowed carrying cost with an interest rate of 10% on regulatory assets accumulated over the years.</w:t>
      </w:r>
      <w:r w:rsidR="00D33404">
        <w:rPr>
          <w:szCs w:val="24"/>
        </w:rPr>
        <w:t xml:space="preserve"> </w:t>
      </w:r>
      <w:r>
        <w:rPr>
          <w:szCs w:val="24"/>
        </w:rPr>
        <w:t>Hon’ble APTEL in its various Judgments has also held that sufficient carrying cost should be entitled to the Distribution Licensees for the regulatory assets. The Commission has been considering 12.5</w:t>
      </w:r>
      <w:r w:rsidR="005D34F8">
        <w:rPr>
          <w:szCs w:val="24"/>
        </w:rPr>
        <w:t>0</w:t>
      </w:r>
      <w:r>
        <w:rPr>
          <w:szCs w:val="24"/>
        </w:rPr>
        <w:t xml:space="preserve">% </w:t>
      </w:r>
      <w:r w:rsidR="00D33404">
        <w:rPr>
          <w:szCs w:val="24"/>
        </w:rPr>
        <w:t xml:space="preserve">as rate of interest </w:t>
      </w:r>
      <w:r>
        <w:rPr>
          <w:szCs w:val="24"/>
        </w:rPr>
        <w:t>for calculating the interest on working capital.</w:t>
      </w:r>
      <w:r w:rsidR="00D33404">
        <w:rPr>
          <w:szCs w:val="24"/>
        </w:rPr>
        <w:t xml:space="preserve"> So, the Commission is of the view that the Discoms should be allowed carrying cost at a rate same as that of interest on working capital. Thus, the Commission in this Order has considered rate of 12.5</w:t>
      </w:r>
      <w:r w:rsidR="005D34F8">
        <w:rPr>
          <w:szCs w:val="24"/>
        </w:rPr>
        <w:t>0</w:t>
      </w:r>
      <w:r w:rsidR="00D33404">
        <w:rPr>
          <w:szCs w:val="24"/>
        </w:rPr>
        <w:t>% while calculating carrying cost of the regulatory assets.</w:t>
      </w:r>
    </w:p>
    <w:p w:rsidR="00023318" w:rsidRPr="00023318" w:rsidRDefault="00023318" w:rsidP="00023318">
      <w:pPr>
        <w:pStyle w:val="Heading3"/>
        <w:tabs>
          <w:tab w:val="clear" w:pos="720"/>
        </w:tabs>
        <w:spacing w:after="120"/>
        <w:ind w:left="993" w:hanging="993"/>
        <w:rPr>
          <w:rFonts w:cstheme="minorHAnsi"/>
        </w:rPr>
      </w:pPr>
      <w:r w:rsidRPr="00023318">
        <w:t xml:space="preserve">As discussed in the regulatory surcharge chapter the Petitioner despite the directions, Orders, reminders and follow up by the Commission has not yet submitted </w:t>
      </w:r>
      <w:r w:rsidRPr="00023318">
        <w:rPr>
          <w:rFonts w:cstheme="minorHAnsi"/>
          <w:szCs w:val="24"/>
        </w:rPr>
        <w:t>actual Regulatory Surcharge recovered in FY 2015-16 on account of the Revenue Gap / Regulatory Asset admitted by the Commission in its Order for FY 2015-16 along with the actual Distribution Losses achieved in FY 2015-16 which was supposed to be submitted by 15</w:t>
      </w:r>
      <w:r w:rsidRPr="00023318">
        <w:rPr>
          <w:rFonts w:cstheme="minorHAnsi"/>
          <w:szCs w:val="24"/>
          <w:vertAlign w:val="superscript"/>
        </w:rPr>
        <w:t>th</w:t>
      </w:r>
      <w:r w:rsidRPr="00023318">
        <w:rPr>
          <w:rFonts w:cstheme="minorHAnsi"/>
          <w:szCs w:val="24"/>
        </w:rPr>
        <w:t xml:space="preserve"> April, 2016</w:t>
      </w:r>
      <w:r w:rsidRPr="00023318">
        <w:t>as a result of which the Commission could not make computations for determination of Regulatory Surharge-2 to be made applicable for FY 2016-17.The Commission, for liquidation of the Regulatory asset for past years, has decided to continue levy of the Regulatory Surcharge-2 as notified in the Tariff Order for FY 2015-16 i.e. “</w:t>
      </w:r>
      <w:r w:rsidRPr="00023318">
        <w:rPr>
          <w:b/>
        </w:rPr>
        <w:t>regulatory surcharge for the consumers of LMV-1 &amp; LMV-5 categories would be 3.91% while the regulatory surcharge for all other categories would be 4.13% “</w:t>
      </w:r>
      <w:r w:rsidRPr="00023318">
        <w:t xml:space="preserve">applicable on “RATE” as defined in the Rate Schedule for FY 2016-17. </w:t>
      </w:r>
      <w:r w:rsidRPr="00023318">
        <w:rPr>
          <w:rFonts w:cstheme="minorHAnsi"/>
          <w:szCs w:val="24"/>
        </w:rPr>
        <w:t>It is to be noted that revenue to be recovered due to reduction in Regulatory Surcharge of the Consumers of LMV-1 &amp; LMV-5 categories, shall be considered as deemed recovery for FY 2016-17. S</w:t>
      </w:r>
      <w:r w:rsidRPr="00023318">
        <w:t>uch surcharge would be applicable in the supply areas of KESCO only. The details are provided in the table below:</w:t>
      </w:r>
    </w:p>
    <w:p w:rsidR="002836C7" w:rsidRPr="00BD0B26" w:rsidRDefault="00023318" w:rsidP="002836C7">
      <w:pPr>
        <w:pStyle w:val="Heading3"/>
        <w:numPr>
          <w:ilvl w:val="0"/>
          <w:numId w:val="0"/>
        </w:numPr>
        <w:spacing w:before="0"/>
        <w:ind w:left="936"/>
        <w:jc w:val="center"/>
        <w:rPr>
          <w:rFonts w:asciiTheme="minorHAnsi" w:hAnsiTheme="minorHAnsi" w:cstheme="minorHAnsi"/>
          <w:b/>
          <w:sz w:val="22"/>
          <w:szCs w:val="24"/>
        </w:rPr>
      </w:pPr>
      <w:r w:rsidRPr="00BD0B26">
        <w:rPr>
          <w:rFonts w:asciiTheme="minorHAnsi" w:hAnsiTheme="minorHAnsi" w:cstheme="minorHAnsi"/>
          <w:b/>
          <w:sz w:val="22"/>
          <w:szCs w:val="24"/>
        </w:rPr>
        <w:t>Table 7</w:t>
      </w:r>
      <w:r w:rsidRPr="00BD0B26">
        <w:rPr>
          <w:rFonts w:asciiTheme="minorHAnsi" w:hAnsiTheme="minorHAnsi" w:cstheme="minorHAnsi"/>
          <w:b/>
          <w:sz w:val="22"/>
          <w:szCs w:val="24"/>
        </w:rPr>
        <w:noBreakHyphen/>
      </w:r>
      <w:r w:rsidR="00F15FCE" w:rsidRPr="00BD0B26">
        <w:rPr>
          <w:rFonts w:asciiTheme="minorHAnsi" w:hAnsiTheme="minorHAnsi" w:cstheme="minorHAnsi"/>
          <w:b/>
          <w:sz w:val="22"/>
          <w:szCs w:val="24"/>
        </w:rPr>
        <w:t>4</w:t>
      </w:r>
      <w:r w:rsidRPr="00BD0B26">
        <w:rPr>
          <w:rFonts w:asciiTheme="minorHAnsi" w:hAnsiTheme="minorHAnsi" w:cstheme="minorHAnsi"/>
          <w:b/>
          <w:sz w:val="22"/>
          <w:szCs w:val="24"/>
        </w:rPr>
        <w:t>: R</w:t>
      </w:r>
      <w:r w:rsidR="002836C7" w:rsidRPr="00BD0B26">
        <w:rPr>
          <w:rFonts w:asciiTheme="minorHAnsi" w:hAnsiTheme="minorHAnsi" w:cstheme="minorHAnsi"/>
          <w:b/>
          <w:sz w:val="22"/>
          <w:szCs w:val="24"/>
        </w:rPr>
        <w:t>EGULATORY SURCHARGE FOR FY 2016-17 (Rs. Crore)</w:t>
      </w:r>
    </w:p>
    <w:tbl>
      <w:tblPr>
        <w:tblW w:w="7948" w:type="dxa"/>
        <w:jc w:val="right"/>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6400"/>
        <w:gridCol w:w="1548"/>
      </w:tblGrid>
      <w:tr w:rsidR="002836C7" w:rsidRPr="007A4E23" w:rsidTr="007A4E23">
        <w:trPr>
          <w:trHeight w:val="276"/>
          <w:tblHeader/>
          <w:jc w:val="right"/>
        </w:trPr>
        <w:tc>
          <w:tcPr>
            <w:tcW w:w="6400" w:type="dxa"/>
            <w:shd w:val="clear" w:color="auto" w:fill="DBE5F1" w:themeFill="accent1" w:themeFillTint="33"/>
            <w:hideMark/>
          </w:tcPr>
          <w:p w:rsidR="00023318" w:rsidRPr="007A4E23" w:rsidRDefault="00E65D3C" w:rsidP="00023318">
            <w:pPr>
              <w:spacing w:before="0" w:line="240" w:lineRule="auto"/>
              <w:jc w:val="center"/>
              <w:rPr>
                <w:b/>
                <w:bCs/>
                <w:color w:val="000000"/>
                <w:sz w:val="22"/>
                <w:szCs w:val="22"/>
                <w:lang w:val="en-IN" w:eastAsia="en-IN"/>
              </w:rPr>
            </w:pPr>
            <w:r>
              <w:rPr>
                <w:b/>
                <w:bCs/>
                <w:color w:val="000000"/>
                <w:sz w:val="22"/>
                <w:szCs w:val="22"/>
                <w:lang w:val="en-IN" w:eastAsia="en-IN"/>
              </w:rPr>
              <w:lastRenderedPageBreak/>
              <w:t>Particulars</w:t>
            </w:r>
          </w:p>
        </w:tc>
        <w:tc>
          <w:tcPr>
            <w:tcW w:w="1548" w:type="dxa"/>
            <w:shd w:val="clear" w:color="auto" w:fill="DBE5F1" w:themeFill="accent1" w:themeFillTint="33"/>
            <w:noWrap/>
            <w:hideMark/>
          </w:tcPr>
          <w:p w:rsidR="00023318" w:rsidRPr="007A4E23" w:rsidRDefault="00E65D3C" w:rsidP="00023318">
            <w:pPr>
              <w:spacing w:before="0" w:line="240" w:lineRule="auto"/>
              <w:jc w:val="center"/>
              <w:rPr>
                <w:b/>
                <w:bCs/>
                <w:color w:val="000000"/>
                <w:sz w:val="22"/>
                <w:szCs w:val="22"/>
                <w:lang w:val="en-IN" w:eastAsia="en-IN"/>
              </w:rPr>
            </w:pPr>
            <w:r>
              <w:rPr>
                <w:b/>
                <w:bCs/>
                <w:color w:val="000000"/>
                <w:sz w:val="22"/>
                <w:szCs w:val="22"/>
                <w:lang w:val="en-IN" w:eastAsia="en-IN"/>
              </w:rPr>
              <w:t>Kesco</w:t>
            </w:r>
          </w:p>
        </w:tc>
      </w:tr>
      <w:tr w:rsidR="007A4E23" w:rsidRPr="007A4E23" w:rsidTr="007A4E23">
        <w:trPr>
          <w:trHeight w:val="300"/>
          <w:jc w:val="right"/>
        </w:trPr>
        <w:tc>
          <w:tcPr>
            <w:tcW w:w="6400" w:type="dxa"/>
            <w:shd w:val="clear" w:color="000000" w:fill="FFFFFF"/>
            <w:vAlign w:val="bottom"/>
            <w:hideMark/>
          </w:tcPr>
          <w:p w:rsidR="007A4E23" w:rsidRPr="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Net Regulatory Asset after considering part recovery of Regulatory Asset admitted by the Commission in the Tariff Order for FY 2015-16 dated June 18, 2015</w:t>
            </w:r>
          </w:p>
        </w:tc>
        <w:tc>
          <w:tcPr>
            <w:tcW w:w="1548" w:type="dxa"/>
            <w:shd w:val="clear" w:color="000000" w:fill="FFFFFF"/>
            <w:noWrap/>
            <w:vAlign w:val="center"/>
            <w:hideMark/>
          </w:tcPr>
          <w:p w:rsidR="00B05011" w:rsidRDefault="00E65D3C">
            <w:pPr>
              <w:spacing w:before="0" w:line="240" w:lineRule="auto"/>
              <w:jc w:val="right"/>
              <w:rPr>
                <w:color w:val="000000"/>
                <w:sz w:val="22"/>
                <w:szCs w:val="22"/>
                <w:lang w:val="en-IN" w:eastAsia="en-IN"/>
              </w:rPr>
            </w:pPr>
            <w:r w:rsidRPr="00E65D3C">
              <w:rPr>
                <w:color w:val="000000"/>
                <w:sz w:val="22"/>
                <w:szCs w:val="22"/>
                <w:lang w:val="en-IN" w:eastAsia="en-IN"/>
              </w:rPr>
              <w:t>717.29</w:t>
            </w:r>
          </w:p>
        </w:tc>
      </w:tr>
      <w:tr w:rsidR="007A4E23" w:rsidRPr="007A4E23" w:rsidTr="007A4E23">
        <w:trPr>
          <w:trHeight w:val="300"/>
          <w:jc w:val="right"/>
        </w:trPr>
        <w:tc>
          <w:tcPr>
            <w:tcW w:w="6400" w:type="dxa"/>
            <w:shd w:val="clear" w:color="000000" w:fill="FFFFFF"/>
            <w:vAlign w:val="center"/>
            <w:hideMark/>
          </w:tcPr>
          <w:p w:rsidR="007A4E23" w:rsidRPr="007A4E23" w:rsidRDefault="00E65D3C" w:rsidP="00023318">
            <w:pPr>
              <w:spacing w:before="0" w:line="240" w:lineRule="auto"/>
              <w:rPr>
                <w:color w:val="000000"/>
                <w:sz w:val="22"/>
                <w:szCs w:val="22"/>
                <w:lang w:val="en-IN" w:eastAsia="en-IN"/>
              </w:rPr>
            </w:pPr>
            <w:r w:rsidRPr="00E65D3C">
              <w:rPr>
                <w:color w:val="000000"/>
                <w:sz w:val="22"/>
                <w:szCs w:val="22"/>
                <w:lang w:val="en-IN" w:eastAsia="en-IN"/>
              </w:rPr>
              <w:t>Carrying Cost on the Regulatory Asset as admitted in Order dated  June 18, 2015 @ 12.50%</w:t>
            </w:r>
          </w:p>
        </w:tc>
        <w:tc>
          <w:tcPr>
            <w:tcW w:w="1548" w:type="dxa"/>
            <w:shd w:val="clear" w:color="000000" w:fill="FFFFFF"/>
            <w:noWrap/>
            <w:vAlign w:val="center"/>
            <w:hideMark/>
          </w:tcPr>
          <w:p w:rsidR="00B05011" w:rsidRDefault="00E65D3C">
            <w:pPr>
              <w:spacing w:before="0" w:line="240" w:lineRule="auto"/>
              <w:jc w:val="right"/>
              <w:rPr>
                <w:color w:val="000000"/>
                <w:sz w:val="22"/>
                <w:szCs w:val="22"/>
                <w:lang w:val="en-IN" w:eastAsia="en-IN"/>
              </w:rPr>
            </w:pPr>
            <w:r w:rsidRPr="00E65D3C">
              <w:rPr>
                <w:color w:val="000000"/>
                <w:sz w:val="22"/>
                <w:szCs w:val="22"/>
                <w:lang w:val="en-IN" w:eastAsia="en-IN"/>
              </w:rPr>
              <w:t>89.66</w:t>
            </w:r>
          </w:p>
        </w:tc>
      </w:tr>
      <w:tr w:rsidR="007A4E23" w:rsidRPr="007A4E23" w:rsidTr="007A4E23">
        <w:trPr>
          <w:trHeight w:val="293"/>
          <w:jc w:val="right"/>
        </w:trPr>
        <w:tc>
          <w:tcPr>
            <w:tcW w:w="6400" w:type="dxa"/>
            <w:shd w:val="clear" w:color="000000" w:fill="FFFFFF"/>
            <w:vAlign w:val="center"/>
            <w:hideMark/>
          </w:tcPr>
          <w:p w:rsidR="007A4E23" w:rsidRPr="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Total Regulatory Asset (Including Carrying Cost)</w:t>
            </w:r>
          </w:p>
        </w:tc>
        <w:tc>
          <w:tcPr>
            <w:tcW w:w="1548" w:type="dxa"/>
            <w:shd w:val="clear" w:color="000000" w:fill="FFFFFF"/>
            <w:noWrap/>
            <w:vAlign w:val="center"/>
            <w:hideMark/>
          </w:tcPr>
          <w:p w:rsidR="00B05011" w:rsidRDefault="00E65D3C">
            <w:pPr>
              <w:spacing w:before="0" w:line="240" w:lineRule="auto"/>
              <w:jc w:val="right"/>
              <w:rPr>
                <w:color w:val="000000"/>
                <w:sz w:val="22"/>
                <w:szCs w:val="22"/>
                <w:lang w:val="en-IN" w:eastAsia="en-IN"/>
              </w:rPr>
            </w:pPr>
            <w:r w:rsidRPr="00E65D3C">
              <w:rPr>
                <w:color w:val="000000"/>
                <w:sz w:val="22"/>
                <w:szCs w:val="22"/>
                <w:lang w:val="en-IN" w:eastAsia="en-IN"/>
              </w:rPr>
              <w:t>806.95</w:t>
            </w:r>
          </w:p>
        </w:tc>
      </w:tr>
      <w:tr w:rsidR="007A4E23" w:rsidRPr="007A4E23" w:rsidTr="007A4E23">
        <w:trPr>
          <w:trHeight w:val="285"/>
          <w:jc w:val="right"/>
        </w:trPr>
        <w:tc>
          <w:tcPr>
            <w:tcW w:w="6400" w:type="dxa"/>
            <w:shd w:val="clear" w:color="000000" w:fill="FFFFFF"/>
            <w:vAlign w:val="bottom"/>
            <w:hideMark/>
          </w:tcPr>
          <w:p w:rsidR="007A4E23" w:rsidRPr="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Revenue Gap for FY 2013-14 (Trued Up)</w:t>
            </w:r>
          </w:p>
        </w:tc>
        <w:tc>
          <w:tcPr>
            <w:tcW w:w="1548" w:type="dxa"/>
            <w:shd w:val="clear" w:color="000000" w:fill="FFFFFF"/>
            <w:noWrap/>
            <w:vAlign w:val="center"/>
            <w:hideMark/>
          </w:tcPr>
          <w:p w:rsidR="00B05011" w:rsidRDefault="007A4E23">
            <w:pPr>
              <w:spacing w:before="0" w:line="240" w:lineRule="auto"/>
              <w:jc w:val="right"/>
              <w:rPr>
                <w:color w:val="000000"/>
                <w:sz w:val="22"/>
                <w:szCs w:val="22"/>
                <w:lang w:val="en-IN" w:eastAsia="en-IN"/>
              </w:rPr>
            </w:pPr>
            <w:r>
              <w:rPr>
                <w:color w:val="000000"/>
                <w:sz w:val="22"/>
                <w:szCs w:val="22"/>
                <w:lang w:val="en-IN" w:eastAsia="en-IN"/>
              </w:rPr>
              <w:t>(</w:t>
            </w:r>
            <w:r w:rsidR="00E65D3C" w:rsidRPr="00E65D3C">
              <w:rPr>
                <w:color w:val="000000"/>
                <w:sz w:val="22"/>
                <w:szCs w:val="22"/>
                <w:lang w:val="en-IN" w:eastAsia="en-IN"/>
              </w:rPr>
              <w:t>94.80</w:t>
            </w:r>
            <w:r>
              <w:rPr>
                <w:color w:val="000000"/>
                <w:sz w:val="22"/>
                <w:szCs w:val="22"/>
                <w:lang w:val="en-IN" w:eastAsia="en-IN"/>
              </w:rPr>
              <w:t>)</w:t>
            </w:r>
          </w:p>
        </w:tc>
      </w:tr>
      <w:tr w:rsidR="007A4E23" w:rsidRPr="007A4E23" w:rsidTr="007A4E23">
        <w:trPr>
          <w:trHeight w:val="300"/>
          <w:jc w:val="right"/>
        </w:trPr>
        <w:tc>
          <w:tcPr>
            <w:tcW w:w="6400" w:type="dxa"/>
            <w:shd w:val="clear" w:color="000000" w:fill="FFFFFF"/>
            <w:noWrap/>
            <w:vAlign w:val="bottom"/>
            <w:hideMark/>
          </w:tcPr>
          <w:p w:rsidR="007A4E23" w:rsidRPr="007A4E23" w:rsidRDefault="00E65D3C" w:rsidP="00023318">
            <w:pPr>
              <w:spacing w:before="0" w:line="240" w:lineRule="auto"/>
              <w:rPr>
                <w:color w:val="000000"/>
                <w:sz w:val="22"/>
                <w:szCs w:val="22"/>
                <w:lang w:val="en-IN" w:eastAsia="en-IN"/>
              </w:rPr>
            </w:pPr>
            <w:r w:rsidRPr="00E65D3C">
              <w:rPr>
                <w:color w:val="000000"/>
                <w:sz w:val="22"/>
                <w:szCs w:val="22"/>
                <w:lang w:val="en-IN" w:eastAsia="en-IN"/>
              </w:rPr>
              <w:t>Carrying Cost on the Regulatory Asset for the Revenue Gap for FY 2013-14 @ 12.5</w:t>
            </w:r>
            <w:r w:rsidR="007A4E23">
              <w:rPr>
                <w:color w:val="000000"/>
                <w:sz w:val="22"/>
                <w:szCs w:val="22"/>
                <w:lang w:val="en-IN" w:eastAsia="en-IN"/>
              </w:rPr>
              <w:t>0</w:t>
            </w:r>
            <w:r w:rsidRPr="00E65D3C">
              <w:rPr>
                <w:color w:val="000000"/>
                <w:sz w:val="22"/>
                <w:szCs w:val="22"/>
                <w:lang w:val="en-IN" w:eastAsia="en-IN"/>
              </w:rPr>
              <w:t>%</w:t>
            </w:r>
          </w:p>
        </w:tc>
        <w:tc>
          <w:tcPr>
            <w:tcW w:w="1548" w:type="dxa"/>
            <w:shd w:val="clear" w:color="000000" w:fill="FFFFFF"/>
            <w:noWrap/>
            <w:vAlign w:val="center"/>
            <w:hideMark/>
          </w:tcPr>
          <w:p w:rsidR="00B05011" w:rsidRDefault="007A4E23">
            <w:pPr>
              <w:spacing w:before="0" w:line="240" w:lineRule="auto"/>
              <w:jc w:val="right"/>
              <w:rPr>
                <w:color w:val="000000"/>
                <w:sz w:val="22"/>
                <w:szCs w:val="22"/>
                <w:lang w:val="en-IN" w:eastAsia="en-IN"/>
              </w:rPr>
            </w:pPr>
            <w:r>
              <w:rPr>
                <w:color w:val="000000"/>
                <w:sz w:val="22"/>
                <w:szCs w:val="22"/>
                <w:lang w:val="en-IN" w:eastAsia="en-IN"/>
              </w:rPr>
              <w:t>(</w:t>
            </w:r>
            <w:r w:rsidR="00E65D3C" w:rsidRPr="00E65D3C">
              <w:rPr>
                <w:color w:val="000000"/>
                <w:sz w:val="22"/>
                <w:szCs w:val="22"/>
                <w:lang w:val="en-IN" w:eastAsia="en-IN"/>
              </w:rPr>
              <w:t>7.92</w:t>
            </w:r>
            <w:r>
              <w:rPr>
                <w:color w:val="000000"/>
                <w:sz w:val="22"/>
                <w:szCs w:val="22"/>
                <w:lang w:val="en-IN" w:eastAsia="en-IN"/>
              </w:rPr>
              <w:t>)</w:t>
            </w:r>
          </w:p>
        </w:tc>
      </w:tr>
      <w:tr w:rsidR="007A4E23" w:rsidRPr="007A4E23" w:rsidTr="007A4E23">
        <w:trPr>
          <w:trHeight w:val="300"/>
          <w:jc w:val="right"/>
        </w:trPr>
        <w:tc>
          <w:tcPr>
            <w:tcW w:w="6400" w:type="dxa"/>
            <w:shd w:val="clear" w:color="000000" w:fill="FFFFFF"/>
            <w:vAlign w:val="bottom"/>
            <w:hideMark/>
          </w:tcPr>
          <w:p w:rsidR="007A4E23" w:rsidRPr="007A4E23" w:rsidRDefault="00E65D3C" w:rsidP="00023318">
            <w:pPr>
              <w:spacing w:before="0" w:line="240" w:lineRule="auto"/>
              <w:rPr>
                <w:b/>
                <w:bCs/>
                <w:color w:val="000000"/>
                <w:sz w:val="22"/>
                <w:szCs w:val="22"/>
                <w:lang w:val="en-IN" w:eastAsia="en-IN"/>
              </w:rPr>
            </w:pPr>
            <w:r w:rsidRPr="00E65D3C">
              <w:rPr>
                <w:color w:val="000000"/>
                <w:sz w:val="22"/>
                <w:szCs w:val="22"/>
                <w:lang w:val="en-IN" w:eastAsia="en-IN"/>
              </w:rPr>
              <w:t>Total Regulatory Asset for FY 2013-14 including Carrying Cost</w:t>
            </w:r>
          </w:p>
        </w:tc>
        <w:tc>
          <w:tcPr>
            <w:tcW w:w="1548" w:type="dxa"/>
            <w:shd w:val="clear" w:color="000000" w:fill="FFFFFF"/>
            <w:noWrap/>
            <w:vAlign w:val="center"/>
            <w:hideMark/>
          </w:tcPr>
          <w:p w:rsidR="00B05011" w:rsidRDefault="007A4E23">
            <w:pPr>
              <w:spacing w:before="0" w:line="240" w:lineRule="auto"/>
              <w:jc w:val="right"/>
              <w:rPr>
                <w:color w:val="000000"/>
                <w:sz w:val="22"/>
                <w:szCs w:val="22"/>
                <w:lang w:val="en-IN" w:eastAsia="en-IN"/>
              </w:rPr>
            </w:pPr>
            <w:r>
              <w:rPr>
                <w:color w:val="000000"/>
                <w:sz w:val="22"/>
                <w:szCs w:val="22"/>
                <w:lang w:val="en-IN" w:eastAsia="en-IN"/>
              </w:rPr>
              <w:t>(</w:t>
            </w:r>
            <w:r w:rsidR="00E65D3C" w:rsidRPr="00E65D3C">
              <w:rPr>
                <w:color w:val="000000"/>
                <w:sz w:val="22"/>
                <w:szCs w:val="22"/>
                <w:lang w:val="en-IN" w:eastAsia="en-IN"/>
              </w:rPr>
              <w:t>102.72</w:t>
            </w:r>
            <w:r>
              <w:rPr>
                <w:color w:val="000000"/>
                <w:sz w:val="22"/>
                <w:szCs w:val="22"/>
                <w:lang w:val="en-IN" w:eastAsia="en-IN"/>
              </w:rPr>
              <w:t>)</w:t>
            </w:r>
          </w:p>
        </w:tc>
      </w:tr>
      <w:tr w:rsidR="007A4E23" w:rsidRPr="007A4E23" w:rsidTr="007A4E23">
        <w:trPr>
          <w:trHeight w:val="600"/>
          <w:jc w:val="right"/>
        </w:trPr>
        <w:tc>
          <w:tcPr>
            <w:tcW w:w="6400" w:type="dxa"/>
            <w:shd w:val="clear" w:color="000000" w:fill="FFFFFF"/>
            <w:vAlign w:val="bottom"/>
            <w:hideMark/>
          </w:tcPr>
          <w:p w:rsidR="007A4E23" w:rsidRPr="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Total Regulatory Asset till FY 2013-14 (including Gap of previous years)</w:t>
            </w:r>
          </w:p>
        </w:tc>
        <w:tc>
          <w:tcPr>
            <w:tcW w:w="1548" w:type="dxa"/>
            <w:shd w:val="clear" w:color="000000" w:fill="FFFFFF"/>
            <w:noWrap/>
            <w:vAlign w:val="center"/>
            <w:hideMark/>
          </w:tcPr>
          <w:p w:rsidR="00B05011" w:rsidRDefault="00E65D3C">
            <w:pPr>
              <w:spacing w:before="0" w:line="240" w:lineRule="auto"/>
              <w:jc w:val="right"/>
              <w:rPr>
                <w:color w:val="000000"/>
                <w:sz w:val="22"/>
                <w:szCs w:val="22"/>
                <w:lang w:val="en-IN" w:eastAsia="en-IN"/>
              </w:rPr>
            </w:pPr>
            <w:r w:rsidRPr="00E65D3C">
              <w:rPr>
                <w:color w:val="000000"/>
                <w:sz w:val="22"/>
                <w:szCs w:val="22"/>
                <w:lang w:val="en-IN" w:eastAsia="en-IN"/>
              </w:rPr>
              <w:t>704.23</w:t>
            </w:r>
          </w:p>
        </w:tc>
      </w:tr>
      <w:tr w:rsidR="007A4E23" w:rsidRPr="007A4E23" w:rsidTr="007A4E23">
        <w:trPr>
          <w:trHeight w:val="300"/>
          <w:jc w:val="right"/>
        </w:trPr>
        <w:tc>
          <w:tcPr>
            <w:tcW w:w="6400" w:type="dxa"/>
            <w:shd w:val="clear" w:color="auto" w:fill="auto"/>
            <w:vAlign w:val="bottom"/>
            <w:hideMark/>
          </w:tcPr>
          <w:p w:rsidR="007A4E23" w:rsidRPr="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Net Revenue Gap for FY 2016-17 after tariff increase</w:t>
            </w:r>
          </w:p>
        </w:tc>
        <w:tc>
          <w:tcPr>
            <w:tcW w:w="1548" w:type="dxa"/>
            <w:shd w:val="clear" w:color="000000" w:fill="FFFFFF"/>
            <w:noWrap/>
            <w:vAlign w:val="center"/>
            <w:hideMark/>
          </w:tcPr>
          <w:p w:rsidR="00B05011" w:rsidRDefault="007A4E23">
            <w:pPr>
              <w:spacing w:before="0" w:line="240" w:lineRule="auto"/>
              <w:jc w:val="right"/>
              <w:rPr>
                <w:color w:val="000000"/>
                <w:sz w:val="22"/>
                <w:szCs w:val="22"/>
                <w:lang w:val="en-IN" w:eastAsia="en-IN"/>
              </w:rPr>
            </w:pPr>
            <w:r>
              <w:rPr>
                <w:color w:val="000000"/>
                <w:sz w:val="22"/>
                <w:szCs w:val="22"/>
                <w:lang w:val="en-IN" w:eastAsia="en-IN"/>
              </w:rPr>
              <w:t>(</w:t>
            </w:r>
            <w:r w:rsidR="00E65D3C" w:rsidRPr="00E65D3C">
              <w:rPr>
                <w:color w:val="000000"/>
                <w:sz w:val="22"/>
                <w:szCs w:val="22"/>
                <w:lang w:val="en-IN" w:eastAsia="en-IN"/>
              </w:rPr>
              <w:t>34.19</w:t>
            </w:r>
            <w:r>
              <w:rPr>
                <w:color w:val="000000"/>
                <w:sz w:val="22"/>
                <w:szCs w:val="22"/>
                <w:lang w:val="en-IN" w:eastAsia="en-IN"/>
              </w:rPr>
              <w:t>)</w:t>
            </w:r>
          </w:p>
        </w:tc>
      </w:tr>
      <w:tr w:rsidR="007A4E23" w:rsidRPr="007A4E23" w:rsidTr="007A4E23">
        <w:trPr>
          <w:trHeight w:val="300"/>
          <w:jc w:val="right"/>
        </w:trPr>
        <w:tc>
          <w:tcPr>
            <w:tcW w:w="6400" w:type="dxa"/>
            <w:shd w:val="clear" w:color="auto" w:fill="auto"/>
            <w:vAlign w:val="bottom"/>
          </w:tcPr>
          <w:p w:rsidR="007A4E23" w:rsidRPr="007A4E23" w:rsidDel="007A4E23" w:rsidRDefault="00E65D3C" w:rsidP="00023318">
            <w:pPr>
              <w:spacing w:before="0" w:line="240" w:lineRule="auto"/>
              <w:rPr>
                <w:sz w:val="22"/>
                <w:szCs w:val="22"/>
                <w:lang w:val="en-IN" w:eastAsia="en-IN"/>
              </w:rPr>
            </w:pPr>
            <w:r w:rsidRPr="00E65D3C">
              <w:rPr>
                <w:b/>
                <w:bCs/>
                <w:sz w:val="22"/>
                <w:szCs w:val="22"/>
                <w:lang w:val="en-IN" w:eastAsia="en-IN"/>
              </w:rPr>
              <w:t>Regulatory Surcharge (in %)</w:t>
            </w:r>
          </w:p>
        </w:tc>
        <w:tc>
          <w:tcPr>
            <w:tcW w:w="1548" w:type="dxa"/>
            <w:shd w:val="clear" w:color="000000" w:fill="FFFFFF"/>
            <w:noWrap/>
            <w:vAlign w:val="center"/>
          </w:tcPr>
          <w:p w:rsidR="00B05011" w:rsidRDefault="00E65D3C">
            <w:pPr>
              <w:spacing w:before="0" w:line="240" w:lineRule="auto"/>
              <w:jc w:val="right"/>
              <w:rPr>
                <w:sz w:val="22"/>
                <w:szCs w:val="22"/>
              </w:rPr>
            </w:pPr>
            <w:r w:rsidRPr="00E65D3C">
              <w:rPr>
                <w:sz w:val="22"/>
                <w:szCs w:val="22"/>
                <w:lang w:val="en-IN" w:eastAsia="en-IN"/>
              </w:rPr>
              <w:t>4.13%</w:t>
            </w:r>
          </w:p>
        </w:tc>
      </w:tr>
      <w:tr w:rsidR="007A4E23" w:rsidRPr="007A4E23" w:rsidTr="007A4E23">
        <w:trPr>
          <w:trHeight w:val="300"/>
          <w:jc w:val="right"/>
        </w:trPr>
        <w:tc>
          <w:tcPr>
            <w:tcW w:w="6400" w:type="dxa"/>
            <w:shd w:val="clear" w:color="auto" w:fill="auto"/>
            <w:vAlign w:val="bottom"/>
          </w:tcPr>
          <w:p w:rsidR="007A4E23" w:rsidRPr="007A4E23" w:rsidDel="007A4E23" w:rsidRDefault="00E65D3C" w:rsidP="00023318">
            <w:pPr>
              <w:spacing w:before="0" w:line="240" w:lineRule="auto"/>
              <w:rPr>
                <w:color w:val="000000"/>
                <w:sz w:val="22"/>
                <w:szCs w:val="22"/>
                <w:lang w:val="en-IN" w:eastAsia="en-IN"/>
              </w:rPr>
            </w:pPr>
            <w:r w:rsidRPr="00E65D3C">
              <w:rPr>
                <w:color w:val="000000"/>
                <w:sz w:val="22"/>
                <w:szCs w:val="22"/>
                <w:lang w:val="en-IN" w:eastAsia="en-IN"/>
              </w:rPr>
              <w:t>Recovery through Regulatory Surcharge</w:t>
            </w:r>
          </w:p>
        </w:tc>
        <w:tc>
          <w:tcPr>
            <w:tcW w:w="1548" w:type="dxa"/>
            <w:shd w:val="clear" w:color="000000" w:fill="FFFFFF"/>
            <w:noWrap/>
            <w:vAlign w:val="center"/>
          </w:tcPr>
          <w:p w:rsidR="00B05011" w:rsidRDefault="00E65D3C">
            <w:pPr>
              <w:spacing w:before="0" w:line="240" w:lineRule="auto"/>
              <w:jc w:val="right"/>
              <w:rPr>
                <w:color w:val="000000"/>
                <w:sz w:val="22"/>
                <w:szCs w:val="22"/>
              </w:rPr>
            </w:pPr>
            <w:r w:rsidRPr="00E65D3C">
              <w:rPr>
                <w:color w:val="000000"/>
                <w:sz w:val="22"/>
                <w:szCs w:val="22"/>
                <w:lang w:val="en-IN" w:eastAsia="en-IN"/>
              </w:rPr>
              <w:t xml:space="preserve">          59.77 </w:t>
            </w:r>
          </w:p>
        </w:tc>
      </w:tr>
      <w:tr w:rsidR="007A4E23" w:rsidRPr="007A4E23" w:rsidTr="007A4E23">
        <w:trPr>
          <w:trHeight w:val="300"/>
          <w:jc w:val="right"/>
        </w:trPr>
        <w:tc>
          <w:tcPr>
            <w:tcW w:w="6400" w:type="dxa"/>
            <w:shd w:val="clear" w:color="auto" w:fill="auto"/>
            <w:vAlign w:val="bottom"/>
          </w:tcPr>
          <w:p w:rsidR="007A4E23" w:rsidRPr="007A4E23" w:rsidDel="007A4E23" w:rsidRDefault="00E65D3C" w:rsidP="00023318">
            <w:pPr>
              <w:spacing w:before="0" w:line="240" w:lineRule="auto"/>
              <w:rPr>
                <w:color w:val="000000"/>
                <w:sz w:val="22"/>
                <w:szCs w:val="22"/>
                <w:lang w:val="en-IN" w:eastAsia="en-IN"/>
              </w:rPr>
            </w:pPr>
            <w:r w:rsidRPr="00E65D3C">
              <w:rPr>
                <w:b/>
                <w:bCs/>
                <w:color w:val="000000"/>
                <w:sz w:val="22"/>
                <w:szCs w:val="22"/>
                <w:lang w:val="en-IN" w:eastAsia="en-IN"/>
              </w:rPr>
              <w:t>Net Regulatory Asset after considering part recovery of Regulatory Asset admitted by the Commission in this Order</w:t>
            </w:r>
          </w:p>
        </w:tc>
        <w:tc>
          <w:tcPr>
            <w:tcW w:w="1548" w:type="dxa"/>
            <w:shd w:val="clear" w:color="000000" w:fill="FFFFFF"/>
            <w:noWrap/>
            <w:vAlign w:val="center"/>
          </w:tcPr>
          <w:p w:rsidR="00B05011" w:rsidRDefault="00E65D3C">
            <w:pPr>
              <w:spacing w:before="0" w:line="240" w:lineRule="auto"/>
              <w:jc w:val="right"/>
              <w:rPr>
                <w:color w:val="000000"/>
                <w:sz w:val="22"/>
                <w:szCs w:val="22"/>
              </w:rPr>
            </w:pPr>
            <w:r w:rsidRPr="00E65D3C">
              <w:rPr>
                <w:color w:val="000000"/>
                <w:sz w:val="22"/>
                <w:szCs w:val="22"/>
                <w:lang w:val="en-IN" w:eastAsia="en-IN"/>
              </w:rPr>
              <w:t xml:space="preserve">        610.27 </w:t>
            </w:r>
          </w:p>
        </w:tc>
      </w:tr>
    </w:tbl>
    <w:p w:rsidR="00023318" w:rsidRDefault="00023318" w:rsidP="00023318">
      <w:pPr>
        <w:pStyle w:val="Heading3"/>
        <w:numPr>
          <w:ilvl w:val="0"/>
          <w:numId w:val="0"/>
        </w:numPr>
        <w:tabs>
          <w:tab w:val="clear" w:pos="720"/>
        </w:tabs>
        <w:spacing w:before="0"/>
        <w:ind w:left="993"/>
        <w:rPr>
          <w:rFonts w:asciiTheme="minorHAnsi" w:hAnsiTheme="minorHAnsi" w:cstheme="minorHAnsi"/>
          <w:szCs w:val="24"/>
        </w:rPr>
      </w:pPr>
    </w:p>
    <w:p w:rsidR="00023318" w:rsidRPr="00023318" w:rsidRDefault="00023318" w:rsidP="00023318">
      <w:pPr>
        <w:pStyle w:val="Heading3"/>
        <w:tabs>
          <w:tab w:val="clear" w:pos="720"/>
        </w:tabs>
        <w:ind w:left="993" w:hanging="993"/>
        <w:rPr>
          <w:rFonts w:cstheme="minorHAnsi"/>
          <w:szCs w:val="24"/>
        </w:rPr>
      </w:pPr>
      <w:r w:rsidRPr="00023318">
        <w:rPr>
          <w:rFonts w:cstheme="minorHAnsi"/>
          <w:szCs w:val="24"/>
        </w:rPr>
        <w:t xml:space="preserve">The Commission has observed that the Petitioner has become revenue surplus for FY 2016-17 after meeting its Annual Revenue Requirement (ARR) from the revenue at approved tariff. However, looking into the fact the Petitioner is still left with a huge </w:t>
      </w:r>
      <w:r w:rsidR="007A4E23">
        <w:rPr>
          <w:rFonts w:cstheme="minorHAnsi"/>
          <w:szCs w:val="24"/>
        </w:rPr>
        <w:t xml:space="preserve">regulatory asset </w:t>
      </w:r>
      <w:r w:rsidRPr="00023318">
        <w:rPr>
          <w:rFonts w:cstheme="minorHAnsi"/>
          <w:szCs w:val="24"/>
        </w:rPr>
        <w:t>as compared to the ARR of the Petitioner. The Commission feels that the same should be liquidated through regulatory surcharge as in case of other State Distribution Licensees.</w:t>
      </w:r>
    </w:p>
    <w:p w:rsidR="00023318" w:rsidRPr="00023318" w:rsidRDefault="00023318" w:rsidP="00023318">
      <w:pPr>
        <w:pStyle w:val="Heading3"/>
        <w:tabs>
          <w:tab w:val="clear" w:pos="720"/>
        </w:tabs>
        <w:ind w:left="993" w:hanging="993"/>
        <w:rPr>
          <w:rFonts w:cstheme="minorHAnsi"/>
          <w:szCs w:val="24"/>
        </w:rPr>
      </w:pPr>
      <w:r w:rsidRPr="00023318">
        <w:rPr>
          <w:rFonts w:cstheme="minorHAnsi"/>
          <w:szCs w:val="24"/>
        </w:rPr>
        <w:t xml:space="preserve">The Licensee is directed to depict the Regulatory Surcharge separately and distinctly in the electricity bills of the consumers. The Commission directs the Licensee to maintain separate accounting field for the </w:t>
      </w:r>
      <w:r w:rsidR="007A4E23">
        <w:rPr>
          <w:rFonts w:cstheme="minorHAnsi"/>
          <w:szCs w:val="24"/>
        </w:rPr>
        <w:t>R</w:t>
      </w:r>
      <w:r w:rsidRPr="00023318">
        <w:rPr>
          <w:rFonts w:cstheme="minorHAnsi"/>
          <w:szCs w:val="24"/>
        </w:rPr>
        <w:t xml:space="preserve">egulatory </w:t>
      </w:r>
      <w:r w:rsidR="007A4E23">
        <w:rPr>
          <w:rFonts w:cstheme="minorHAnsi"/>
          <w:szCs w:val="24"/>
        </w:rPr>
        <w:t>S</w:t>
      </w:r>
      <w:r w:rsidRPr="00023318">
        <w:rPr>
          <w:rFonts w:cstheme="minorHAnsi"/>
          <w:szCs w:val="24"/>
        </w:rPr>
        <w:t>urcharge and capture the amount collected as Regulatory Surcharge in both of its financial and commercial statements. This would enable the Licensee to correctly report the amounts collected towards Regulatory Surcharge.</w:t>
      </w:r>
    </w:p>
    <w:p w:rsidR="00023318" w:rsidRPr="00023318" w:rsidRDefault="00023318" w:rsidP="00023318">
      <w:pPr>
        <w:pStyle w:val="Heading3"/>
        <w:tabs>
          <w:tab w:val="clear" w:pos="720"/>
        </w:tabs>
        <w:ind w:left="993" w:hanging="993"/>
        <w:rPr>
          <w:rFonts w:cstheme="minorHAnsi"/>
          <w:szCs w:val="24"/>
        </w:rPr>
      </w:pPr>
      <w:r w:rsidRPr="00023318">
        <w:rPr>
          <w:rFonts w:cstheme="minorHAnsi"/>
          <w:szCs w:val="24"/>
        </w:rPr>
        <w:t>The Distribution Licensee is directed to submit the actual Regulatory Surcharge recovered in FY 2016-17 on account of the Revenue Gap / Regulatory Asset admitted by the Commission in this Order along with the actual Distribution Loss achieved in FY 2015-16 and for FY 2016-17</w:t>
      </w:r>
      <w:r w:rsidR="00B429BD">
        <w:rPr>
          <w:rFonts w:cstheme="minorHAnsi"/>
          <w:szCs w:val="24"/>
        </w:rPr>
        <w:t>.</w:t>
      </w:r>
    </w:p>
    <w:p w:rsidR="00023318" w:rsidRPr="00023318" w:rsidRDefault="00023318" w:rsidP="00023318">
      <w:pPr>
        <w:pStyle w:val="Heading3"/>
        <w:tabs>
          <w:tab w:val="clear" w:pos="720"/>
        </w:tabs>
        <w:ind w:left="993" w:hanging="993"/>
        <w:rPr>
          <w:rFonts w:cstheme="minorHAnsi"/>
          <w:szCs w:val="24"/>
        </w:rPr>
      </w:pPr>
      <w:bookmarkStart w:id="1579" w:name="_Toc422163189"/>
      <w:bookmarkStart w:id="1580" w:name="_Toc422164033"/>
      <w:bookmarkEnd w:id="1579"/>
      <w:bookmarkEnd w:id="1580"/>
      <w:r w:rsidRPr="00023318">
        <w:rPr>
          <w:rFonts w:cstheme="minorHAnsi"/>
          <w:szCs w:val="24"/>
        </w:rPr>
        <w:t>Further, the huge and ever increasing cumulative outstanding revenue gap to be recovered from the consumers is a matter of great concern for the Commission as well as the Licensee.</w:t>
      </w:r>
    </w:p>
    <w:p w:rsidR="00023318" w:rsidRDefault="00023318" w:rsidP="00023318">
      <w:pPr>
        <w:pStyle w:val="Heading3"/>
        <w:tabs>
          <w:tab w:val="clear" w:pos="720"/>
        </w:tabs>
        <w:ind w:left="993" w:hanging="993"/>
        <w:rPr>
          <w:rFonts w:asciiTheme="minorHAnsi" w:hAnsiTheme="minorHAnsi" w:cstheme="minorHAnsi"/>
          <w:szCs w:val="24"/>
        </w:rPr>
      </w:pPr>
      <w:r w:rsidRPr="00023318">
        <w:rPr>
          <w:rFonts w:cstheme="minorHAnsi"/>
          <w:szCs w:val="24"/>
        </w:rPr>
        <w:lastRenderedPageBreak/>
        <w:t>The revenue surplus for FY 2016-17 works out to be Rs. 34.19 Crore. It can be observed that the Petitioner has accumulated a huge regulatory asset over the years which are yet to be recovered. The Petitioner shall adjust this revenue surplus towards its accumulated regulatory asset, which shall be subject to True-up.</w:t>
      </w:r>
    </w:p>
    <w:p w:rsidR="00771D79" w:rsidRDefault="00771D79" w:rsidP="001046E3">
      <w:pPr>
        <w:pStyle w:val="Heading1"/>
        <w:numPr>
          <w:ilvl w:val="0"/>
          <w:numId w:val="0"/>
        </w:numPr>
        <w:ind w:left="600" w:hanging="600"/>
      </w:pPr>
      <w:bookmarkStart w:id="1581" w:name="_Toc357345055"/>
      <w:bookmarkStart w:id="1582" w:name="_Toc357714431"/>
      <w:bookmarkStart w:id="1583" w:name="_Toc397332180"/>
      <w:bookmarkStart w:id="1584" w:name="_Toc397607935"/>
      <w:bookmarkStart w:id="1585" w:name="_Toc399623768"/>
      <w:bookmarkStart w:id="1586" w:name="_Toc453367644"/>
    </w:p>
    <w:p w:rsidR="00771D79" w:rsidRPr="00771D79" w:rsidRDefault="00771D79" w:rsidP="00771D79"/>
    <w:p w:rsidR="00771D79" w:rsidRPr="00771D79" w:rsidRDefault="00771D79" w:rsidP="00771D79"/>
    <w:p w:rsidR="00771D79" w:rsidRPr="00771D79" w:rsidRDefault="00771D79" w:rsidP="00771D79"/>
    <w:p w:rsidR="00771D79" w:rsidRPr="00771D79" w:rsidRDefault="00771D79" w:rsidP="00771D79"/>
    <w:p w:rsidR="00771D79" w:rsidRPr="00771D79" w:rsidRDefault="00771D79" w:rsidP="00771D79"/>
    <w:p w:rsidR="00771D79" w:rsidRPr="00771D79" w:rsidRDefault="00771D79" w:rsidP="00771D79"/>
    <w:p w:rsidR="00771D79" w:rsidRPr="00771D79" w:rsidRDefault="00771D79" w:rsidP="00771D79"/>
    <w:p w:rsidR="00771D79" w:rsidRPr="00771D79" w:rsidRDefault="00771D79" w:rsidP="00771D79">
      <w:pPr>
        <w:jc w:val="right"/>
      </w:pPr>
    </w:p>
    <w:p w:rsidR="00771D79" w:rsidRDefault="00771D79" w:rsidP="00771D79"/>
    <w:p w:rsidR="00BF2FF0" w:rsidRPr="00771D79" w:rsidRDefault="00BF2FF0" w:rsidP="00771D79">
      <w:pPr>
        <w:sectPr w:rsidR="00BF2FF0" w:rsidRPr="00771D79" w:rsidSect="00675499">
          <w:pgSz w:w="11909" w:h="16834"/>
          <w:pgMar w:top="1440" w:right="1440" w:bottom="1440" w:left="1800" w:header="720" w:footer="720" w:gutter="0"/>
          <w:pgNumType w:chapSep="colon"/>
          <w:cols w:space="720"/>
          <w:docGrid w:linePitch="326"/>
        </w:sectPr>
      </w:pPr>
    </w:p>
    <w:p w:rsidR="00023318" w:rsidRDefault="00A20C40" w:rsidP="00023318">
      <w:pPr>
        <w:pStyle w:val="Heading1"/>
        <w:rPr>
          <w:rFonts w:asciiTheme="minorHAnsi" w:hAnsiTheme="minorHAnsi" w:cstheme="minorHAnsi"/>
          <w:szCs w:val="24"/>
        </w:rPr>
      </w:pPr>
      <w:bookmarkStart w:id="1587" w:name="_Toc357714429"/>
      <w:bookmarkStart w:id="1588" w:name="_Toc397332178"/>
      <w:bookmarkStart w:id="1589" w:name="_Toc397607933"/>
      <w:bookmarkStart w:id="1590" w:name="_Toc399623766"/>
      <w:bookmarkStart w:id="1591" w:name="_Toc422310092"/>
      <w:bookmarkStart w:id="1592" w:name="_Toc457355520"/>
      <w:r w:rsidRPr="00C60AD1">
        <w:rPr>
          <w:rFonts w:asciiTheme="minorHAnsi" w:hAnsiTheme="minorHAnsi" w:cstheme="minorHAnsi"/>
          <w:szCs w:val="24"/>
        </w:rPr>
        <w:lastRenderedPageBreak/>
        <w:t>DIRECTIVES</w:t>
      </w:r>
      <w:bookmarkEnd w:id="1587"/>
      <w:bookmarkEnd w:id="1588"/>
      <w:bookmarkEnd w:id="1589"/>
      <w:bookmarkEnd w:id="1590"/>
      <w:bookmarkEnd w:id="1591"/>
      <w:bookmarkEnd w:id="1592"/>
    </w:p>
    <w:p w:rsidR="00A20C40" w:rsidRPr="00241B55" w:rsidRDefault="00023318" w:rsidP="00BA3941">
      <w:pPr>
        <w:pStyle w:val="Heading2"/>
        <w:numPr>
          <w:ilvl w:val="1"/>
          <w:numId w:val="25"/>
        </w:numPr>
        <w:rPr>
          <w:rFonts w:ascii="Calibri" w:hAnsi="Calibri"/>
        </w:rPr>
      </w:pPr>
      <w:bookmarkStart w:id="1593" w:name="_Toc337201450"/>
      <w:bookmarkStart w:id="1594" w:name="_Toc357345054"/>
      <w:bookmarkStart w:id="1595" w:name="_Toc357714430"/>
      <w:bookmarkStart w:id="1596" w:name="_Toc397332179"/>
      <w:bookmarkStart w:id="1597" w:name="_Toc397607934"/>
      <w:bookmarkStart w:id="1598" w:name="_Toc399623767"/>
      <w:bookmarkStart w:id="1599" w:name="_Toc422310093"/>
      <w:bookmarkStart w:id="1600" w:name="_Toc457355521"/>
      <w:r w:rsidRPr="00023318">
        <w:rPr>
          <w:rFonts w:ascii="Calibri" w:hAnsi="Calibri"/>
        </w:rPr>
        <w:t xml:space="preserve">DIRECTIVES PROVIDED BY COMMISSION AND THEIR COMPLIANCE BY </w:t>
      </w:r>
      <w:bookmarkEnd w:id="1593"/>
      <w:bookmarkEnd w:id="1594"/>
      <w:r w:rsidRPr="00023318">
        <w:rPr>
          <w:rFonts w:ascii="Calibri" w:hAnsi="Calibri"/>
        </w:rPr>
        <w:t>LICENSEE</w:t>
      </w:r>
      <w:bookmarkEnd w:id="1595"/>
      <w:bookmarkEnd w:id="1596"/>
      <w:bookmarkEnd w:id="1597"/>
      <w:bookmarkEnd w:id="1598"/>
      <w:bookmarkEnd w:id="1599"/>
      <w:bookmarkEnd w:id="1600"/>
    </w:p>
    <w:p w:rsidR="00A20C40" w:rsidRPr="00241B55" w:rsidRDefault="00A20C40" w:rsidP="00A20C40">
      <w:pPr>
        <w:pStyle w:val="Heading3"/>
        <w:numPr>
          <w:ilvl w:val="0"/>
          <w:numId w:val="0"/>
        </w:numPr>
        <w:ind w:left="936"/>
      </w:pPr>
    </w:p>
    <w:p w:rsidR="00023318" w:rsidRDefault="00023318" w:rsidP="00023318">
      <w:pPr>
        <w:pStyle w:val="Heading3"/>
        <w:tabs>
          <w:tab w:val="clear" w:pos="720"/>
        </w:tabs>
        <w:spacing w:after="120"/>
        <w:ind w:left="993" w:hanging="993"/>
        <w:rPr>
          <w:rFonts w:asciiTheme="minorHAnsi" w:hAnsiTheme="minorHAnsi"/>
          <w:szCs w:val="24"/>
        </w:rPr>
      </w:pPr>
      <w:r w:rsidRPr="00023318">
        <w:rPr>
          <w:szCs w:val="24"/>
        </w:rPr>
        <w:t>The Commission had issued several directives to the Licensee in the previous Tariff Order dated May 31, 2013, October 1, 2014 and June 18, 2015. The status of compliance as submitted by the Licensee is as detailed in the following Table:</w:t>
      </w:r>
    </w:p>
    <w:p w:rsidR="00023318" w:rsidRDefault="00023318" w:rsidP="00023318">
      <w:pPr>
        <w:pStyle w:val="Heading3"/>
        <w:numPr>
          <w:ilvl w:val="0"/>
          <w:numId w:val="0"/>
        </w:numPr>
        <w:tabs>
          <w:tab w:val="clear" w:pos="720"/>
        </w:tabs>
        <w:spacing w:after="120"/>
        <w:ind w:left="993"/>
        <w:rPr>
          <w:rFonts w:asciiTheme="minorHAnsi" w:hAnsiTheme="minorHAnsi"/>
          <w:szCs w:val="24"/>
        </w:rPr>
      </w:pPr>
    </w:p>
    <w:p w:rsidR="005B7929" w:rsidRDefault="00A20C40" w:rsidP="005B7929">
      <w:pPr>
        <w:spacing w:line="240" w:lineRule="auto"/>
        <w:jc w:val="center"/>
        <w:rPr>
          <w:b/>
        </w:rPr>
      </w:pPr>
      <w:bookmarkStart w:id="1601" w:name="_Toc399624147"/>
      <w:bookmarkStart w:id="1602" w:name="_Toc422309983"/>
      <w:bookmarkStart w:id="1603" w:name="_Toc457355662"/>
      <w:r w:rsidRPr="00C60AD1">
        <w:rPr>
          <w:b/>
        </w:rPr>
        <w:t xml:space="preserve">TABLE </w:t>
      </w:r>
      <w:r w:rsidR="00DA3968">
        <w:rPr>
          <w:b/>
        </w:rPr>
        <w:t>8</w:t>
      </w:r>
      <w:r w:rsidRPr="009A172E">
        <w:rPr>
          <w:b/>
        </w:rPr>
        <w:noBreakHyphen/>
      </w:r>
      <w:r w:rsidR="004A2D9E" w:rsidRPr="009A172E">
        <w:rPr>
          <w:b/>
        </w:rPr>
        <w:fldChar w:fldCharType="begin"/>
      </w:r>
      <w:r w:rsidRPr="009A172E">
        <w:rPr>
          <w:b/>
        </w:rPr>
        <w:instrText xml:space="preserve"> SEQ Table \* ARABIC \s 1 </w:instrText>
      </w:r>
      <w:r w:rsidR="004A2D9E" w:rsidRPr="009A172E">
        <w:rPr>
          <w:b/>
        </w:rPr>
        <w:fldChar w:fldCharType="separate"/>
      </w:r>
      <w:r w:rsidR="0011185B">
        <w:rPr>
          <w:b/>
          <w:noProof/>
        </w:rPr>
        <w:t>1</w:t>
      </w:r>
      <w:r w:rsidR="004A2D9E" w:rsidRPr="009A172E">
        <w:rPr>
          <w:b/>
        </w:rPr>
        <w:fldChar w:fldCharType="end"/>
      </w:r>
      <w:r w:rsidRPr="00C60AD1">
        <w:rPr>
          <w:b/>
        </w:rPr>
        <w:t>: STATUS OF COMPLIANCE OF DIRECTIVES</w:t>
      </w:r>
      <w:bookmarkEnd w:id="1601"/>
      <w:r w:rsidRPr="00C60AD1">
        <w:rPr>
          <w:b/>
        </w:rPr>
        <w:t xml:space="preserve"> OF TARIFF ORDER </w:t>
      </w:r>
      <w:r>
        <w:rPr>
          <w:b/>
        </w:rPr>
        <w:t xml:space="preserve">FOR FY 2013-14 </w:t>
      </w:r>
      <w:r w:rsidRPr="00C60AD1">
        <w:rPr>
          <w:b/>
        </w:rPr>
        <w:t>DATED MAY 31, 2013</w:t>
      </w:r>
      <w:bookmarkEnd w:id="1602"/>
      <w:bookmarkEnd w:id="1603"/>
    </w:p>
    <w:tbl>
      <w:tblPr>
        <w:tblW w:w="4975" w:type="pct"/>
        <w:tblLayout w:type="fixed"/>
        <w:tblLook w:val="04A0"/>
      </w:tblPr>
      <w:tblGrid>
        <w:gridCol w:w="637"/>
        <w:gridCol w:w="4872"/>
        <w:gridCol w:w="1620"/>
        <w:gridCol w:w="3566"/>
        <w:gridCol w:w="2415"/>
      </w:tblGrid>
      <w:tr w:rsidR="00A20C40" w:rsidRPr="00F13D2A" w:rsidTr="00A459A2">
        <w:trPr>
          <w:trHeight w:val="340"/>
          <w:tblHeader/>
        </w:trPr>
        <w:tc>
          <w:tcPr>
            <w:tcW w:w="243" w:type="pct"/>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A20C40" w:rsidRPr="00F13D2A" w:rsidRDefault="00A20C40" w:rsidP="00A459A2">
            <w:pPr>
              <w:spacing w:line="240" w:lineRule="auto"/>
              <w:jc w:val="center"/>
              <w:rPr>
                <w:rFonts w:cstheme="minorHAnsi"/>
                <w:b/>
                <w:bCs/>
                <w:color w:val="000000" w:themeColor="text1"/>
              </w:rPr>
            </w:pPr>
            <w:r w:rsidRPr="00F13D2A">
              <w:rPr>
                <w:rFonts w:cstheme="minorHAnsi"/>
                <w:b/>
                <w:bCs/>
                <w:color w:val="000000" w:themeColor="text1"/>
              </w:rPr>
              <w:t>Sl. No</w:t>
            </w:r>
          </w:p>
        </w:tc>
        <w:tc>
          <w:tcPr>
            <w:tcW w:w="1858" w:type="pct"/>
            <w:tcBorders>
              <w:top w:val="single" w:sz="4" w:space="0" w:color="auto"/>
              <w:left w:val="nil"/>
              <w:bottom w:val="single" w:sz="4" w:space="0" w:color="auto"/>
              <w:right w:val="single" w:sz="4" w:space="0" w:color="auto"/>
            </w:tcBorders>
            <w:shd w:val="clear" w:color="auto" w:fill="DBE5F1" w:themeFill="accent1" w:themeFillTint="33"/>
            <w:hideMark/>
          </w:tcPr>
          <w:p w:rsidR="00A20C40" w:rsidRPr="00F13D2A" w:rsidRDefault="00A20C40" w:rsidP="00A459A2">
            <w:pPr>
              <w:spacing w:line="240" w:lineRule="auto"/>
              <w:jc w:val="center"/>
              <w:rPr>
                <w:rFonts w:cstheme="minorHAnsi"/>
                <w:b/>
                <w:bCs/>
                <w:color w:val="000000" w:themeColor="text1"/>
              </w:rPr>
            </w:pPr>
            <w:r w:rsidRPr="00F13D2A">
              <w:rPr>
                <w:rFonts w:cstheme="minorHAnsi"/>
                <w:b/>
                <w:bCs/>
                <w:color w:val="000000" w:themeColor="text1"/>
              </w:rPr>
              <w:t>Description of Directive</w:t>
            </w:r>
          </w:p>
        </w:tc>
        <w:tc>
          <w:tcPr>
            <w:tcW w:w="618" w:type="pct"/>
            <w:tcBorders>
              <w:top w:val="single" w:sz="4" w:space="0" w:color="auto"/>
              <w:left w:val="nil"/>
              <w:bottom w:val="single" w:sz="4" w:space="0" w:color="auto"/>
              <w:right w:val="single" w:sz="4" w:space="0" w:color="auto"/>
            </w:tcBorders>
            <w:shd w:val="clear" w:color="auto" w:fill="DBE5F1" w:themeFill="accent1" w:themeFillTint="33"/>
            <w:hideMark/>
          </w:tcPr>
          <w:p w:rsidR="00A20C40" w:rsidRPr="00F13D2A" w:rsidRDefault="00A20C40" w:rsidP="00A459A2">
            <w:pPr>
              <w:spacing w:line="240" w:lineRule="auto"/>
              <w:jc w:val="center"/>
              <w:rPr>
                <w:rFonts w:cstheme="minorHAnsi"/>
                <w:b/>
                <w:bCs/>
                <w:color w:val="000000" w:themeColor="text1"/>
              </w:rPr>
            </w:pPr>
            <w:r w:rsidRPr="00F13D2A">
              <w:rPr>
                <w:rFonts w:cstheme="minorHAnsi"/>
                <w:b/>
                <w:bCs/>
                <w:color w:val="000000" w:themeColor="text1"/>
              </w:rPr>
              <w:t>Time Period for compliance from the date of issue of the Tariff Order</w:t>
            </w:r>
          </w:p>
        </w:tc>
        <w:tc>
          <w:tcPr>
            <w:tcW w:w="1360" w:type="pct"/>
            <w:tcBorders>
              <w:top w:val="single" w:sz="4" w:space="0" w:color="auto"/>
              <w:left w:val="nil"/>
              <w:bottom w:val="single" w:sz="4" w:space="0" w:color="auto"/>
              <w:right w:val="single" w:sz="4" w:space="0" w:color="auto"/>
            </w:tcBorders>
            <w:shd w:val="clear" w:color="auto" w:fill="DBE5F1" w:themeFill="accent1" w:themeFillTint="33"/>
            <w:hideMark/>
          </w:tcPr>
          <w:p w:rsidR="00A20C40" w:rsidRPr="00F13D2A" w:rsidRDefault="00A20C40" w:rsidP="00A459A2">
            <w:pPr>
              <w:spacing w:line="240" w:lineRule="auto"/>
              <w:jc w:val="center"/>
              <w:rPr>
                <w:rFonts w:cstheme="minorHAnsi"/>
                <w:b/>
                <w:bCs/>
                <w:color w:val="000000" w:themeColor="text1"/>
              </w:rPr>
            </w:pPr>
            <w:r w:rsidRPr="00F13D2A">
              <w:rPr>
                <w:rFonts w:cstheme="minorHAnsi"/>
                <w:b/>
                <w:bCs/>
                <w:color w:val="000000" w:themeColor="text1"/>
              </w:rPr>
              <w:t>Status of Compliance as submitted by Petitioner in Petition</w:t>
            </w:r>
          </w:p>
        </w:tc>
        <w:tc>
          <w:tcPr>
            <w:tcW w:w="921" w:type="pct"/>
            <w:tcBorders>
              <w:top w:val="single" w:sz="4" w:space="0" w:color="auto"/>
              <w:left w:val="nil"/>
              <w:bottom w:val="single" w:sz="4" w:space="0" w:color="auto"/>
              <w:right w:val="single" w:sz="8" w:space="0" w:color="auto"/>
            </w:tcBorders>
            <w:shd w:val="clear" w:color="auto" w:fill="DBE5F1" w:themeFill="accent1" w:themeFillTint="33"/>
            <w:hideMark/>
          </w:tcPr>
          <w:p w:rsidR="00A20C40" w:rsidRPr="00F13D2A" w:rsidRDefault="00A20C40" w:rsidP="00A459A2">
            <w:pPr>
              <w:spacing w:line="240" w:lineRule="auto"/>
              <w:jc w:val="center"/>
              <w:rPr>
                <w:rFonts w:cstheme="minorHAnsi"/>
                <w:b/>
                <w:bCs/>
                <w:color w:val="000000" w:themeColor="text1"/>
              </w:rPr>
            </w:pPr>
            <w:r w:rsidRPr="00F13D2A">
              <w:rPr>
                <w:rFonts w:cstheme="minorHAnsi"/>
                <w:b/>
                <w:bCs/>
                <w:color w:val="000000" w:themeColor="text1"/>
              </w:rPr>
              <w:t>Commission's Direction</w:t>
            </w:r>
          </w:p>
        </w:tc>
      </w:tr>
      <w:tr w:rsidR="00A20C40" w:rsidRPr="00F13D2A" w:rsidTr="00A459A2">
        <w:trPr>
          <w:trHeight w:val="159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1</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pressingly pursue the proposal for allocation of PPAs to Discoms with GoUP and expedite the process of allocation.</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Immediate</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Pr>
                <w:color w:val="000000"/>
              </w:rPr>
              <w:t>ted</w:t>
            </w:r>
            <w:r w:rsidRPr="00F13D2A">
              <w:rPr>
                <w:color w:val="000000"/>
              </w:rPr>
              <w:t xml:space="preserve"> that the process of allocation of PPAs to the Discoms has already been sent to the GoUP for notification and the matter is still pending at their level.</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 xml:space="preserve">The Licensee should pursue the matter with GoUP and complete the process at the earliest. </w:t>
            </w:r>
          </w:p>
        </w:tc>
      </w:tr>
      <w:tr w:rsidR="00A20C40" w:rsidRPr="00F13D2A" w:rsidTr="00A459A2">
        <w:trPr>
          <w:trHeight w:val="213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lastRenderedPageBreak/>
              <w:t>2</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pressingly pursue the GoUP for finalisation of the Transfer Scheme and submit a copy of the same.</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Within 3 months</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Pr>
                <w:color w:val="000000"/>
              </w:rPr>
              <w:t>ted</w:t>
            </w:r>
            <w:r w:rsidRPr="00F13D2A">
              <w:rPr>
                <w:color w:val="000000"/>
              </w:rPr>
              <w:t xml:space="preserve"> that the matter is being handled through the holding company namely UPPCL on behalf of all the Discoms which is pressingly pursuing the matter with the GoUP for the finalization of the Transfer Scheme.</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9668AE">
              <w:rPr>
                <w:color w:val="000000"/>
              </w:rPr>
              <w:t>The Commission has addressed the same in its directive f</w:t>
            </w:r>
            <w:r>
              <w:rPr>
                <w:color w:val="000000"/>
              </w:rPr>
              <w:t>or FY 2016-17</w:t>
            </w:r>
          </w:p>
        </w:tc>
      </w:tr>
      <w:tr w:rsidR="00A20C40" w:rsidRPr="00F13D2A" w:rsidTr="00A20C40">
        <w:trPr>
          <w:trHeight w:val="1520"/>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t>3</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frame an appropriate policy on capitalization of (i) employee costs, and (ii) A&amp;G expenses.</w:t>
            </w:r>
          </w:p>
          <w:p w:rsidR="00A20C40" w:rsidRPr="00F13D2A" w:rsidRDefault="00A20C40" w:rsidP="00A459A2">
            <w:pPr>
              <w:spacing w:line="240" w:lineRule="auto"/>
            </w:pPr>
          </w:p>
          <w:p w:rsidR="00A20C40" w:rsidRPr="00F13D2A" w:rsidRDefault="00A20C40" w:rsidP="00A459A2">
            <w:pPr>
              <w:spacing w:line="240" w:lineRule="auto"/>
            </w:pPr>
          </w:p>
          <w:p w:rsidR="00A20C40" w:rsidRPr="00F13D2A" w:rsidRDefault="00A20C40" w:rsidP="00A459A2">
            <w:pPr>
              <w:spacing w:line="240" w:lineRule="auto"/>
            </w:pPr>
          </w:p>
          <w:p w:rsidR="00A20C40" w:rsidRPr="00F13D2A" w:rsidRDefault="00A20C40" w:rsidP="00A459A2">
            <w:pPr>
              <w:spacing w:line="240" w:lineRule="auto"/>
            </w:pPr>
          </w:p>
          <w:p w:rsidR="00A20C40" w:rsidRPr="00F13D2A" w:rsidRDefault="00A20C40" w:rsidP="00A459A2">
            <w:pPr>
              <w:spacing w:line="240" w:lineRule="auto"/>
            </w:pPr>
          </w:p>
          <w:p w:rsidR="00A20C40" w:rsidRPr="00F13D2A" w:rsidRDefault="00A20C40" w:rsidP="00A459A2">
            <w:pPr>
              <w:spacing w:line="240" w:lineRule="auto"/>
            </w:pPr>
          </w:p>
          <w:p w:rsidR="00A20C40" w:rsidRPr="00F13D2A" w:rsidRDefault="00A20C40" w:rsidP="00A459A2">
            <w:pPr>
              <w:spacing w:line="240" w:lineRule="auto"/>
            </w:pP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Along with the petition for FY 2014-15</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 xml:space="preserve">The Petitioner’s policy on capitalization of (i) </w:t>
            </w:r>
            <w:r>
              <w:rPr>
                <w:color w:val="000000"/>
              </w:rPr>
              <w:t>E</w:t>
            </w:r>
            <w:r w:rsidRPr="00F13D2A">
              <w:rPr>
                <w:color w:val="000000"/>
              </w:rPr>
              <w:t>mployee costs, and (ii) A&amp;G expenses has been provided in the Notes on Accounts annexed with the audited accounts which is reproduced below:</w:t>
            </w:r>
            <w:r w:rsidRPr="009A172E">
              <w:rPr>
                <w:i/>
                <w:color w:val="000000"/>
              </w:rPr>
              <w:t xml:space="preserve">“Due to multiplicity of functional units as well as multiplicity of function at particular unit, employee cost and general &amp; administration </w:t>
            </w:r>
            <w:r w:rsidRPr="009A172E">
              <w:rPr>
                <w:i/>
                <w:color w:val="000000"/>
              </w:rPr>
              <w:lastRenderedPageBreak/>
              <w:t>expenses to capital works are capitalised @ 15% on distribution and deposit work, 11% on other works on the amount of total expenditure.”</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The Commission has addressed the same in its directive for FY 2016-17</w:t>
            </w:r>
            <w:r>
              <w:rPr>
                <w:color w:val="000000"/>
              </w:rPr>
              <w:t>.</w:t>
            </w:r>
          </w:p>
        </w:tc>
      </w:tr>
      <w:tr w:rsidR="00A20C40" w:rsidRPr="00F13D2A" w:rsidTr="00A459A2">
        <w:trPr>
          <w:trHeight w:val="195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lastRenderedPageBreak/>
              <w:t>4</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submit Fresh Actuarial Valuation Study Report in respect to employee expenses.</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Along with the petition for FY 2014-15</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Pr>
                <w:color w:val="000000"/>
              </w:rPr>
              <w:t>ted</w:t>
            </w:r>
            <w:r w:rsidRPr="00F13D2A">
              <w:rPr>
                <w:color w:val="000000"/>
              </w:rPr>
              <w:t xml:space="preserve"> that the matter would be taken up at UPPCL level as the employees of the Licensee are not its core employees but common employees across all </w:t>
            </w:r>
            <w:r>
              <w:rPr>
                <w:color w:val="000000"/>
              </w:rPr>
              <w:t xml:space="preserve">4 </w:t>
            </w:r>
            <w:r w:rsidRPr="00F13D2A">
              <w:rPr>
                <w:color w:val="000000"/>
              </w:rPr>
              <w:t>Discoms, UPPTCL and UPPCL.</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The Commission has addressed the same in its directive for FY 2016-17</w:t>
            </w:r>
          </w:p>
        </w:tc>
      </w:tr>
      <w:tr w:rsidR="00A20C40" w:rsidRPr="00F13D2A" w:rsidTr="00A459A2">
        <w:trPr>
          <w:trHeight w:val="85"/>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t>5</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 xml:space="preserve">As lack of approved transparent policy on identifying and writing off bad debts is hindering allowance of bad debts as an ARR component; the Commission directs the Licensee to submit ten sample cases of LT &amp; HT consumers where </w:t>
            </w:r>
            <w:r>
              <w:rPr>
                <w:color w:val="000000"/>
              </w:rPr>
              <w:t>O</w:t>
            </w:r>
            <w:r w:rsidRPr="00F13D2A">
              <w:rPr>
                <w:color w:val="000000"/>
              </w:rPr>
              <w:t xml:space="preserve">rders have been issued for writing off bad debts, </w:t>
            </w:r>
            <w:r>
              <w:rPr>
                <w:color w:val="000000"/>
              </w:rPr>
              <w:t xml:space="preserve">clearly </w:t>
            </w:r>
            <w:r w:rsidRPr="00F13D2A">
              <w:rPr>
                <w:color w:val="000000"/>
              </w:rPr>
              <w:t xml:space="preserve">depicting the </w:t>
            </w:r>
            <w:r w:rsidRPr="00F13D2A">
              <w:rPr>
                <w:color w:val="000000"/>
              </w:rPr>
              <w:lastRenderedPageBreak/>
              <w:t>procedure adopted for writing off bad debts along with policy framework for managing bad debts for the Commission’s perusal.</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Within 1 month</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Pr>
                <w:color w:val="000000"/>
              </w:rPr>
              <w:t>ted</w:t>
            </w:r>
            <w:r w:rsidRPr="00F13D2A">
              <w:rPr>
                <w:color w:val="000000"/>
              </w:rPr>
              <w:t xml:space="preserve"> that it had submitted a procedure for identifying and writing off old arrears and a copy of the same was submitted to the Commission during the proceedings in respect of ARR and Tariff Petition for FY </w:t>
            </w:r>
            <w:r w:rsidRPr="00F13D2A">
              <w:rPr>
                <w:color w:val="000000"/>
              </w:rPr>
              <w:lastRenderedPageBreak/>
              <w:t xml:space="preserve">2014-15. Appropriate directions have been issued to the field units to compile the sample cases based on such </w:t>
            </w:r>
            <w:r>
              <w:rPr>
                <w:color w:val="000000"/>
              </w:rPr>
              <w:t>O</w:t>
            </w:r>
            <w:r w:rsidRPr="00F13D2A">
              <w:rPr>
                <w:color w:val="000000"/>
              </w:rPr>
              <w:t>rder issued by the licensee.</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The Commission has addressed the same in its directive for FY 2016-17</w:t>
            </w:r>
          </w:p>
        </w:tc>
      </w:tr>
      <w:tr w:rsidR="00A20C40" w:rsidRPr="00F13D2A" w:rsidTr="00A459A2">
        <w:trPr>
          <w:trHeight w:val="168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lastRenderedPageBreak/>
              <w:t>6</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Within 4 months</w:t>
            </w:r>
          </w:p>
        </w:tc>
        <w:tc>
          <w:tcPr>
            <w:tcW w:w="1360"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currently under formulation.</w:t>
            </w:r>
          </w:p>
        </w:tc>
        <w:tc>
          <w:tcPr>
            <w:tcW w:w="921" w:type="pct"/>
            <w:tcBorders>
              <w:top w:val="nil"/>
              <w:left w:val="nil"/>
              <w:bottom w:val="single" w:sz="4" w:space="0" w:color="auto"/>
              <w:right w:val="single" w:sz="8" w:space="0" w:color="auto"/>
            </w:tcBorders>
            <w:shd w:val="clear" w:color="auto" w:fill="auto"/>
            <w:noWrap/>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 xml:space="preserve">The Petitioner should comply with the direction of </w:t>
            </w:r>
            <w:r>
              <w:rPr>
                <w:rFonts w:cstheme="minorHAnsi"/>
                <w:color w:val="000000" w:themeColor="text1"/>
              </w:rPr>
              <w:t xml:space="preserve">the </w:t>
            </w:r>
            <w:r w:rsidRPr="00F13D2A">
              <w:rPr>
                <w:rFonts w:cstheme="minorHAnsi"/>
                <w:color w:val="000000" w:themeColor="text1"/>
              </w:rPr>
              <w:t>Commission as per the time lines mentioned in the UPERC MYT, Regulations, 2014.</w:t>
            </w:r>
          </w:p>
        </w:tc>
      </w:tr>
      <w:tr w:rsidR="00A20C40" w:rsidRPr="00F13D2A" w:rsidTr="00A459A2">
        <w:trPr>
          <w:trHeight w:val="3689"/>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lastRenderedPageBreak/>
              <w:t>7</w:t>
            </w:r>
          </w:p>
        </w:tc>
        <w:tc>
          <w:tcPr>
            <w:tcW w:w="185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 xml:space="preserve">The Commission directs the Licensee to submit a long term business plan in accordance with Clause 2.1.7 of the Distribution Tariff Regulations. </w:t>
            </w:r>
          </w:p>
          <w:p w:rsidR="00A20C40" w:rsidRPr="00F13D2A" w:rsidRDefault="00A20C40" w:rsidP="00A459A2">
            <w:pPr>
              <w:spacing w:line="240" w:lineRule="auto"/>
              <w:rPr>
                <w:color w:val="000000"/>
              </w:rPr>
            </w:pPr>
            <w:r w:rsidRPr="00F13D2A">
              <w:rPr>
                <w:color w:val="000000"/>
              </w:rPr>
              <w:t>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Within 3 months</w:t>
            </w:r>
          </w:p>
        </w:tc>
        <w:tc>
          <w:tcPr>
            <w:tcW w:w="1360"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The Licensee submitted that the same would be taken up subsequent to the notification of the Multi Year Tariff Regulations which are current under formulation.</w:t>
            </w:r>
          </w:p>
        </w:tc>
        <w:tc>
          <w:tcPr>
            <w:tcW w:w="921" w:type="pct"/>
            <w:tcBorders>
              <w:top w:val="nil"/>
              <w:left w:val="nil"/>
              <w:bottom w:val="single" w:sz="4" w:space="0" w:color="auto"/>
              <w:right w:val="single" w:sz="8" w:space="0" w:color="auto"/>
            </w:tcBorders>
            <w:shd w:val="clear" w:color="auto" w:fill="auto"/>
            <w:noWrap/>
            <w:hideMark/>
          </w:tcPr>
          <w:p w:rsidR="00A20C40" w:rsidRPr="00F13D2A" w:rsidRDefault="00A20C40" w:rsidP="00A459A2">
            <w:pPr>
              <w:spacing w:line="240" w:lineRule="auto"/>
              <w:rPr>
                <w:rFonts w:cstheme="minorHAnsi"/>
                <w:color w:val="000000" w:themeColor="text1"/>
              </w:rPr>
            </w:pPr>
            <w:r w:rsidRPr="00F13D2A">
              <w:rPr>
                <w:rFonts w:cstheme="minorHAnsi"/>
                <w:color w:val="000000" w:themeColor="text1"/>
              </w:rPr>
              <w:t xml:space="preserve">The Petitioner should </w:t>
            </w:r>
            <w:r>
              <w:rPr>
                <w:rFonts w:cstheme="minorHAnsi"/>
                <w:color w:val="000000" w:themeColor="text1"/>
              </w:rPr>
              <w:t xml:space="preserve">submit the business plan for the control period as per the </w:t>
            </w:r>
            <w:r w:rsidRPr="00F13D2A">
              <w:rPr>
                <w:rFonts w:cstheme="minorHAnsi"/>
                <w:color w:val="000000" w:themeColor="text1"/>
              </w:rPr>
              <w:t xml:space="preserve">UPERC MYT, </w:t>
            </w:r>
            <w:r>
              <w:rPr>
                <w:rFonts w:cstheme="minorHAnsi"/>
                <w:color w:val="000000" w:themeColor="text1"/>
              </w:rPr>
              <w:t xml:space="preserve">Distribution Tariff </w:t>
            </w:r>
            <w:r w:rsidRPr="00F13D2A">
              <w:rPr>
                <w:rFonts w:cstheme="minorHAnsi"/>
                <w:color w:val="000000" w:themeColor="text1"/>
              </w:rPr>
              <w:t>Regulations, 2014</w:t>
            </w:r>
            <w:r>
              <w:rPr>
                <w:rFonts w:cstheme="minorHAnsi"/>
                <w:color w:val="000000" w:themeColor="text1"/>
              </w:rPr>
              <w:t xml:space="preserve"> at the earliest</w:t>
            </w:r>
            <w:r w:rsidRPr="00F13D2A">
              <w:rPr>
                <w:rFonts w:cstheme="minorHAnsi"/>
                <w:color w:val="000000" w:themeColor="text1"/>
              </w:rPr>
              <w:t>.</w:t>
            </w:r>
          </w:p>
        </w:tc>
      </w:tr>
      <w:tr w:rsidR="00A20C40" w:rsidRPr="00F13D2A" w:rsidTr="00A459A2">
        <w:trPr>
          <w:trHeight w:val="105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t>8</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 xml:space="preserve">The Commission directs the Licensee to conduct benchmarking studies to determine the desired performance standards in accordance with Clause 2.1.8 of the </w:t>
            </w:r>
            <w:r w:rsidRPr="00F13D2A">
              <w:rPr>
                <w:color w:val="000000"/>
              </w:rPr>
              <w:lastRenderedPageBreak/>
              <w:t>Distribution Tariff Regulations.</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Within 3 months</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E152C6">
              <w:rPr>
                <w:color w:val="000000"/>
              </w:rPr>
              <w:t>The Petitioner submit</w:t>
            </w:r>
            <w:r w:rsidR="00A54C20">
              <w:rPr>
                <w:color w:val="000000"/>
              </w:rPr>
              <w:t>ted</w:t>
            </w:r>
            <w:r w:rsidRPr="00E152C6">
              <w:rPr>
                <w:color w:val="000000"/>
              </w:rPr>
              <w:t xml:space="preserve"> that as per the Uttar Pradesh Electricity Regulatory Commission (Multi Year Distribution Tariff) </w:t>
            </w:r>
            <w:r w:rsidRPr="00E152C6">
              <w:rPr>
                <w:color w:val="000000"/>
              </w:rPr>
              <w:lastRenderedPageBreak/>
              <w:t>Regulations, 2014 the benchmarking studies have to be completed by 30.09.2015. Accordingly, the same would be completed in the stipulated timeframe.</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The Commission has addressed the same in its directive for FY 2016-17</w:t>
            </w:r>
          </w:p>
        </w:tc>
      </w:tr>
      <w:tr w:rsidR="00A20C40" w:rsidRPr="00F13D2A" w:rsidTr="00A20C40">
        <w:trPr>
          <w:trHeight w:val="890"/>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Pr>
                <w:color w:val="000000"/>
              </w:rPr>
              <w:lastRenderedPageBreak/>
              <w:t>9</w:t>
            </w:r>
          </w:p>
        </w:tc>
        <w:tc>
          <w:tcPr>
            <w:tcW w:w="1858" w:type="pct"/>
            <w:tcBorders>
              <w:top w:val="nil"/>
              <w:left w:val="nil"/>
              <w:bottom w:val="single" w:sz="4" w:space="0" w:color="auto"/>
              <w:right w:val="single" w:sz="4" w:space="0" w:color="auto"/>
            </w:tcBorders>
            <w:shd w:val="clear" w:color="auto" w:fill="auto"/>
            <w:hideMark/>
          </w:tcPr>
          <w:p w:rsidR="00A20C40" w:rsidRDefault="00A20C40" w:rsidP="00A459A2">
            <w:pPr>
              <w:spacing w:line="240" w:lineRule="auto"/>
              <w:rPr>
                <w:color w:val="000000"/>
              </w:rPr>
            </w:pPr>
            <w:r w:rsidRPr="00F13D2A">
              <w:rPr>
                <w:color w:val="000000"/>
              </w:rPr>
              <w:t>The Commission directs the Licensee to conduct proper loss estimate studies for assessment of technical and commercial losses under its supervision so that the Commission may set the base line losses in accordance with Clause 3.2.3 and Clause 3.2.4 of the Distribution Tariff Regulations and submit the report to the Commission.</w:t>
            </w:r>
          </w:p>
          <w:p w:rsidR="00A20C40" w:rsidRPr="00F13D2A" w:rsidRDefault="00A20C40" w:rsidP="00A459A2">
            <w:pPr>
              <w:spacing w:line="240" w:lineRule="auto"/>
              <w:rPr>
                <w:color w:val="000000"/>
              </w:rPr>
            </w:pPr>
            <w:r w:rsidRPr="00F13D2A">
              <w:rPr>
                <w:color w:val="000000"/>
              </w:rPr>
              <w:t xml:space="preserve">The study shall segregate voltage-wise distribution losses into technical loss (i.e. Ohmic/Core loss in the lines, substations and equipment) and commercial loss (i.e. unaccounted energy due to metering </w:t>
            </w:r>
            <w:r w:rsidRPr="00F13D2A">
              <w:rPr>
                <w:color w:val="000000"/>
              </w:rPr>
              <w:lastRenderedPageBreak/>
              <w:t>inaccuracies/inadequacies, pilferage of energy, improper billing, no billing, unrealized revenues etc.).</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Within 3 months</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The Petitioner should submit the same at the earliest</w:t>
            </w:r>
          </w:p>
        </w:tc>
      </w:tr>
      <w:tr w:rsidR="00A20C40" w:rsidRPr="00F13D2A" w:rsidTr="00A459A2">
        <w:trPr>
          <w:trHeight w:val="1952"/>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lastRenderedPageBreak/>
              <w:t>1</w:t>
            </w:r>
            <w:r>
              <w:rPr>
                <w:color w:val="000000"/>
              </w:rPr>
              <w:t>0</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conduct Cost of Service studies which would serve as a tool for alignment of costs and charges and submit details regarding the cost of service studies for each category or voltage level.</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Within 6 months</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PFC Consulting Ltd. has submitted a draft approach paper which is in discussion stage. Once the approach paper is finalised, the Petitioner would submit the same to the Commission.</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The Petitioner should submit the same at the earliest</w:t>
            </w:r>
          </w:p>
        </w:tc>
      </w:tr>
      <w:tr w:rsidR="00A20C40" w:rsidRPr="00F13D2A" w:rsidTr="00A459A2">
        <w:trPr>
          <w:trHeight w:val="3230"/>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5F52DC" w:rsidRDefault="00A20C40" w:rsidP="00A459A2">
            <w:pPr>
              <w:spacing w:line="240" w:lineRule="auto"/>
              <w:rPr>
                <w:color w:val="000000"/>
              </w:rPr>
            </w:pPr>
            <w:r>
              <w:rPr>
                <w:color w:val="000000"/>
              </w:rPr>
              <w:lastRenderedPageBreak/>
              <w:t>11</w:t>
            </w:r>
          </w:p>
        </w:tc>
        <w:tc>
          <w:tcPr>
            <w:tcW w:w="1858" w:type="pct"/>
            <w:tcBorders>
              <w:top w:val="nil"/>
              <w:left w:val="nil"/>
              <w:bottom w:val="single" w:sz="4" w:space="0" w:color="auto"/>
              <w:right w:val="single" w:sz="4" w:space="0" w:color="auto"/>
            </w:tcBorders>
            <w:shd w:val="clear" w:color="auto" w:fill="auto"/>
            <w:noWrap/>
            <w:hideMark/>
          </w:tcPr>
          <w:p w:rsidR="00A20C40" w:rsidRPr="005F52DC" w:rsidRDefault="00A20C40" w:rsidP="00A459A2">
            <w:pPr>
              <w:spacing w:line="240" w:lineRule="auto"/>
              <w:rPr>
                <w:color w:val="000000"/>
              </w:rPr>
            </w:pPr>
            <w:r>
              <w:rPr>
                <w:color w:val="000000"/>
              </w:rPr>
              <w:t>Commission directs the Licensee to submit a road map for 100% metering in its licensed area. However, based on the ground realities, if the Distribution Licensee seeks exemption towards its metering obligation for any particular category of consumers, it must provide the Commission revised norms specific for its supply area, based on fresh studies, for assessment of consumption for these categories. Sales forecast for un-metered categories shall be validated with norms approved by the Commission on the basis of above study carried out by the Licensee.</w:t>
            </w:r>
          </w:p>
        </w:tc>
        <w:tc>
          <w:tcPr>
            <w:tcW w:w="618" w:type="pct"/>
            <w:tcBorders>
              <w:top w:val="nil"/>
              <w:left w:val="nil"/>
              <w:bottom w:val="single" w:sz="4" w:space="0" w:color="auto"/>
              <w:right w:val="single" w:sz="4" w:space="0" w:color="auto"/>
            </w:tcBorders>
            <w:shd w:val="clear" w:color="auto" w:fill="auto"/>
            <w:hideMark/>
          </w:tcPr>
          <w:p w:rsidR="00A20C40" w:rsidRPr="005F52DC" w:rsidRDefault="00A20C40" w:rsidP="00A459A2">
            <w:pPr>
              <w:spacing w:line="240" w:lineRule="auto"/>
              <w:rPr>
                <w:color w:val="000000"/>
              </w:rPr>
            </w:pPr>
            <w:r>
              <w:rPr>
                <w:color w:val="000000"/>
              </w:rPr>
              <w:t>Within 2 months</w:t>
            </w:r>
          </w:p>
        </w:tc>
        <w:tc>
          <w:tcPr>
            <w:tcW w:w="1360" w:type="pct"/>
            <w:tcBorders>
              <w:top w:val="nil"/>
              <w:left w:val="nil"/>
              <w:bottom w:val="single" w:sz="4" w:space="0" w:color="auto"/>
              <w:right w:val="single" w:sz="4" w:space="0" w:color="auto"/>
            </w:tcBorders>
            <w:shd w:val="clear" w:color="auto" w:fill="auto"/>
            <w:noWrap/>
            <w:hideMark/>
          </w:tcPr>
          <w:p w:rsidR="00A20C40" w:rsidRPr="005F52DC" w:rsidRDefault="00A20C40" w:rsidP="00A459A2">
            <w:pPr>
              <w:spacing w:line="240" w:lineRule="auto"/>
              <w:rPr>
                <w:color w:val="000000"/>
              </w:rPr>
            </w:pPr>
            <w:r>
              <w:rPr>
                <w:color w:val="000000"/>
              </w:rPr>
              <w:t>The Petitioner submit</w:t>
            </w:r>
            <w:r w:rsidR="00A54C20">
              <w:rPr>
                <w:color w:val="000000"/>
              </w:rPr>
              <w:t>ted</w:t>
            </w:r>
            <w:r>
              <w:rPr>
                <w:color w:val="000000"/>
              </w:rPr>
              <w:t xml:space="preserve"> that as per the Uttar Pradesh Electricity Regulatory Commission (Multi Year Distribution Tariff) Regulations, 2014 the study for assessment of metered and unmetered consumers has to be completed by 30.09.2015 and 31.12.2015 respectively. Accordingly, the same would be completed in the stipulated timeframe.</w:t>
            </w:r>
          </w:p>
        </w:tc>
        <w:tc>
          <w:tcPr>
            <w:tcW w:w="921" w:type="pct"/>
            <w:tcBorders>
              <w:top w:val="nil"/>
              <w:left w:val="nil"/>
              <w:bottom w:val="single" w:sz="4" w:space="0" w:color="auto"/>
              <w:right w:val="single" w:sz="8" w:space="0" w:color="auto"/>
            </w:tcBorders>
            <w:shd w:val="clear" w:color="auto" w:fill="auto"/>
            <w:hideMark/>
          </w:tcPr>
          <w:p w:rsidR="00A20C40" w:rsidRPr="005F52DC" w:rsidRDefault="00A20C40" w:rsidP="00A459A2">
            <w:pPr>
              <w:spacing w:line="240" w:lineRule="auto"/>
              <w:rPr>
                <w:color w:val="000000"/>
              </w:rPr>
            </w:pPr>
            <w:r>
              <w:rPr>
                <w:color w:val="000000"/>
              </w:rPr>
              <w:t>The Commission has addressed the same in its directive for FY 2016-17</w:t>
            </w:r>
          </w:p>
        </w:tc>
      </w:tr>
      <w:tr w:rsidR="00A20C40" w:rsidRPr="00F13D2A" w:rsidTr="00A20C40">
        <w:trPr>
          <w:trHeight w:val="350"/>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1</w:t>
            </w:r>
            <w:r>
              <w:rPr>
                <w:color w:val="000000"/>
              </w:rPr>
              <w:t>2</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install electronic meters in the residential consumers under LMV-10 category and submit a progress report every month.</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Within one month</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sidR="00A54C20">
              <w:rPr>
                <w:color w:val="000000"/>
              </w:rPr>
              <w:t>ted</w:t>
            </w:r>
            <w:r w:rsidRPr="00F13D2A">
              <w:rPr>
                <w:color w:val="000000"/>
              </w:rPr>
              <w:t xml:space="preserve"> that Section 23 (7) of Electricity Reforms Act, 1999 provides that “terms and condition of service of the personnel shall not be less favorable to the terms and </w:t>
            </w:r>
            <w:r w:rsidRPr="00F13D2A">
              <w:rPr>
                <w:color w:val="000000"/>
              </w:rPr>
              <w:lastRenderedPageBreak/>
              <w:t>condition which were applicable to them before the transfer”.  The same spirit has been echoed under first proviso of section 133 (2) of the Electricity Act, 2003. The benefits for employees / pensioners as provided in section 12 (b) (ii) of the Uttar Pradesh Reform Transfer Scheme, 2000 include “concessional rate of electricity”, which means concession in rate of electricity to the extent it is not inferior to what was existing before 14th January, 2000.</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lastRenderedPageBreak/>
              <w:t>The Commission has addressed the same in its directive for FY 2016-17</w:t>
            </w:r>
          </w:p>
        </w:tc>
      </w:tr>
      <w:tr w:rsidR="00A20C40" w:rsidRPr="00F13D2A" w:rsidTr="00A459A2">
        <w:trPr>
          <w:trHeight w:val="1340"/>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lastRenderedPageBreak/>
              <w:t>1</w:t>
            </w:r>
            <w:r>
              <w:rPr>
                <w:color w:val="000000"/>
              </w:rPr>
              <w:t>3</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submit data related to its peak demand and off peak demand in MW along with its sales projections in accordance with Clause 3.1.4 of the Distribution Tariff Regulations.</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Along with the petition for FY 2014-15</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 </w:t>
            </w:r>
            <w:r>
              <w:rPr>
                <w:color w:val="000000"/>
              </w:rPr>
              <w:t>The Petitioner has not submitted any reply.</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The Commission has addressed the same in its directive for FY 2016-17</w:t>
            </w:r>
          </w:p>
        </w:tc>
      </w:tr>
      <w:tr w:rsidR="00A20C40" w:rsidRPr="00F13D2A" w:rsidTr="00A459A2">
        <w:trPr>
          <w:trHeight w:val="2159"/>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lastRenderedPageBreak/>
              <w:t>1</w:t>
            </w:r>
            <w:r>
              <w:rPr>
                <w:color w:val="000000"/>
              </w:rPr>
              <w:t>4</w:t>
            </w:r>
          </w:p>
        </w:tc>
        <w:tc>
          <w:tcPr>
            <w:tcW w:w="1858"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Commission directs the Licensee to reconcile the inter-unit balances lying un-reconciled either itself or through independent chartered accountant firms.</w:t>
            </w:r>
          </w:p>
        </w:tc>
        <w:tc>
          <w:tcPr>
            <w:tcW w:w="618" w:type="pct"/>
            <w:tcBorders>
              <w:top w:val="nil"/>
              <w:left w:val="nil"/>
              <w:bottom w:val="single" w:sz="4" w:space="0" w:color="auto"/>
              <w:right w:val="single" w:sz="4" w:space="0" w:color="auto"/>
            </w:tcBorders>
            <w:shd w:val="clear" w:color="auto" w:fill="auto"/>
            <w:hideMark/>
          </w:tcPr>
          <w:p w:rsidR="00A20C40" w:rsidRPr="00F13D2A" w:rsidRDefault="00A20C40" w:rsidP="00A459A2">
            <w:pPr>
              <w:spacing w:line="240" w:lineRule="auto"/>
              <w:rPr>
                <w:color w:val="000000"/>
              </w:rPr>
            </w:pPr>
            <w:r w:rsidRPr="00F13D2A">
              <w:rPr>
                <w:color w:val="000000"/>
              </w:rPr>
              <w:t>Along with the petition for FY 2014-15</w:t>
            </w:r>
          </w:p>
        </w:tc>
        <w:tc>
          <w:tcPr>
            <w:tcW w:w="1360" w:type="pct"/>
            <w:tcBorders>
              <w:top w:val="nil"/>
              <w:left w:val="nil"/>
              <w:bottom w:val="single" w:sz="4" w:space="0" w:color="auto"/>
              <w:right w:val="single" w:sz="4" w:space="0" w:color="auto"/>
            </w:tcBorders>
            <w:shd w:val="clear" w:color="auto" w:fill="auto"/>
            <w:noWrap/>
            <w:hideMark/>
          </w:tcPr>
          <w:p w:rsidR="00A20C40" w:rsidRPr="00F13D2A" w:rsidRDefault="00A20C40" w:rsidP="00A459A2">
            <w:pPr>
              <w:spacing w:line="240" w:lineRule="auto"/>
              <w:rPr>
                <w:color w:val="000000"/>
              </w:rPr>
            </w:pPr>
            <w:r w:rsidRPr="00F13D2A">
              <w:rPr>
                <w:color w:val="000000"/>
              </w:rPr>
              <w:t>The Petitioner submit</w:t>
            </w:r>
            <w:r>
              <w:rPr>
                <w:color w:val="000000"/>
              </w:rPr>
              <w:t>ted</w:t>
            </w:r>
            <w:r w:rsidRPr="00F13D2A">
              <w:rPr>
                <w:color w:val="000000"/>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921" w:type="pct"/>
            <w:tcBorders>
              <w:top w:val="nil"/>
              <w:left w:val="nil"/>
              <w:bottom w:val="single" w:sz="4" w:space="0" w:color="auto"/>
              <w:right w:val="single" w:sz="8" w:space="0" w:color="auto"/>
            </w:tcBorders>
            <w:shd w:val="clear" w:color="auto" w:fill="auto"/>
            <w:hideMark/>
          </w:tcPr>
          <w:p w:rsidR="00A20C40" w:rsidRPr="00F13D2A" w:rsidRDefault="00A20C40" w:rsidP="00A459A2">
            <w:pPr>
              <w:spacing w:line="240" w:lineRule="auto"/>
              <w:rPr>
                <w:color w:val="000000"/>
              </w:rPr>
            </w:pPr>
            <w:r w:rsidRPr="00F13D2A">
              <w:rPr>
                <w:color w:val="000000"/>
              </w:rPr>
              <w:t>The Commission has addressed the same in its directive for FY 2016-17</w:t>
            </w:r>
          </w:p>
        </w:tc>
      </w:tr>
      <w:tr w:rsidR="00A20C40" w:rsidRPr="00F13D2A" w:rsidTr="00A459A2">
        <w:trPr>
          <w:trHeight w:val="594"/>
        </w:trPr>
        <w:tc>
          <w:tcPr>
            <w:tcW w:w="243" w:type="pct"/>
            <w:tcBorders>
              <w:top w:val="nil"/>
              <w:left w:val="single" w:sz="8" w:space="0" w:color="auto"/>
              <w:bottom w:val="single" w:sz="4" w:space="0" w:color="auto"/>
              <w:right w:val="single" w:sz="4" w:space="0" w:color="auto"/>
            </w:tcBorders>
            <w:shd w:val="clear" w:color="auto" w:fill="auto"/>
            <w:noWrap/>
            <w:hideMark/>
          </w:tcPr>
          <w:p w:rsidR="00A20C40" w:rsidRPr="005F52DC" w:rsidRDefault="00A20C40" w:rsidP="00A459A2">
            <w:pPr>
              <w:spacing w:line="240" w:lineRule="auto"/>
              <w:rPr>
                <w:color w:val="000000"/>
              </w:rPr>
            </w:pPr>
            <w:r>
              <w:rPr>
                <w:color w:val="000000"/>
              </w:rPr>
              <w:t>15</w:t>
            </w:r>
          </w:p>
        </w:tc>
        <w:tc>
          <w:tcPr>
            <w:tcW w:w="1858" w:type="pct"/>
            <w:tcBorders>
              <w:top w:val="nil"/>
              <w:left w:val="nil"/>
              <w:bottom w:val="single" w:sz="4" w:space="0" w:color="auto"/>
              <w:right w:val="single" w:sz="4" w:space="0" w:color="auto"/>
            </w:tcBorders>
            <w:shd w:val="clear" w:color="auto" w:fill="auto"/>
            <w:noWrap/>
            <w:hideMark/>
          </w:tcPr>
          <w:p w:rsidR="00A20C40" w:rsidRPr="005F52DC" w:rsidRDefault="00A20C40" w:rsidP="00A459A2">
            <w:pPr>
              <w:spacing w:line="240" w:lineRule="auto"/>
              <w:rPr>
                <w:color w:val="000000"/>
              </w:rPr>
            </w:pPr>
            <w:r>
              <w:rPr>
                <w:color w:val="000000"/>
              </w:rPr>
              <w:t>The Commission directs the Licensee to file submissions in respect of FPPCA in a timely and regular manner.</w:t>
            </w:r>
          </w:p>
        </w:tc>
        <w:tc>
          <w:tcPr>
            <w:tcW w:w="618" w:type="pct"/>
            <w:tcBorders>
              <w:top w:val="nil"/>
              <w:left w:val="nil"/>
              <w:bottom w:val="single" w:sz="4" w:space="0" w:color="auto"/>
              <w:right w:val="single" w:sz="4" w:space="0" w:color="auto"/>
            </w:tcBorders>
            <w:shd w:val="clear" w:color="auto" w:fill="auto"/>
            <w:hideMark/>
          </w:tcPr>
          <w:p w:rsidR="00A20C40" w:rsidRPr="005F52DC" w:rsidRDefault="00A20C40" w:rsidP="00A459A2">
            <w:pPr>
              <w:spacing w:line="240" w:lineRule="auto"/>
              <w:rPr>
                <w:color w:val="000000"/>
              </w:rPr>
            </w:pPr>
            <w:r>
              <w:rPr>
                <w:color w:val="000000"/>
              </w:rPr>
              <w:t>Every quarter as per the time frame prescribed in the Regulations</w:t>
            </w:r>
          </w:p>
        </w:tc>
        <w:tc>
          <w:tcPr>
            <w:tcW w:w="1360" w:type="pct"/>
            <w:tcBorders>
              <w:top w:val="nil"/>
              <w:left w:val="nil"/>
              <w:bottom w:val="single" w:sz="4" w:space="0" w:color="auto"/>
              <w:right w:val="single" w:sz="4" w:space="0" w:color="auto"/>
            </w:tcBorders>
            <w:shd w:val="clear" w:color="auto" w:fill="auto"/>
            <w:noWrap/>
            <w:hideMark/>
          </w:tcPr>
          <w:p w:rsidR="00A20C40" w:rsidRDefault="00A20C40" w:rsidP="00A54C20">
            <w:pPr>
              <w:spacing w:line="240" w:lineRule="auto"/>
              <w:rPr>
                <w:color w:val="000000"/>
              </w:rPr>
            </w:pPr>
            <w:r>
              <w:rPr>
                <w:color w:val="000000"/>
              </w:rPr>
              <w:t xml:space="preserve">The Petitioner </w:t>
            </w:r>
            <w:r w:rsidR="00A54C20">
              <w:rPr>
                <w:color w:val="000000"/>
              </w:rPr>
              <w:t xml:space="preserve">submitted </w:t>
            </w:r>
            <w:r>
              <w:rPr>
                <w:color w:val="000000"/>
              </w:rPr>
              <w:t>that a decision on the Petition filed towards clarification/modification of the FPPCA fo</w:t>
            </w:r>
            <w:r w:rsidRPr="004F3049">
              <w:rPr>
                <w:color w:val="000000"/>
              </w:rPr>
              <w:t xml:space="preserve">rmula is still pending with the </w:t>
            </w:r>
            <w:r>
              <w:rPr>
                <w:color w:val="000000"/>
              </w:rPr>
              <w:t>Commission. Once the final order of the Commission is issued, the Petitioner would file such submissions.</w:t>
            </w:r>
          </w:p>
        </w:tc>
        <w:tc>
          <w:tcPr>
            <w:tcW w:w="921" w:type="pct"/>
            <w:tcBorders>
              <w:top w:val="nil"/>
              <w:left w:val="nil"/>
              <w:bottom w:val="single" w:sz="4" w:space="0" w:color="auto"/>
              <w:right w:val="single" w:sz="8" w:space="0" w:color="auto"/>
            </w:tcBorders>
            <w:shd w:val="clear" w:color="auto" w:fill="auto"/>
            <w:hideMark/>
          </w:tcPr>
          <w:p w:rsidR="00A20C40" w:rsidRPr="005F52DC" w:rsidRDefault="00A20C40" w:rsidP="00A459A2">
            <w:pPr>
              <w:spacing w:line="240" w:lineRule="auto"/>
              <w:rPr>
                <w:color w:val="000000"/>
              </w:rPr>
            </w:pPr>
            <w:r>
              <w:rPr>
                <w:color w:val="000000"/>
              </w:rPr>
              <w:t>The Commission has addressed the same in its directive for FY 2016-17</w:t>
            </w:r>
          </w:p>
        </w:tc>
      </w:tr>
    </w:tbl>
    <w:p w:rsidR="00A20C40" w:rsidRDefault="00A20C40" w:rsidP="00A20C40">
      <w:pPr>
        <w:rPr>
          <w:b/>
        </w:rPr>
      </w:pPr>
    </w:p>
    <w:p w:rsidR="00A20C40" w:rsidRDefault="00A20C40" w:rsidP="00A20C40">
      <w:pPr>
        <w:rPr>
          <w:b/>
        </w:rPr>
        <w:sectPr w:rsidR="00A20C40" w:rsidSect="00A459A2">
          <w:headerReference w:type="default" r:id="rId14"/>
          <w:footerReference w:type="default" r:id="rId15"/>
          <w:pgSz w:w="15840" w:h="12240" w:orient="landscape"/>
          <w:pgMar w:top="1440" w:right="1440" w:bottom="1440" w:left="1440" w:header="720" w:footer="720" w:gutter="0"/>
          <w:cols w:space="720"/>
          <w:docGrid w:linePitch="360"/>
        </w:sectPr>
      </w:pPr>
    </w:p>
    <w:p w:rsidR="00023318" w:rsidRDefault="00A20C40" w:rsidP="00023318">
      <w:pPr>
        <w:jc w:val="center"/>
        <w:rPr>
          <w:b/>
        </w:rPr>
      </w:pPr>
      <w:bookmarkStart w:id="1604" w:name="_Toc457355663"/>
      <w:r w:rsidRPr="00C60AD1">
        <w:rPr>
          <w:b/>
        </w:rPr>
        <w:lastRenderedPageBreak/>
        <w:t xml:space="preserve">TABLE </w:t>
      </w:r>
      <w:r w:rsidR="00DA3968">
        <w:rPr>
          <w:b/>
        </w:rPr>
        <w:t>8</w:t>
      </w:r>
      <w:r w:rsidRPr="00C60AD1">
        <w:rPr>
          <w:b/>
        </w:rPr>
        <w:noBreakHyphen/>
      </w:r>
      <w:r w:rsidR="004A2D9E" w:rsidRPr="00C60AD1">
        <w:rPr>
          <w:b/>
        </w:rPr>
        <w:fldChar w:fldCharType="begin"/>
      </w:r>
      <w:r w:rsidRPr="00C60AD1">
        <w:rPr>
          <w:b/>
        </w:rPr>
        <w:instrText xml:space="preserve"> SEQ Table \* ARABIC \s 1 </w:instrText>
      </w:r>
      <w:r w:rsidR="004A2D9E" w:rsidRPr="00C60AD1">
        <w:rPr>
          <w:b/>
        </w:rPr>
        <w:fldChar w:fldCharType="separate"/>
      </w:r>
      <w:r w:rsidR="0011185B">
        <w:rPr>
          <w:b/>
          <w:noProof/>
        </w:rPr>
        <w:t>2</w:t>
      </w:r>
      <w:r w:rsidR="004A2D9E" w:rsidRPr="00C60AD1">
        <w:rPr>
          <w:b/>
        </w:rPr>
        <w:fldChar w:fldCharType="end"/>
      </w:r>
      <w:r w:rsidRPr="00C60AD1">
        <w:rPr>
          <w:b/>
        </w:rPr>
        <w:t xml:space="preserve">: STATUS OF COMPLIANCE OF DIRECTIVES OF TARIFF ORDER </w:t>
      </w:r>
      <w:r>
        <w:rPr>
          <w:b/>
        </w:rPr>
        <w:t xml:space="preserve">FOR FY 2014-15 </w:t>
      </w:r>
      <w:r w:rsidRPr="00C60AD1">
        <w:rPr>
          <w:b/>
        </w:rPr>
        <w:t>DATED OCTOBER 1, 2014</w:t>
      </w:r>
      <w:bookmarkEnd w:id="1604"/>
    </w:p>
    <w:tbl>
      <w:tblPr>
        <w:tblW w:w="14829" w:type="dxa"/>
        <w:jc w:val="center"/>
        <w:tblInd w:w="-565" w:type="dxa"/>
        <w:tblCellMar>
          <w:left w:w="115" w:type="dxa"/>
          <w:right w:w="115" w:type="dxa"/>
        </w:tblCellMar>
        <w:tblLook w:val="04A0"/>
      </w:tblPr>
      <w:tblGrid>
        <w:gridCol w:w="798"/>
        <w:gridCol w:w="3870"/>
        <w:gridCol w:w="1890"/>
        <w:gridCol w:w="6210"/>
        <w:gridCol w:w="2061"/>
      </w:tblGrid>
      <w:tr w:rsidR="00A20C40" w:rsidRPr="00835EE1" w:rsidTr="00A20C40">
        <w:trPr>
          <w:cantSplit/>
          <w:trHeight w:val="154"/>
          <w:tblHeader/>
          <w:jc w:val="center"/>
        </w:trPr>
        <w:tc>
          <w:tcPr>
            <w:tcW w:w="798"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A20C40" w:rsidRPr="00835EE1" w:rsidRDefault="00A20C40" w:rsidP="00A459A2">
            <w:pPr>
              <w:spacing w:line="240" w:lineRule="auto"/>
              <w:jc w:val="center"/>
              <w:rPr>
                <w:rFonts w:cstheme="minorHAnsi"/>
                <w:b/>
                <w:bCs/>
                <w:color w:val="000000" w:themeColor="text1"/>
              </w:rPr>
            </w:pPr>
            <w:r w:rsidRPr="00835EE1">
              <w:rPr>
                <w:rFonts w:cstheme="minorHAnsi"/>
                <w:b/>
                <w:bCs/>
                <w:color w:val="000000" w:themeColor="text1"/>
              </w:rPr>
              <w:t>Sl. No</w:t>
            </w:r>
          </w:p>
        </w:tc>
        <w:tc>
          <w:tcPr>
            <w:tcW w:w="3870" w:type="dxa"/>
            <w:tcBorders>
              <w:top w:val="single" w:sz="4" w:space="0" w:color="auto"/>
              <w:left w:val="nil"/>
              <w:bottom w:val="single" w:sz="4" w:space="0" w:color="auto"/>
              <w:right w:val="single" w:sz="4" w:space="0" w:color="auto"/>
            </w:tcBorders>
            <w:shd w:val="clear" w:color="auto" w:fill="DBE5F1" w:themeFill="accent1" w:themeFillTint="33"/>
            <w:hideMark/>
          </w:tcPr>
          <w:p w:rsidR="00A20C40" w:rsidRPr="00835EE1" w:rsidRDefault="00A20C40" w:rsidP="00A459A2">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890" w:type="dxa"/>
            <w:tcBorders>
              <w:top w:val="single" w:sz="4" w:space="0" w:color="auto"/>
              <w:left w:val="nil"/>
              <w:bottom w:val="single" w:sz="4" w:space="0" w:color="auto"/>
              <w:right w:val="single" w:sz="4" w:space="0" w:color="auto"/>
            </w:tcBorders>
            <w:shd w:val="clear" w:color="auto" w:fill="DBE5F1" w:themeFill="accent1" w:themeFillTint="33"/>
            <w:hideMark/>
          </w:tcPr>
          <w:p w:rsidR="00A20C40" w:rsidRPr="00835EE1" w:rsidRDefault="00A20C40" w:rsidP="00A459A2">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6210" w:type="dxa"/>
            <w:tcBorders>
              <w:top w:val="single" w:sz="4" w:space="0" w:color="auto"/>
              <w:left w:val="nil"/>
              <w:bottom w:val="single" w:sz="4" w:space="0" w:color="auto"/>
              <w:right w:val="single" w:sz="4" w:space="0" w:color="auto"/>
            </w:tcBorders>
            <w:shd w:val="clear" w:color="auto" w:fill="DBE5F1" w:themeFill="accent1" w:themeFillTint="33"/>
            <w:hideMark/>
          </w:tcPr>
          <w:p w:rsidR="00A20C40" w:rsidRPr="00835EE1" w:rsidRDefault="00A20C40" w:rsidP="00A459A2">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061" w:type="dxa"/>
            <w:tcBorders>
              <w:top w:val="single" w:sz="4" w:space="0" w:color="auto"/>
              <w:left w:val="nil"/>
              <w:bottom w:val="single" w:sz="4" w:space="0" w:color="auto"/>
              <w:right w:val="single" w:sz="8" w:space="0" w:color="auto"/>
            </w:tcBorders>
            <w:shd w:val="clear" w:color="auto" w:fill="DBE5F1" w:themeFill="accent1" w:themeFillTint="33"/>
            <w:hideMark/>
          </w:tcPr>
          <w:p w:rsidR="00A20C40" w:rsidRPr="00835EE1" w:rsidRDefault="00A20C40" w:rsidP="00A459A2">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t>1</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Licensee are directed to arrange for quarterly meetings between the MDs of the Licensees and the consumer representatives for solving various grievances of the consumers and submit a status report containing details of such meetings along with the next ARR filing.</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Petitioner submit</w:t>
            </w:r>
            <w:r w:rsidR="00A54C20">
              <w:rPr>
                <w:rFonts w:cstheme="minorHAnsi"/>
                <w:color w:val="000000" w:themeColor="text1"/>
              </w:rPr>
              <w:t>ted</w:t>
            </w:r>
            <w:r>
              <w:rPr>
                <w:rFonts w:cstheme="minorHAnsi"/>
                <w:color w:val="000000" w:themeColor="text1"/>
              </w:rPr>
              <w:t xml:space="preserve"> that the Tariff Order for FY 2014-15 was issued only recently. A status report for the quarter Oct-Dec and Jan-March would be submitted after the financial year-end in the month of April 2015.</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 xml:space="preserve">The Licensee should submit status report on quarterly meetings for </w:t>
            </w:r>
            <w:r w:rsidRPr="004F3049">
              <w:rPr>
                <w:rFonts w:cstheme="minorHAnsi"/>
                <w:color w:val="000000" w:themeColor="text1"/>
              </w:rPr>
              <w:t xml:space="preserve">FY 2014-15 &amp; </w:t>
            </w:r>
            <w:r>
              <w:rPr>
                <w:rFonts w:cstheme="minorHAnsi"/>
                <w:color w:val="000000" w:themeColor="text1"/>
              </w:rPr>
              <w:t>FY 2015-16 at the earliest.</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3</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regards the various complaints of the stakeholders brought to the notice of the Commission during public hearing, the Licensee is directed to look into the matters and take appropriate action on the same. Further, the Licensee must ensure that proper advertising regarding CGRF is done to bring awareness amongst the consumers. The chairperson of the CGRF should also be part of such public hearings so that a direct interaction may take place and the grievances of the consumers could be settled in a more appropriate manner</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has noted the directions of the Commission and a constructive approach towards prompt address and disposal of consumer grievances is always adopted to the best satisfaction of consumers. The Petitioner also welcomes the suggestion of the Commission towards proper advertising of the CGRFs and is working towards it.</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submit the advertisement given regarding CGRF to bring awareness amongst the consumers at the earliest</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4</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To provide accurate and effective consumption norms, the Commission directs the Petitioners to conduct a detailed study which should include all the relevant details pointed out by the Commission.</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Within 6 months from issue of this Order</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54C20">
            <w:pPr>
              <w:spacing w:line="240" w:lineRule="auto"/>
              <w:rPr>
                <w:rFonts w:cstheme="minorHAnsi"/>
                <w:color w:val="000000" w:themeColor="text1"/>
              </w:rPr>
            </w:pPr>
            <w:r>
              <w:rPr>
                <w:rFonts w:cstheme="minorHAnsi"/>
                <w:color w:val="000000" w:themeColor="text1"/>
              </w:rPr>
              <w:t>The Petitioner submit</w:t>
            </w:r>
            <w:r w:rsidR="00A54C20">
              <w:rPr>
                <w:rFonts w:cstheme="minorHAnsi"/>
                <w:color w:val="000000" w:themeColor="text1"/>
              </w:rPr>
              <w:t>ted</w:t>
            </w:r>
            <w:r>
              <w:rPr>
                <w:rFonts w:cstheme="minorHAnsi"/>
                <w:color w:val="000000" w:themeColor="text1"/>
              </w:rPr>
              <w:t xml:space="preserve"> that as per the Uttar Pradesh Electricity Regulatory Commission (Multi Year Distribution Tariff) Regulations, 2014 the study for assessment of metered and unmetered consumers has to be completed by 30.09.2015 and 31.12.2015 respectively. Accordingly, the same would be completed in the stipulated timeframe..</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t>5</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3 months from issue of this Order</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Petitioner submitted that the licensee is endeavoring to comply with the targets set by the Commission in terms of metering. The roadmap for 100% metering has already been given by the Commission, which shall be complied with.</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A20C40" w:rsidRPr="00835EE1" w:rsidTr="00A20C40">
        <w:trPr>
          <w:cantSplit/>
          <w:trHeight w:val="2393"/>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6</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sidRPr="004F3049">
              <w:rPr>
                <w:rFonts w:asciiTheme="minorHAnsi" w:hAnsiTheme="minorHAnsi" w:cstheme="minorHAnsi"/>
                <w:color w:val="000000" w:themeColor="text1"/>
              </w:rPr>
              <w:t>The Commission directs the Petitioner to ensure to convert all the 18 consumers under LMV-3 category into metered connections within one month of the issue of this Order failing which the Commission will resort to take stringent action against the Petitioner.</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sidRPr="004F3049">
              <w:rPr>
                <w:rFonts w:asciiTheme="minorHAnsi" w:hAnsiTheme="minorHAnsi" w:cstheme="minorHAnsi"/>
                <w:color w:val="000000" w:themeColor="text1"/>
              </w:rPr>
              <w:t>Within one month from issue of this Order</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sidRPr="004F3049">
              <w:rPr>
                <w:rFonts w:asciiTheme="minorHAnsi" w:hAnsiTheme="minorHAnsi" w:cstheme="minorHAnsi"/>
                <w:color w:val="000000" w:themeColor="text1"/>
              </w:rPr>
              <w:t>The Petitioner has noted the directions of t</w:t>
            </w:r>
            <w:r w:rsidRPr="004F3049">
              <w:rPr>
                <w:rFonts w:cstheme="minorHAnsi"/>
                <w:color w:val="000000" w:themeColor="text1"/>
              </w:rPr>
              <w:t>he</w:t>
            </w:r>
            <w:r w:rsidRPr="004F3049">
              <w:rPr>
                <w:rFonts w:asciiTheme="minorHAnsi" w:hAnsiTheme="minorHAnsi" w:cstheme="minorHAnsi"/>
                <w:color w:val="000000" w:themeColor="text1"/>
              </w:rPr>
              <w:t xml:space="preserve"> Commission and is taking various steps convert all the 18 consumers under LMV-3 category into metered.</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 xml:space="preserve">The Petitioner should convert all the </w:t>
            </w:r>
            <w:r w:rsidRPr="004F3049">
              <w:rPr>
                <w:rFonts w:asciiTheme="minorHAnsi" w:hAnsiTheme="minorHAnsi" w:cstheme="minorHAnsi"/>
                <w:color w:val="000000" w:themeColor="text1"/>
              </w:rPr>
              <w:t>consumers under LMV-3 category into metered connections</w:t>
            </w:r>
            <w:r>
              <w:rPr>
                <w:rFonts w:cstheme="minorHAnsi"/>
                <w:color w:val="000000" w:themeColor="text1"/>
              </w:rPr>
              <w:t xml:space="preserve"> at the earliest. </w:t>
            </w:r>
          </w:p>
          <w:p w:rsidR="00A20C40" w:rsidRPr="00697D2C" w:rsidRDefault="00A20C40" w:rsidP="00A459A2">
            <w:pPr>
              <w:spacing w:line="240" w:lineRule="auto"/>
              <w:rPr>
                <w:rFonts w:cstheme="minorHAnsi"/>
                <w:color w:val="000000" w:themeColor="text1"/>
              </w:rPr>
            </w:pP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sidRPr="004F3049">
              <w:rPr>
                <w:rFonts w:cstheme="minorHAnsi"/>
                <w:color w:val="000000" w:themeColor="text1"/>
              </w:rPr>
              <w:lastRenderedPageBreak/>
              <w:t>7</w:t>
            </w:r>
          </w:p>
        </w:tc>
        <w:tc>
          <w:tcPr>
            <w:tcW w:w="3870" w:type="dxa"/>
            <w:tcBorders>
              <w:top w:val="nil"/>
              <w:left w:val="nil"/>
              <w:bottom w:val="single" w:sz="4" w:space="0" w:color="auto"/>
              <w:right w:val="single" w:sz="4" w:space="0" w:color="auto"/>
            </w:tcBorders>
            <w:shd w:val="clear" w:color="auto" w:fill="auto"/>
            <w:noWrap/>
            <w:vAlign w:val="center"/>
            <w:hideMark/>
          </w:tcPr>
          <w:p w:rsidR="00A20C40" w:rsidRPr="00697D2C" w:rsidRDefault="00A20C40" w:rsidP="00A459A2">
            <w:pPr>
              <w:spacing w:line="240" w:lineRule="auto"/>
              <w:rPr>
                <w:rFonts w:cstheme="minorHAnsi"/>
                <w:color w:val="000000" w:themeColor="text1"/>
              </w:rPr>
            </w:pPr>
            <w:r>
              <w:rPr>
                <w:color w:val="000000"/>
              </w:rPr>
              <w:t>As regards the observed uncertainty in the billing determinants for LMV-10 category, the Commission directs the Petitioner to provide detailed explanation in this regards along</w:t>
            </w:r>
            <w:r w:rsidRPr="004F3049">
              <w:rPr>
                <w:color w:val="000000"/>
              </w:rPr>
              <w:t xml:space="preserve"> </w:t>
            </w:r>
            <w:r>
              <w:rPr>
                <w:color w:val="000000"/>
              </w:rPr>
              <w:t>with all the necessary supporting documents for verification of such data while filing for Truing-up of FY 2012-13. However, for the purpose of the present Order the Commission has accepted the Petitioner’s submission regarding the consumption parameters for FY 2012-13.</w:t>
            </w:r>
          </w:p>
        </w:tc>
        <w:tc>
          <w:tcPr>
            <w:tcW w:w="1890" w:type="dxa"/>
            <w:tcBorders>
              <w:top w:val="nil"/>
              <w:left w:val="nil"/>
              <w:bottom w:val="single" w:sz="4" w:space="0" w:color="auto"/>
              <w:right w:val="single" w:sz="4" w:space="0" w:color="auto"/>
            </w:tcBorders>
            <w:shd w:val="clear" w:color="auto" w:fill="auto"/>
            <w:vAlign w:val="center"/>
            <w:hideMark/>
          </w:tcPr>
          <w:p w:rsidR="00A20C40" w:rsidRPr="00697D2C" w:rsidRDefault="00A20C40" w:rsidP="00A459A2">
            <w:pPr>
              <w:spacing w:line="240" w:lineRule="auto"/>
              <w:rPr>
                <w:rFonts w:cstheme="minorHAnsi"/>
                <w:color w:val="000000" w:themeColor="text1"/>
              </w:rPr>
            </w:pPr>
            <w:r>
              <w:rPr>
                <w:color w:val="000000"/>
              </w:rPr>
              <w:t>Next ARR filing</w:t>
            </w:r>
          </w:p>
        </w:tc>
        <w:tc>
          <w:tcPr>
            <w:tcW w:w="6210" w:type="dxa"/>
            <w:tcBorders>
              <w:top w:val="nil"/>
              <w:left w:val="nil"/>
              <w:bottom w:val="single" w:sz="4" w:space="0" w:color="auto"/>
              <w:right w:val="single" w:sz="4" w:space="0" w:color="auto"/>
            </w:tcBorders>
            <w:shd w:val="clear" w:color="auto" w:fill="auto"/>
            <w:hideMark/>
          </w:tcPr>
          <w:p w:rsidR="00A20C40" w:rsidRDefault="00A20C40" w:rsidP="00A459A2">
            <w:pPr>
              <w:spacing w:line="240" w:lineRule="auto"/>
              <w:rPr>
                <w:rFonts w:cstheme="minorHAnsi"/>
                <w:color w:val="000000" w:themeColor="text1"/>
              </w:rPr>
            </w:pPr>
            <w:r>
              <w:rPr>
                <w:color w:val="000000"/>
              </w:rPr>
              <w:t>The Petitioner has noted the directions of the Commission. The detailed explanation in this regards along</w:t>
            </w:r>
            <w:r w:rsidRPr="004F3049">
              <w:rPr>
                <w:color w:val="000000"/>
              </w:rPr>
              <w:t xml:space="preserve"> </w:t>
            </w:r>
            <w:r>
              <w:rPr>
                <w:color w:val="000000"/>
              </w:rPr>
              <w:t>with all the necessary supporting documents is under preparation and will be submitted before the commission as the earliest.</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color w:val="000000"/>
              </w:rPr>
              <w:t>The Petitioner should expedite the process and submit the detailed explanation as per the directions of the Commission at the earliest.</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8</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Distribution Licensees to formulate a mechanism so as to make their officials accountable by providing incentives or disincentives for achievement or non-achievement of the distribution loss and the collection efficiency targets. The Policy should include all the relevant details pointed out by the Commission in this Order</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2 months from the issue of this Order</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54C20">
            <w:pPr>
              <w:spacing w:line="240" w:lineRule="auto"/>
              <w:rPr>
                <w:rFonts w:cstheme="minorHAnsi"/>
                <w:color w:val="000000" w:themeColor="text1"/>
              </w:rPr>
            </w:pPr>
            <w:r>
              <w:rPr>
                <w:rFonts w:cstheme="minorHAnsi"/>
                <w:color w:val="000000" w:themeColor="text1"/>
              </w:rPr>
              <w:t xml:space="preserve">The Petitioner </w:t>
            </w:r>
            <w:r w:rsidR="00A54C20">
              <w:rPr>
                <w:rFonts w:cstheme="minorHAnsi"/>
                <w:color w:val="000000" w:themeColor="text1"/>
              </w:rPr>
              <w:t>requested</w:t>
            </w:r>
            <w:r w:rsidR="00A54C20" w:rsidRPr="0003037E">
              <w:rPr>
                <w:rFonts w:cstheme="minorHAnsi"/>
                <w:color w:val="000000" w:themeColor="text1"/>
              </w:rPr>
              <w:t xml:space="preserve"> </w:t>
            </w:r>
            <w:r w:rsidRPr="0003037E">
              <w:rPr>
                <w:rFonts w:cstheme="minorHAnsi"/>
                <w:color w:val="000000" w:themeColor="text1"/>
              </w:rPr>
              <w:t>some more time to comply wi</w:t>
            </w:r>
            <w:r>
              <w:rPr>
                <w:rFonts w:cstheme="minorHAnsi"/>
                <w:color w:val="000000" w:themeColor="text1"/>
              </w:rPr>
              <w:t>th the directives of the</w:t>
            </w:r>
            <w:r w:rsidRPr="0003037E">
              <w:rPr>
                <w:rFonts w:cstheme="minorHAnsi"/>
                <w:color w:val="000000" w:themeColor="text1"/>
              </w:rPr>
              <w:t xml:space="preserve"> Commission. However presently monthly review meetings are been conducted in the form of teleconference wherein the progress for each division is been monitored</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9</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 within 2 months from the date of this Order.</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2 months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10</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As regards timely filing of FPPCA the Commission once again directs the Licensee that they should file FPPCA in a timely and regular manner in accordance with the Distribution Tariff Regulations, 2006 failing which the Commission may have to resort to take strict action against the Licensees.</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Petitioner submitted that a decision on the Petition filed towards clarification/ modification of the FPPCA formula is still pending with the Commission. Once the final order of the Commission is issued, the Petitioner would file such submissions.</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697D2C" w:rsidRDefault="00A20C40" w:rsidP="00A459A2">
            <w:pPr>
              <w:tabs>
                <w:tab w:val="center" w:pos="132"/>
              </w:tabs>
              <w:spacing w:line="240" w:lineRule="auto"/>
              <w:rPr>
                <w:rFonts w:cstheme="minorHAnsi"/>
                <w:color w:val="000000" w:themeColor="text1"/>
              </w:rPr>
            </w:pPr>
            <w:r>
              <w:rPr>
                <w:rFonts w:cstheme="minorHAnsi"/>
                <w:color w:val="000000" w:themeColor="text1"/>
              </w:rPr>
              <w:t>11</w:t>
            </w:r>
          </w:p>
        </w:tc>
        <w:tc>
          <w:tcPr>
            <w:tcW w:w="3870" w:type="dxa"/>
            <w:tcBorders>
              <w:top w:val="nil"/>
              <w:left w:val="nil"/>
              <w:bottom w:val="single" w:sz="4" w:space="0" w:color="auto"/>
              <w:right w:val="single" w:sz="4" w:space="0" w:color="auto"/>
            </w:tcBorders>
            <w:shd w:val="clear" w:color="auto" w:fill="auto"/>
            <w:noWrap/>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As regards the increasing number of unmetered consumers the Commission accords a final opportunity to the Distribution Licensee and directs them to ensure that all their unmetered consumers get converted into metered connection.</w:t>
            </w:r>
          </w:p>
        </w:tc>
        <w:tc>
          <w:tcPr>
            <w:tcW w:w="189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By 31st March, 2015</w:t>
            </w:r>
          </w:p>
        </w:tc>
        <w:tc>
          <w:tcPr>
            <w:tcW w:w="6210" w:type="dxa"/>
            <w:tcBorders>
              <w:top w:val="nil"/>
              <w:left w:val="nil"/>
              <w:bottom w:val="single" w:sz="4" w:space="0" w:color="auto"/>
              <w:right w:val="single" w:sz="4" w:space="0" w:color="auto"/>
            </w:tcBorders>
            <w:shd w:val="clear" w:color="auto" w:fill="auto"/>
            <w:hideMark/>
          </w:tcPr>
          <w:p w:rsidR="00A20C40" w:rsidRPr="00697D2C" w:rsidRDefault="00A20C40" w:rsidP="00A459A2">
            <w:pPr>
              <w:spacing w:line="240" w:lineRule="auto"/>
              <w:rPr>
                <w:rFonts w:cstheme="minorHAnsi"/>
                <w:color w:val="000000" w:themeColor="text1"/>
              </w:rPr>
            </w:pPr>
            <w:r>
              <w:rPr>
                <w:rFonts w:cstheme="minorHAnsi"/>
                <w:color w:val="000000" w:themeColor="text1"/>
              </w:rPr>
              <w:t>The Petitioner submitted that it is committed to the target set by the Commission in the Tariff Order for FY 2014-15 towards metering of consumers and is working towards it.</w:t>
            </w:r>
          </w:p>
        </w:tc>
        <w:tc>
          <w:tcPr>
            <w:tcW w:w="2061" w:type="dxa"/>
            <w:tcBorders>
              <w:top w:val="nil"/>
              <w:left w:val="nil"/>
              <w:bottom w:val="single" w:sz="4" w:space="0" w:color="auto"/>
              <w:right w:val="single" w:sz="8" w:space="0" w:color="auto"/>
            </w:tcBorders>
            <w:shd w:val="clear" w:color="auto" w:fill="auto"/>
            <w:hideMark/>
          </w:tcPr>
          <w:p w:rsidR="00A20C40" w:rsidRPr="00697D2C" w:rsidRDefault="00A20C40" w:rsidP="00A459A2">
            <w:pPr>
              <w:spacing w:line="240" w:lineRule="auto"/>
              <w:rPr>
                <w:rFonts w:cstheme="minorHAnsi"/>
                <w:color w:val="000000" w:themeColor="text1"/>
              </w:rPr>
            </w:pPr>
            <w:r w:rsidRPr="00697D2C">
              <w:rPr>
                <w:rFonts w:cstheme="minorHAnsi"/>
                <w:color w:val="000000" w:themeColor="text1"/>
              </w:rPr>
              <w:t>The Commission has addressed the same in its directive for FY 2016-17</w:t>
            </w:r>
            <w:r>
              <w:rPr>
                <w:rFonts w:cstheme="minorHAnsi"/>
                <w:color w:val="000000" w:themeColor="text1"/>
              </w:rPr>
              <w:t>.</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12</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Next ARR filing</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Wherever feasible (both technical and economical), the Petitioner is complying with the provisions of the Supply Code.</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has addressed the same in its directive for </w:t>
            </w:r>
            <w:r>
              <w:rPr>
                <w:rFonts w:cstheme="minorHAnsi"/>
                <w:color w:val="000000" w:themeColor="text1"/>
              </w:rPr>
              <w:t>FY 2015-16.</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13</w:t>
            </w: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w:t>
            </w:r>
            <w:r>
              <w:rPr>
                <w:rFonts w:cstheme="minorHAnsi"/>
                <w:color w:val="000000" w:themeColor="text1"/>
              </w:rPr>
              <w:t xml:space="preserve"> is </w:t>
            </w:r>
            <w:r w:rsidRPr="00835EE1">
              <w:rPr>
                <w:rFonts w:cstheme="minorHAnsi"/>
                <w:color w:val="000000" w:themeColor="text1"/>
              </w:rPr>
              <w:t>directed to provide the monthly MRI reports to all the applicable consumers through email. The consumers would be required to register their email to the Licensee and submit the status report on the same along with next ARR filing</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MRI reports are being provided to the consumers. However, the possibilities of sending the same by email are being explored by the Petitioner.</w:t>
            </w: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must expedite the process to comply with the direction given by the Commission and submit the compliance of the same at the earliest.</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0508C7"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3870" w:type="dxa"/>
            <w:tcBorders>
              <w:top w:val="nil"/>
              <w:left w:val="nil"/>
              <w:bottom w:val="single" w:sz="4" w:space="0" w:color="auto"/>
              <w:right w:val="single" w:sz="4" w:space="0" w:color="auto"/>
            </w:tcBorders>
            <w:shd w:val="clear" w:color="auto" w:fill="auto"/>
            <w:noWrap/>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890" w:type="dxa"/>
            <w:tcBorders>
              <w:top w:val="nil"/>
              <w:left w:val="nil"/>
              <w:bottom w:val="single" w:sz="4" w:space="0" w:color="auto"/>
              <w:right w:val="single" w:sz="4" w:space="0" w:color="auto"/>
            </w:tcBorders>
            <w:shd w:val="clear" w:color="auto" w:fill="auto"/>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1 month from the date of issuance of this Order</w:t>
            </w:r>
          </w:p>
        </w:tc>
        <w:tc>
          <w:tcPr>
            <w:tcW w:w="6210" w:type="dxa"/>
            <w:tcBorders>
              <w:top w:val="nil"/>
              <w:left w:val="nil"/>
              <w:bottom w:val="single" w:sz="4" w:space="0" w:color="auto"/>
              <w:right w:val="single" w:sz="4" w:space="0" w:color="auto"/>
            </w:tcBorders>
            <w:shd w:val="clear" w:color="auto" w:fill="auto"/>
            <w:hideMark/>
          </w:tcPr>
          <w:p w:rsidR="00A20C40" w:rsidRDefault="00A20C40" w:rsidP="00A459A2">
            <w:pPr>
              <w:spacing w:line="240" w:lineRule="auto"/>
              <w:rPr>
                <w:rFonts w:cstheme="minorHAnsi"/>
                <w:color w:val="000000" w:themeColor="text1"/>
              </w:rPr>
            </w:pPr>
            <w:r>
              <w:rPr>
                <w:rFonts w:cstheme="minorHAnsi"/>
                <w:color w:val="000000" w:themeColor="text1"/>
              </w:rPr>
              <w:t>The Petitioner submit</w:t>
            </w:r>
            <w:r w:rsidR="00A54C20">
              <w:rPr>
                <w:rFonts w:cstheme="minorHAnsi"/>
                <w:color w:val="000000" w:themeColor="text1"/>
              </w:rPr>
              <w:t>ted</w:t>
            </w:r>
            <w:r>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w:t>
            </w:r>
            <w:r>
              <w:rPr>
                <w:rFonts w:cstheme="minorHAnsi"/>
                <w:color w:val="000000" w:themeColor="text1"/>
              </w:rPr>
              <w:br/>
              <w:t xml:space="preserve">However, given the directive by the Commission, the Petitioner has instructed the field units to compile such information. The information made available by the field units would be compiled at the zonal level and then zonal accounts would be compiled at the corporate level. </w:t>
            </w:r>
            <w:r>
              <w:rPr>
                <w:rFonts w:cstheme="minorHAnsi"/>
                <w:color w:val="000000" w:themeColor="text1"/>
              </w:rPr>
              <w:br/>
              <w:t>Given the complexity of this task, the Petitioner seeks waiver from immediate submission of this information.</w:t>
            </w:r>
          </w:p>
        </w:tc>
        <w:tc>
          <w:tcPr>
            <w:tcW w:w="2061" w:type="dxa"/>
            <w:tcBorders>
              <w:top w:val="nil"/>
              <w:left w:val="nil"/>
              <w:bottom w:val="single" w:sz="4" w:space="0" w:color="auto"/>
              <w:right w:val="single" w:sz="8" w:space="0" w:color="auto"/>
            </w:tcBorders>
            <w:shd w:val="clear" w:color="auto" w:fill="auto"/>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2015-16</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0508C7"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15</w:t>
            </w:r>
          </w:p>
        </w:tc>
        <w:tc>
          <w:tcPr>
            <w:tcW w:w="3870" w:type="dxa"/>
            <w:tcBorders>
              <w:top w:val="nil"/>
              <w:left w:val="nil"/>
              <w:bottom w:val="single" w:sz="4" w:space="0" w:color="auto"/>
              <w:right w:val="single" w:sz="4" w:space="0" w:color="auto"/>
            </w:tcBorders>
            <w:shd w:val="clear" w:color="auto" w:fill="auto"/>
            <w:noWrap/>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The Licensee is directed to submit a note detailing the area-wise actual number of supply hours provided to rural areas by the end of FY 2014-15.</w:t>
            </w:r>
          </w:p>
        </w:tc>
        <w:tc>
          <w:tcPr>
            <w:tcW w:w="1890" w:type="dxa"/>
            <w:tcBorders>
              <w:top w:val="nil"/>
              <w:left w:val="nil"/>
              <w:bottom w:val="single" w:sz="4" w:space="0" w:color="auto"/>
              <w:right w:val="single" w:sz="4" w:space="0" w:color="auto"/>
            </w:tcBorders>
            <w:shd w:val="clear" w:color="auto" w:fill="auto"/>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By end of FY 2014-15</w:t>
            </w:r>
          </w:p>
        </w:tc>
        <w:tc>
          <w:tcPr>
            <w:tcW w:w="6210" w:type="dxa"/>
            <w:tcBorders>
              <w:top w:val="nil"/>
              <w:left w:val="nil"/>
              <w:bottom w:val="single" w:sz="4" w:space="0" w:color="auto"/>
              <w:right w:val="single" w:sz="4" w:space="0" w:color="auto"/>
            </w:tcBorders>
            <w:shd w:val="clear" w:color="auto" w:fill="auto"/>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The details would be submitted at the end of the financial year as per the stipulated time period.</w:t>
            </w:r>
          </w:p>
        </w:tc>
        <w:tc>
          <w:tcPr>
            <w:tcW w:w="2061" w:type="dxa"/>
            <w:tcBorders>
              <w:top w:val="nil"/>
              <w:left w:val="nil"/>
              <w:bottom w:val="single" w:sz="4" w:space="0" w:color="auto"/>
              <w:right w:val="single" w:sz="8" w:space="0" w:color="auto"/>
            </w:tcBorders>
            <w:shd w:val="clear" w:color="auto" w:fill="auto"/>
            <w:hideMark/>
          </w:tcPr>
          <w:p w:rsidR="00A20C40" w:rsidRPr="000508C7"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2015-16</w:t>
            </w:r>
          </w:p>
        </w:tc>
      </w:tr>
      <w:tr w:rsidR="00A20C40" w:rsidRPr="0039078C" w:rsidTr="00A20C40">
        <w:trPr>
          <w:cantSplit/>
          <w:trHeight w:val="2672"/>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0508C7" w:rsidRDefault="00A20C40" w:rsidP="00A459A2">
            <w:pPr>
              <w:tabs>
                <w:tab w:val="center" w:pos="132"/>
              </w:tabs>
              <w:spacing w:line="240" w:lineRule="auto"/>
              <w:rPr>
                <w:rFonts w:cstheme="minorHAnsi"/>
                <w:color w:val="000000" w:themeColor="text1"/>
              </w:rPr>
            </w:pPr>
            <w:r>
              <w:rPr>
                <w:rFonts w:cstheme="minorHAnsi"/>
                <w:color w:val="000000" w:themeColor="text1"/>
              </w:rPr>
              <w:t>16</w:t>
            </w:r>
          </w:p>
        </w:tc>
        <w:tc>
          <w:tcPr>
            <w:tcW w:w="3870" w:type="dxa"/>
            <w:tcBorders>
              <w:top w:val="nil"/>
              <w:left w:val="nil"/>
              <w:bottom w:val="single" w:sz="4" w:space="0" w:color="auto"/>
              <w:right w:val="single" w:sz="4" w:space="0" w:color="auto"/>
            </w:tcBorders>
            <w:shd w:val="clear" w:color="auto" w:fill="auto"/>
            <w:noWrap/>
            <w:hideMark/>
          </w:tcPr>
          <w:p w:rsidR="00A20C40" w:rsidRDefault="00A20C40" w:rsidP="00A459A2">
            <w:pPr>
              <w:spacing w:line="240" w:lineRule="auto"/>
              <w:rPr>
                <w:rFonts w:cstheme="minorHAnsi"/>
                <w:color w:val="000000" w:themeColor="text1"/>
              </w:rPr>
            </w:pPr>
            <w:r>
              <w:rPr>
                <w:rFonts w:cstheme="minorHAnsi"/>
                <w:color w:val="000000" w:themeColor="text1"/>
              </w:rPr>
              <w:t>The Licensee is directed to depict the Regulatory Surcharge separately and distinctly in the electricity bills of the consumers. Further, the Licensee is also directed to maintain separate accounting fields for the regulatory surcharge approved in this Order, and capture the amount collected as Regulatory Surcharges in both of its financial and commercial statements</w:t>
            </w:r>
          </w:p>
        </w:tc>
        <w:tc>
          <w:tcPr>
            <w:tcW w:w="1890" w:type="dxa"/>
            <w:tcBorders>
              <w:top w:val="nil"/>
              <w:left w:val="nil"/>
              <w:bottom w:val="single" w:sz="4" w:space="0" w:color="auto"/>
              <w:right w:val="single" w:sz="4" w:space="0" w:color="auto"/>
            </w:tcBorders>
            <w:shd w:val="clear" w:color="auto" w:fill="auto"/>
            <w:hideMark/>
          </w:tcPr>
          <w:p w:rsidR="00A20C40" w:rsidRPr="000508C7" w:rsidRDefault="00A20C40" w:rsidP="00A459A2">
            <w:pPr>
              <w:spacing w:line="240" w:lineRule="auto"/>
              <w:rPr>
                <w:rFonts w:cstheme="minorHAnsi"/>
                <w:color w:val="000000" w:themeColor="text1"/>
              </w:rPr>
            </w:pPr>
            <w:r>
              <w:rPr>
                <w:color w:val="000000"/>
              </w:rPr>
              <w:t>Immediate</w:t>
            </w:r>
          </w:p>
        </w:tc>
        <w:tc>
          <w:tcPr>
            <w:tcW w:w="6210" w:type="dxa"/>
            <w:tcBorders>
              <w:top w:val="nil"/>
              <w:left w:val="nil"/>
              <w:bottom w:val="single" w:sz="4" w:space="0" w:color="auto"/>
              <w:right w:val="single" w:sz="4" w:space="0" w:color="auto"/>
            </w:tcBorders>
            <w:shd w:val="clear" w:color="auto" w:fill="auto"/>
            <w:hideMark/>
          </w:tcPr>
          <w:p w:rsidR="00A20C40" w:rsidRPr="000508C7" w:rsidRDefault="00A20C40" w:rsidP="00A459A2">
            <w:pPr>
              <w:spacing w:line="240" w:lineRule="auto"/>
              <w:rPr>
                <w:rFonts w:cstheme="minorHAnsi"/>
                <w:color w:val="000000" w:themeColor="text1"/>
              </w:rPr>
            </w:pPr>
            <w:r>
              <w:rPr>
                <w:color w:val="000000"/>
              </w:rPr>
              <w:t xml:space="preserve">Suitable instructions have been issued to the billing agents and field units to create a separate and distinct head under which the regulatory surcharges would be collected. </w:t>
            </w:r>
          </w:p>
        </w:tc>
        <w:tc>
          <w:tcPr>
            <w:tcW w:w="2061" w:type="dxa"/>
            <w:tcBorders>
              <w:top w:val="nil"/>
              <w:left w:val="nil"/>
              <w:bottom w:val="single" w:sz="4" w:space="0" w:color="auto"/>
              <w:right w:val="single" w:sz="8" w:space="0" w:color="auto"/>
            </w:tcBorders>
            <w:shd w:val="clear" w:color="auto" w:fill="auto"/>
            <w:hideMark/>
          </w:tcPr>
          <w:p w:rsidR="00A20C40" w:rsidRPr="000508C7" w:rsidRDefault="00A20C40" w:rsidP="00A459A2">
            <w:pPr>
              <w:spacing w:line="240" w:lineRule="auto"/>
              <w:rPr>
                <w:rFonts w:cstheme="minorHAnsi"/>
                <w:color w:val="000000" w:themeColor="text1"/>
              </w:rPr>
            </w:pPr>
            <w:r w:rsidRPr="000508C7">
              <w:rPr>
                <w:color w:val="000000"/>
              </w:rPr>
              <w:t>The Commission has addressed the same in its directive for FY 2016-17</w:t>
            </w:r>
          </w:p>
        </w:tc>
      </w:tr>
      <w:tr w:rsidR="00A20C40" w:rsidRPr="00835EE1" w:rsidTr="00A20C40">
        <w:trPr>
          <w:cantSplit/>
          <w:trHeight w:val="395"/>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057E88"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17</w:t>
            </w:r>
          </w:p>
        </w:tc>
        <w:tc>
          <w:tcPr>
            <w:tcW w:w="3870" w:type="dxa"/>
            <w:tcBorders>
              <w:top w:val="nil"/>
              <w:left w:val="nil"/>
              <w:bottom w:val="single" w:sz="4" w:space="0" w:color="auto"/>
              <w:right w:val="single" w:sz="4" w:space="0" w:color="auto"/>
            </w:tcBorders>
            <w:shd w:val="clear" w:color="auto" w:fill="auto"/>
            <w:noWrap/>
            <w:hideMark/>
          </w:tcPr>
          <w:p w:rsidR="00A20C40" w:rsidRDefault="00A20C40" w:rsidP="00A459A2">
            <w:pPr>
              <w:spacing w:line="240" w:lineRule="auto"/>
              <w:rPr>
                <w:rFonts w:cstheme="minorHAnsi"/>
                <w:color w:val="000000" w:themeColor="text1"/>
              </w:rPr>
            </w:pPr>
            <w:r>
              <w:rPr>
                <w:color w:val="000000"/>
              </w:rPr>
              <w:t>Licensee is directed to submit the actual Regulatory Surcharge recovered in FY 2014-15 on account of the Revenue Gap / Regulatory Asset admitted by the Commission in this Order along with the actual Distribution Losses achieved in FY 2014-15 added in FY 2014-15.</w:t>
            </w:r>
          </w:p>
        </w:tc>
        <w:tc>
          <w:tcPr>
            <w:tcW w:w="1890" w:type="dxa"/>
            <w:tcBorders>
              <w:top w:val="nil"/>
              <w:left w:val="nil"/>
              <w:bottom w:val="single" w:sz="4" w:space="0" w:color="auto"/>
              <w:right w:val="single" w:sz="4" w:space="0" w:color="auto"/>
            </w:tcBorders>
            <w:shd w:val="clear" w:color="auto" w:fill="auto"/>
            <w:hideMark/>
          </w:tcPr>
          <w:p w:rsidR="00A20C40" w:rsidRDefault="00A20C40" w:rsidP="00A459A2">
            <w:pPr>
              <w:spacing w:line="240" w:lineRule="auto"/>
              <w:rPr>
                <w:rFonts w:cstheme="minorHAnsi"/>
                <w:color w:val="000000" w:themeColor="text1"/>
              </w:rPr>
            </w:pPr>
            <w:r>
              <w:rPr>
                <w:color w:val="000000"/>
              </w:rPr>
              <w:t>By 15th April, 2015</w:t>
            </w:r>
          </w:p>
        </w:tc>
        <w:tc>
          <w:tcPr>
            <w:tcW w:w="6210" w:type="dxa"/>
            <w:tcBorders>
              <w:top w:val="nil"/>
              <w:left w:val="nil"/>
              <w:bottom w:val="single" w:sz="4" w:space="0" w:color="auto"/>
              <w:right w:val="single" w:sz="4" w:space="0" w:color="auto"/>
            </w:tcBorders>
            <w:shd w:val="clear" w:color="auto" w:fill="auto"/>
            <w:hideMark/>
          </w:tcPr>
          <w:p w:rsidR="00A20C40" w:rsidRDefault="00A20C40" w:rsidP="00A54C20">
            <w:pPr>
              <w:spacing w:line="240" w:lineRule="auto"/>
              <w:rPr>
                <w:rFonts w:cstheme="minorHAnsi"/>
                <w:color w:val="000000" w:themeColor="text1"/>
              </w:rPr>
            </w:pPr>
            <w:r>
              <w:rPr>
                <w:color w:val="000000"/>
              </w:rPr>
              <w:t xml:space="preserve">The Petitioner </w:t>
            </w:r>
            <w:r w:rsidR="00A54C20">
              <w:rPr>
                <w:color w:val="000000"/>
              </w:rPr>
              <w:t xml:space="preserve">submitted </w:t>
            </w:r>
            <w:r>
              <w:rPr>
                <w:color w:val="000000"/>
              </w:rPr>
              <w:t xml:space="preserve">that it would be able to submit the figures of actual regulatory surcharge recovered in FY 2014-15 by 30th June 2015. This is due to the reason that the commercial statements are finalised with a time lag of 2 months. </w:t>
            </w:r>
          </w:p>
        </w:tc>
        <w:tc>
          <w:tcPr>
            <w:tcW w:w="2061" w:type="dxa"/>
            <w:tcBorders>
              <w:top w:val="nil"/>
              <w:left w:val="nil"/>
              <w:bottom w:val="single" w:sz="4" w:space="0" w:color="auto"/>
              <w:right w:val="single" w:sz="8" w:space="0" w:color="auto"/>
            </w:tcBorders>
            <w:shd w:val="clear" w:color="auto" w:fill="auto"/>
            <w:hideMark/>
          </w:tcPr>
          <w:p w:rsidR="00A20C40" w:rsidRDefault="00A20C40" w:rsidP="00A459A2">
            <w:pPr>
              <w:spacing w:line="240" w:lineRule="auto"/>
              <w:rPr>
                <w:rFonts w:cstheme="minorHAnsi"/>
                <w:color w:val="000000" w:themeColor="text1"/>
              </w:rPr>
            </w:pPr>
            <w:r w:rsidRPr="000508C7">
              <w:rPr>
                <w:color w:val="000000"/>
              </w:rPr>
              <w:t>The Commission has addressed the same in its directive for FY 2016-17</w:t>
            </w:r>
          </w:p>
        </w:tc>
      </w:tr>
      <w:tr w:rsidR="00A20C40" w:rsidRPr="00835EE1" w:rsidTr="00A20C40">
        <w:trPr>
          <w:cantSplit/>
          <w:jc w:val="center"/>
        </w:trPr>
        <w:tc>
          <w:tcPr>
            <w:tcW w:w="798"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p>
        </w:tc>
        <w:tc>
          <w:tcPr>
            <w:tcW w:w="3870"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p>
        </w:tc>
        <w:tc>
          <w:tcPr>
            <w:tcW w:w="621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p>
        </w:tc>
        <w:tc>
          <w:tcPr>
            <w:tcW w:w="2061"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p>
        </w:tc>
      </w:tr>
    </w:tbl>
    <w:p w:rsidR="00A20C40" w:rsidRDefault="00A20C40" w:rsidP="00A20C40">
      <w:pPr>
        <w:spacing w:line="240" w:lineRule="auto"/>
        <w:rPr>
          <w:b/>
        </w:rPr>
      </w:pPr>
    </w:p>
    <w:p w:rsidR="00A20C40" w:rsidRDefault="00A20C40" w:rsidP="00A20C40">
      <w:pPr>
        <w:spacing w:line="240" w:lineRule="auto"/>
        <w:rPr>
          <w:b/>
        </w:rPr>
      </w:pPr>
    </w:p>
    <w:p w:rsidR="00A20C40" w:rsidRDefault="00A20C40" w:rsidP="00A20C40">
      <w:pPr>
        <w:spacing w:line="240" w:lineRule="auto"/>
        <w:rPr>
          <w:b/>
        </w:rPr>
      </w:pPr>
    </w:p>
    <w:p w:rsidR="00A20C40" w:rsidRDefault="00A20C40" w:rsidP="00A20C40">
      <w:pPr>
        <w:spacing w:line="240" w:lineRule="auto"/>
        <w:rPr>
          <w:b/>
        </w:rPr>
      </w:pPr>
    </w:p>
    <w:p w:rsidR="000F575E" w:rsidRDefault="000F575E" w:rsidP="00A20C40">
      <w:pPr>
        <w:spacing w:line="240" w:lineRule="auto"/>
        <w:rPr>
          <w:b/>
        </w:rPr>
      </w:pPr>
    </w:p>
    <w:p w:rsidR="000F575E" w:rsidRDefault="000F575E" w:rsidP="00A20C40">
      <w:pPr>
        <w:spacing w:line="240" w:lineRule="auto"/>
        <w:rPr>
          <w:b/>
        </w:rPr>
      </w:pPr>
    </w:p>
    <w:p w:rsidR="000F575E" w:rsidRDefault="000F575E" w:rsidP="00A20C40">
      <w:pPr>
        <w:spacing w:line="240" w:lineRule="auto"/>
        <w:rPr>
          <w:b/>
        </w:rPr>
      </w:pPr>
    </w:p>
    <w:p w:rsidR="000F575E" w:rsidRDefault="000F575E" w:rsidP="00A20C40">
      <w:pPr>
        <w:spacing w:line="240" w:lineRule="auto"/>
        <w:rPr>
          <w:b/>
        </w:rPr>
      </w:pPr>
    </w:p>
    <w:p w:rsidR="00A20C40" w:rsidRDefault="00A20C40" w:rsidP="00A20C40">
      <w:pPr>
        <w:spacing w:line="240" w:lineRule="auto"/>
        <w:jc w:val="center"/>
        <w:rPr>
          <w:b/>
        </w:rPr>
      </w:pPr>
      <w:bookmarkStart w:id="1605" w:name="_Toc457355664"/>
      <w:r w:rsidRPr="00C60AD1">
        <w:rPr>
          <w:b/>
        </w:rPr>
        <w:lastRenderedPageBreak/>
        <w:t xml:space="preserve">TABLE </w:t>
      </w:r>
      <w:r w:rsidR="00DA3968">
        <w:rPr>
          <w:b/>
        </w:rPr>
        <w:t>8</w:t>
      </w:r>
      <w:r w:rsidR="006F7A51">
        <w:rPr>
          <w:b/>
        </w:rPr>
        <w:t>-</w:t>
      </w:r>
      <w:r w:rsidR="004A2D9E" w:rsidRPr="009A172E">
        <w:rPr>
          <w:b/>
        </w:rPr>
        <w:fldChar w:fldCharType="begin"/>
      </w:r>
      <w:r w:rsidRPr="009A172E">
        <w:rPr>
          <w:b/>
        </w:rPr>
        <w:instrText xml:space="preserve"> SEQ Table \* ARABIC \s 1 </w:instrText>
      </w:r>
      <w:r w:rsidR="004A2D9E" w:rsidRPr="009A172E">
        <w:rPr>
          <w:b/>
        </w:rPr>
        <w:fldChar w:fldCharType="separate"/>
      </w:r>
      <w:r w:rsidR="0011185B">
        <w:rPr>
          <w:b/>
          <w:noProof/>
        </w:rPr>
        <w:t>3</w:t>
      </w:r>
      <w:r w:rsidR="004A2D9E" w:rsidRPr="009A172E">
        <w:rPr>
          <w:b/>
        </w:rPr>
        <w:fldChar w:fldCharType="end"/>
      </w:r>
      <w:r w:rsidRPr="009A172E">
        <w:rPr>
          <w:b/>
        </w:rPr>
        <w:t>:</w:t>
      </w:r>
      <w:r w:rsidRPr="00C60AD1">
        <w:rPr>
          <w:b/>
        </w:rPr>
        <w:t xml:space="preserve"> STATUS OF COMPLIANCE OF DIRECTIVES</w:t>
      </w:r>
      <w:r>
        <w:rPr>
          <w:b/>
        </w:rPr>
        <w:t xml:space="preserve"> OF TARIFF ORDER FOR FY 2015-16 DATED JUNE</w:t>
      </w:r>
      <w:r w:rsidRPr="00C60AD1">
        <w:rPr>
          <w:b/>
        </w:rPr>
        <w:t xml:space="preserve"> 1</w:t>
      </w:r>
      <w:r>
        <w:rPr>
          <w:b/>
        </w:rPr>
        <w:t>8, 2015</w:t>
      </w:r>
      <w:bookmarkEnd w:id="1605"/>
    </w:p>
    <w:tbl>
      <w:tblPr>
        <w:tblW w:w="15109" w:type="dxa"/>
        <w:jc w:val="center"/>
        <w:tblInd w:w="-911" w:type="dxa"/>
        <w:tblLayout w:type="fixed"/>
        <w:tblCellMar>
          <w:left w:w="115" w:type="dxa"/>
          <w:right w:w="115" w:type="dxa"/>
        </w:tblCellMar>
        <w:tblLook w:val="04A0"/>
      </w:tblPr>
      <w:tblGrid>
        <w:gridCol w:w="630"/>
        <w:gridCol w:w="3974"/>
        <w:gridCol w:w="1890"/>
        <w:gridCol w:w="5940"/>
        <w:gridCol w:w="2675"/>
      </w:tblGrid>
      <w:tr w:rsidR="000F575E" w:rsidRPr="00835EE1" w:rsidTr="004F012E">
        <w:trPr>
          <w:cantSplit/>
          <w:trHeight w:val="154"/>
          <w:tblHeader/>
          <w:jc w:val="center"/>
        </w:trPr>
        <w:tc>
          <w:tcPr>
            <w:tcW w:w="630" w:type="dxa"/>
            <w:tcBorders>
              <w:top w:val="single" w:sz="4" w:space="0" w:color="auto"/>
              <w:left w:val="single" w:sz="8" w:space="0" w:color="auto"/>
              <w:bottom w:val="single" w:sz="4" w:space="0" w:color="auto"/>
              <w:right w:val="single" w:sz="4" w:space="0" w:color="auto"/>
            </w:tcBorders>
            <w:shd w:val="clear" w:color="auto" w:fill="DBE5F1" w:themeFill="accent1" w:themeFillTint="33"/>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Sl. No</w:t>
            </w:r>
          </w:p>
        </w:tc>
        <w:tc>
          <w:tcPr>
            <w:tcW w:w="3974" w:type="dxa"/>
            <w:tcBorders>
              <w:top w:val="single" w:sz="4" w:space="0" w:color="auto"/>
              <w:left w:val="nil"/>
              <w:bottom w:val="single" w:sz="4" w:space="0" w:color="auto"/>
              <w:right w:val="single" w:sz="4" w:space="0" w:color="auto"/>
            </w:tcBorders>
            <w:shd w:val="clear" w:color="auto" w:fill="DBE5F1" w:themeFill="accent1" w:themeFillTint="33"/>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890" w:type="dxa"/>
            <w:tcBorders>
              <w:top w:val="single" w:sz="4" w:space="0" w:color="auto"/>
              <w:left w:val="nil"/>
              <w:bottom w:val="single" w:sz="4" w:space="0" w:color="auto"/>
              <w:right w:val="single" w:sz="4" w:space="0" w:color="auto"/>
            </w:tcBorders>
            <w:shd w:val="clear" w:color="auto" w:fill="DBE5F1" w:themeFill="accent1" w:themeFillTint="33"/>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5940" w:type="dxa"/>
            <w:tcBorders>
              <w:top w:val="single" w:sz="4" w:space="0" w:color="auto"/>
              <w:left w:val="nil"/>
              <w:bottom w:val="single" w:sz="4" w:space="0" w:color="auto"/>
              <w:right w:val="single" w:sz="4" w:space="0" w:color="auto"/>
            </w:tcBorders>
            <w:shd w:val="clear" w:color="auto" w:fill="DBE5F1" w:themeFill="accent1" w:themeFillTint="33"/>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Status of Compliance</w:t>
            </w:r>
          </w:p>
        </w:tc>
        <w:tc>
          <w:tcPr>
            <w:tcW w:w="2675" w:type="dxa"/>
            <w:tcBorders>
              <w:top w:val="single" w:sz="4" w:space="0" w:color="auto"/>
              <w:left w:val="nil"/>
              <w:bottom w:val="single" w:sz="4" w:space="0" w:color="auto"/>
              <w:right w:val="single" w:sz="8" w:space="0" w:color="auto"/>
            </w:tcBorders>
            <w:shd w:val="clear" w:color="auto" w:fill="DBE5F1" w:themeFill="accent1" w:themeFillTint="33"/>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Commission's Direction</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40641E" w:rsidRDefault="00A20C40" w:rsidP="00A459A2">
            <w:pPr>
              <w:tabs>
                <w:tab w:val="center" w:pos="132"/>
              </w:tabs>
              <w:spacing w:line="240" w:lineRule="auto"/>
              <w:rPr>
                <w:rFonts w:cstheme="minorHAnsi"/>
                <w:color w:val="000000" w:themeColor="text1"/>
              </w:rPr>
            </w:pPr>
            <w:r>
              <w:rPr>
                <w:rFonts w:cstheme="minorHAnsi"/>
                <w:color w:val="000000" w:themeColor="text1"/>
              </w:rPr>
              <w:t>1</w:t>
            </w:r>
          </w:p>
        </w:tc>
        <w:tc>
          <w:tcPr>
            <w:tcW w:w="3974" w:type="dxa"/>
            <w:tcBorders>
              <w:top w:val="nil"/>
              <w:left w:val="nil"/>
              <w:bottom w:val="single" w:sz="4" w:space="0" w:color="auto"/>
              <w:right w:val="single" w:sz="4" w:space="0" w:color="auto"/>
            </w:tcBorders>
            <w:shd w:val="clear" w:color="auto" w:fill="auto"/>
            <w:noWrap/>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directs the Licensee to pressingly pursue the GoUP for finalisation of the Transfer Scheme and submit a copy of the same.</w:t>
            </w:r>
          </w:p>
        </w:tc>
        <w:tc>
          <w:tcPr>
            <w:tcW w:w="1890" w:type="dxa"/>
            <w:tcBorders>
              <w:top w:val="nil"/>
              <w:left w:val="nil"/>
              <w:bottom w:val="single" w:sz="4" w:space="0" w:color="auto"/>
              <w:right w:val="single" w:sz="4"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Within 3 months</w:t>
            </w:r>
          </w:p>
        </w:tc>
        <w:tc>
          <w:tcPr>
            <w:tcW w:w="5940" w:type="dxa"/>
            <w:tcBorders>
              <w:top w:val="nil"/>
              <w:left w:val="nil"/>
              <w:bottom w:val="single" w:sz="4" w:space="0" w:color="auto"/>
              <w:right w:val="single" w:sz="4" w:space="0" w:color="auto"/>
            </w:tcBorders>
            <w:shd w:val="clear" w:color="auto" w:fill="auto"/>
            <w:hideMark/>
          </w:tcPr>
          <w:p w:rsidR="00A20C40" w:rsidRPr="0040641E" w:rsidRDefault="00A20C40" w:rsidP="00A54C20">
            <w:pPr>
              <w:spacing w:line="240" w:lineRule="auto"/>
              <w:rPr>
                <w:rFonts w:cstheme="minorHAnsi"/>
                <w:color w:val="000000" w:themeColor="text1"/>
              </w:rPr>
            </w:pPr>
            <w:r>
              <w:rPr>
                <w:rFonts w:cstheme="minorHAnsi"/>
                <w:color w:val="000000" w:themeColor="text1"/>
              </w:rPr>
              <w:t xml:space="preserve">The Petitioner </w:t>
            </w:r>
            <w:r w:rsidR="00A54C20">
              <w:rPr>
                <w:rFonts w:cstheme="minorHAnsi"/>
                <w:color w:val="000000" w:themeColor="text1"/>
              </w:rPr>
              <w:t xml:space="preserve">submitted </w:t>
            </w:r>
            <w:r>
              <w:rPr>
                <w:rFonts w:cstheme="minorHAnsi"/>
                <w:color w:val="000000" w:themeColor="text1"/>
              </w:rPr>
              <w:t>that the process of allocation of PPAs to the Discoms has already been sent to the GoUP for notification and the matter is still pending at their level.</w:t>
            </w:r>
          </w:p>
        </w:tc>
        <w:tc>
          <w:tcPr>
            <w:tcW w:w="2675" w:type="dxa"/>
            <w:tcBorders>
              <w:top w:val="nil"/>
              <w:left w:val="nil"/>
              <w:bottom w:val="single" w:sz="4" w:space="0" w:color="auto"/>
              <w:right w:val="single" w:sz="8"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Along with the petition for FY 2016-17</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Petitioner’s policy on capitalization of (i) employee costs, and (ii) A&amp;G expenses has been provided in the Notes on Accounts annexed with the audited accounts which is reproduced below:“Due to multiplicity of functional units as well as multiplicity of function at particular unit, employee cost and general &amp; administration expenses to capital works are capitalised @ 15% on distribution and deposit work, 11% on other works on the amount of total expenditure.”</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3</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Along with the petition for FY 2016-17</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matter would be taken up at UPPCL level as common cadre is maintained in the Discoms and UPPCL.</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must submit the steps taken from its side to take up the matter with UPPCL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4</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1 month</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it has framed a policy for identifying and writing off old arrears and a copy of the same was submitted to the Commission during the proceedings in respect of ARR and Tariff Petition for FY 2014-15. A copy of which again resubmitted and marked as    Annexure-4. Appropriate directions have been issued to the field units to compile the sample cases based on such order issued by the licensee.</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40641E" w:rsidRDefault="00A20C40" w:rsidP="00A459A2">
            <w:pPr>
              <w:tabs>
                <w:tab w:val="center" w:pos="132"/>
              </w:tabs>
              <w:spacing w:line="240" w:lineRule="auto"/>
              <w:rPr>
                <w:rFonts w:cstheme="minorHAnsi"/>
                <w:color w:val="000000" w:themeColor="text1"/>
              </w:rPr>
            </w:pPr>
            <w:r>
              <w:rPr>
                <w:rFonts w:cstheme="minorHAnsi"/>
                <w:color w:val="000000" w:themeColor="text1"/>
              </w:rPr>
              <w:t>5</w:t>
            </w:r>
          </w:p>
        </w:tc>
        <w:tc>
          <w:tcPr>
            <w:tcW w:w="3974" w:type="dxa"/>
            <w:tcBorders>
              <w:top w:val="nil"/>
              <w:left w:val="nil"/>
              <w:bottom w:val="single" w:sz="4" w:space="0" w:color="auto"/>
              <w:right w:val="single" w:sz="4" w:space="0" w:color="auto"/>
            </w:tcBorders>
            <w:shd w:val="clear" w:color="auto" w:fill="auto"/>
            <w:noWrap/>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w:t>
            </w:r>
          </w:p>
        </w:tc>
        <w:tc>
          <w:tcPr>
            <w:tcW w:w="1890" w:type="dxa"/>
            <w:tcBorders>
              <w:top w:val="nil"/>
              <w:left w:val="nil"/>
              <w:bottom w:val="single" w:sz="4" w:space="0" w:color="auto"/>
              <w:right w:val="single" w:sz="4"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Along with the petition for FY 2016-17</w:t>
            </w:r>
          </w:p>
        </w:tc>
        <w:tc>
          <w:tcPr>
            <w:tcW w:w="5940" w:type="dxa"/>
            <w:tcBorders>
              <w:top w:val="nil"/>
              <w:left w:val="nil"/>
              <w:bottom w:val="single" w:sz="4" w:space="0" w:color="auto"/>
              <w:right w:val="single" w:sz="4" w:space="0" w:color="auto"/>
            </w:tcBorders>
            <w:shd w:val="clear" w:color="auto" w:fill="auto"/>
            <w:hideMark/>
          </w:tcPr>
          <w:p w:rsidR="00A20C40" w:rsidRPr="0040641E" w:rsidRDefault="00A20C40" w:rsidP="00A54C20">
            <w:pPr>
              <w:spacing w:line="240" w:lineRule="auto"/>
              <w:rPr>
                <w:rFonts w:cstheme="minorHAnsi"/>
                <w:color w:val="000000" w:themeColor="text1"/>
              </w:rPr>
            </w:pPr>
            <w:r>
              <w:rPr>
                <w:rFonts w:cstheme="minorHAnsi"/>
                <w:color w:val="000000" w:themeColor="text1"/>
              </w:rPr>
              <w:t xml:space="preserve">The Petitioner </w:t>
            </w:r>
            <w:r w:rsidR="00A54C20">
              <w:rPr>
                <w:rFonts w:cstheme="minorHAnsi"/>
                <w:color w:val="000000" w:themeColor="text1"/>
              </w:rPr>
              <w:t xml:space="preserve">submitted </w:t>
            </w:r>
            <w:r>
              <w:rPr>
                <w:rFonts w:cstheme="minorHAnsi"/>
                <w:color w:val="000000" w:themeColor="text1"/>
              </w:rPr>
              <w:t>that the connected load is around 1690 MW and the R.D.M is around 480 MW.</w:t>
            </w:r>
          </w:p>
        </w:tc>
        <w:tc>
          <w:tcPr>
            <w:tcW w:w="2675" w:type="dxa"/>
            <w:tcBorders>
              <w:top w:val="nil"/>
              <w:left w:val="nil"/>
              <w:bottom w:val="single" w:sz="4" w:space="0" w:color="auto"/>
              <w:right w:val="single" w:sz="8"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6</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reconcile the inter-unit balances lying un-reconciled either itself or through independent chartered accountant firms.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Along with the petition for FY 2016-17</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determination of tariff is done by the Commission on normative basis based on the Tariff Regulations. As such the inter-unit reconciliation has no forbearance on the ARR and Tariff determination and assessment of revenue gap.</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7</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pay the applicable interest on consumer’s security deposit as per the Orders of the Commission and submit the compliance report with the next ARR filing. Licensees are directed to ensure the timely payment of the interest on security deposit to the consumers.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interest on consumer security deposit is being credited to the consumer’s account in terms of the Supply Code and Tariff Orders of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submit the details of the actual interest on consumer security deposit paid to the consumers in FY 2014-15  &amp; FY 2015-16</w:t>
            </w:r>
          </w:p>
        </w:tc>
      </w:tr>
      <w:tr w:rsidR="00A20C40"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8</w:t>
            </w:r>
          </w:p>
        </w:tc>
        <w:tc>
          <w:tcPr>
            <w:tcW w:w="3974" w:type="dxa"/>
            <w:tcBorders>
              <w:top w:val="nil"/>
              <w:left w:val="nil"/>
              <w:bottom w:val="single" w:sz="4" w:space="0" w:color="auto"/>
              <w:right w:val="single" w:sz="4" w:space="0" w:color="auto"/>
            </w:tcBorders>
            <w:shd w:val="clear" w:color="auto" w:fill="auto"/>
            <w:noWrap/>
            <w:vAlign w:val="center"/>
            <w:hideMark/>
          </w:tcPr>
          <w:p w:rsidR="00A20C40" w:rsidRPr="00835EE1" w:rsidRDefault="00A20C40" w:rsidP="00A459A2">
            <w:pPr>
              <w:spacing w:line="240" w:lineRule="auto"/>
              <w:rPr>
                <w:rFonts w:cstheme="minorHAnsi"/>
                <w:color w:val="000000" w:themeColor="text1"/>
              </w:rPr>
            </w:pPr>
            <w:r>
              <w:rPr>
                <w:color w:val="000000"/>
              </w:rPr>
              <w:t>The Commission directs the Petitioner to ensure to convert all the 18 consumers under LMV-3 category into metered connections within one month of the issue of this Order failing which the Commission will resort to take stringent action against the Petitioner.</w:t>
            </w:r>
          </w:p>
        </w:tc>
        <w:tc>
          <w:tcPr>
            <w:tcW w:w="1890" w:type="dxa"/>
            <w:tcBorders>
              <w:top w:val="nil"/>
              <w:left w:val="nil"/>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Pr>
                <w:color w:val="000000"/>
              </w:rPr>
              <w:t>Within one month from issue of this Order</w:t>
            </w:r>
          </w:p>
        </w:tc>
        <w:tc>
          <w:tcPr>
            <w:tcW w:w="5940" w:type="dxa"/>
            <w:tcBorders>
              <w:top w:val="nil"/>
              <w:left w:val="nil"/>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Pr>
                <w:color w:val="000000"/>
              </w:rPr>
              <w:t>Suitable action has been initiated as per the directions of the Commission.</w:t>
            </w:r>
          </w:p>
        </w:tc>
        <w:tc>
          <w:tcPr>
            <w:tcW w:w="2675" w:type="dxa"/>
            <w:tcBorders>
              <w:top w:val="nil"/>
              <w:left w:val="nil"/>
              <w:bottom w:val="single" w:sz="4" w:space="0" w:color="auto"/>
              <w:right w:val="single" w:sz="8" w:space="0" w:color="auto"/>
            </w:tcBorders>
            <w:shd w:val="clear" w:color="auto" w:fill="auto"/>
            <w:vAlign w:val="center"/>
            <w:hideMark/>
          </w:tcPr>
          <w:p w:rsidR="00A20C40" w:rsidRPr="001E47C3" w:rsidRDefault="00A20C40" w:rsidP="00A459A2">
            <w:pPr>
              <w:spacing w:line="240" w:lineRule="auto"/>
              <w:rPr>
                <w:rFonts w:cstheme="minorHAnsi"/>
                <w:color w:val="000000" w:themeColor="text1"/>
                <w:szCs w:val="22"/>
              </w:rPr>
            </w:pPr>
            <w:r>
              <w:rPr>
                <w:rFonts w:cstheme="minorHAnsi"/>
                <w:color w:val="000000" w:themeColor="text1"/>
              </w:rPr>
              <w:t xml:space="preserve">The Petitioner should convert all the </w:t>
            </w:r>
            <w:r w:rsidRPr="004F3049">
              <w:rPr>
                <w:rFonts w:asciiTheme="minorHAnsi" w:hAnsiTheme="minorHAnsi" w:cstheme="minorHAnsi"/>
                <w:color w:val="000000" w:themeColor="text1"/>
              </w:rPr>
              <w:t>consumers under LMV-3 category into metered connections</w:t>
            </w:r>
            <w:r>
              <w:rPr>
                <w:rFonts w:cstheme="minorHAnsi"/>
                <w:color w:val="000000" w:themeColor="text1"/>
              </w:rPr>
              <w:t xml:space="preserve"> at the earliest. </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40641E"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9</w:t>
            </w:r>
          </w:p>
        </w:tc>
        <w:tc>
          <w:tcPr>
            <w:tcW w:w="3974" w:type="dxa"/>
            <w:tcBorders>
              <w:top w:val="nil"/>
              <w:left w:val="nil"/>
              <w:bottom w:val="single" w:sz="4" w:space="0" w:color="auto"/>
              <w:right w:val="single" w:sz="4" w:space="0" w:color="auto"/>
            </w:tcBorders>
            <w:shd w:val="clear" w:color="auto" w:fill="auto"/>
            <w:noWrap/>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As regards the Commission’s directives to submit a road map for 100% metering in its licensed area given in the Tariff Order dated 31st May, 2013, the Licensees has not complied with the directions of the Commission. The Commission once again directs the Licensee to comply with the direction given by the Commission in this Order and accordingly put it sincere efforts to achieve 100% metering.</w:t>
            </w:r>
          </w:p>
        </w:tc>
        <w:tc>
          <w:tcPr>
            <w:tcW w:w="1890" w:type="dxa"/>
            <w:tcBorders>
              <w:top w:val="nil"/>
              <w:left w:val="nil"/>
              <w:bottom w:val="single" w:sz="4" w:space="0" w:color="auto"/>
              <w:right w:val="single" w:sz="4"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3 months from issue of this Order</w:t>
            </w:r>
          </w:p>
        </w:tc>
        <w:tc>
          <w:tcPr>
            <w:tcW w:w="5940" w:type="dxa"/>
            <w:tcBorders>
              <w:top w:val="nil"/>
              <w:left w:val="nil"/>
              <w:bottom w:val="single" w:sz="4" w:space="0" w:color="auto"/>
              <w:right w:val="single" w:sz="4" w:space="0" w:color="auto"/>
            </w:tcBorders>
            <w:shd w:val="clear" w:color="auto" w:fill="auto"/>
            <w:hideMark/>
          </w:tcPr>
          <w:p w:rsidR="00A20C40" w:rsidRPr="0040641E" w:rsidRDefault="00A20C40" w:rsidP="00A54C20">
            <w:pPr>
              <w:spacing w:line="240" w:lineRule="auto"/>
              <w:rPr>
                <w:rFonts w:cstheme="minorHAnsi"/>
                <w:color w:val="000000" w:themeColor="text1"/>
              </w:rPr>
            </w:pPr>
            <w:r w:rsidRPr="004F3049">
              <w:rPr>
                <w:rFonts w:asciiTheme="minorHAnsi" w:eastAsiaTheme="minorEastAsia" w:hAnsiTheme="minorHAnsi" w:cstheme="minorHAnsi"/>
                <w:color w:val="000000" w:themeColor="text1"/>
              </w:rPr>
              <w:t xml:space="preserve">The Petitioner </w:t>
            </w:r>
            <w:r w:rsidR="00A54C20">
              <w:rPr>
                <w:rFonts w:asciiTheme="minorHAnsi" w:eastAsiaTheme="minorEastAsia" w:hAnsiTheme="minorHAnsi" w:cstheme="minorHAnsi"/>
                <w:color w:val="000000" w:themeColor="text1"/>
              </w:rPr>
              <w:t>submitted</w:t>
            </w:r>
            <w:r w:rsidR="00A54C20" w:rsidRPr="004F3049">
              <w:rPr>
                <w:rFonts w:asciiTheme="minorHAnsi" w:eastAsiaTheme="minorEastAsia" w:hAnsiTheme="minorHAnsi" w:cstheme="minorHAnsi"/>
                <w:color w:val="000000" w:themeColor="text1"/>
              </w:rPr>
              <w:t xml:space="preserve"> </w:t>
            </w:r>
            <w:r w:rsidRPr="004F3049">
              <w:rPr>
                <w:rFonts w:asciiTheme="minorHAnsi" w:eastAsiaTheme="minorEastAsia" w:hAnsiTheme="minorHAnsi" w:cstheme="minorHAnsi"/>
                <w:color w:val="000000" w:themeColor="text1"/>
              </w:rPr>
              <w:t>that as per the Uttar Pradesh Electricity Regulatory Commission (Multi Year Distribution Tariff) Regulations, 2014 the study for assessment of metered and unmetered consumers has to be completed by 30.09.2015 and 31.12.2015 respectively.</w:t>
            </w:r>
            <w:r w:rsidRPr="004F3049">
              <w:rPr>
                <w:rFonts w:asciiTheme="minorHAnsi" w:eastAsiaTheme="minorEastAsia" w:hAnsiTheme="minorHAnsi" w:cstheme="minorHAnsi"/>
                <w:color w:val="000000" w:themeColor="text1"/>
              </w:rPr>
              <w:br/>
              <w:t>Accordingly, the same would be completed in the stipulated timeframe.</w:t>
            </w:r>
          </w:p>
        </w:tc>
        <w:tc>
          <w:tcPr>
            <w:tcW w:w="2675" w:type="dxa"/>
            <w:tcBorders>
              <w:top w:val="nil"/>
              <w:left w:val="nil"/>
              <w:bottom w:val="single" w:sz="4" w:space="0" w:color="auto"/>
              <w:right w:val="single" w:sz="8"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10</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further directs the Petitioner to sign the MoUs to be implemented at all levels and submit the copy of the same to the Commission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three months from the date of issuance of this Order</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Petitioner </w:t>
            </w:r>
            <w:r>
              <w:rPr>
                <w:rFonts w:cstheme="minorHAnsi"/>
                <w:color w:val="000000" w:themeColor="text1"/>
              </w:rPr>
              <w:t>requested for</w:t>
            </w:r>
            <w:r w:rsidRPr="00835EE1">
              <w:rPr>
                <w:rFonts w:cstheme="minorHAnsi"/>
                <w:color w:val="000000" w:themeColor="text1"/>
              </w:rPr>
              <w:t xml:space="preserve"> some more time to comply with the directives of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40641E"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11</w:t>
            </w:r>
          </w:p>
        </w:tc>
        <w:tc>
          <w:tcPr>
            <w:tcW w:w="3974" w:type="dxa"/>
            <w:tcBorders>
              <w:top w:val="nil"/>
              <w:left w:val="nil"/>
              <w:bottom w:val="single" w:sz="4" w:space="0" w:color="auto"/>
              <w:right w:val="single" w:sz="4" w:space="0" w:color="auto"/>
            </w:tcBorders>
            <w:shd w:val="clear" w:color="auto" w:fill="auto"/>
            <w:noWrap/>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As regards timely filing of FPPCA the Commission once again directs the Licensees that they should file FPPCA in a timely and regular manner in accordance with the Distribution Tariff Regulations, 2006 failing which the Commission may have to resort to take strict action against the Licensees like disallowance of additional power purchase expenses and the associated carrying cost on account of additional Power Purchase expenses or any other action that the Commission may deem fit while doing the Truing up.</w:t>
            </w:r>
          </w:p>
        </w:tc>
        <w:tc>
          <w:tcPr>
            <w:tcW w:w="1890" w:type="dxa"/>
            <w:tcBorders>
              <w:top w:val="nil"/>
              <w:left w:val="nil"/>
              <w:bottom w:val="single" w:sz="4" w:space="0" w:color="auto"/>
              <w:right w:val="single" w:sz="4"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Immediate</w:t>
            </w:r>
          </w:p>
        </w:tc>
        <w:tc>
          <w:tcPr>
            <w:tcW w:w="5940" w:type="dxa"/>
            <w:tcBorders>
              <w:top w:val="nil"/>
              <w:left w:val="nil"/>
              <w:bottom w:val="single" w:sz="4" w:space="0" w:color="auto"/>
              <w:right w:val="single" w:sz="4" w:space="0" w:color="auto"/>
            </w:tcBorders>
            <w:shd w:val="clear" w:color="auto" w:fill="auto"/>
            <w:hideMark/>
          </w:tcPr>
          <w:p w:rsidR="00A20C40" w:rsidRPr="0040641E" w:rsidRDefault="00A20C40" w:rsidP="00A54C20">
            <w:pPr>
              <w:spacing w:line="240" w:lineRule="auto"/>
              <w:rPr>
                <w:rFonts w:cstheme="minorHAnsi"/>
                <w:color w:val="000000" w:themeColor="text1"/>
              </w:rPr>
            </w:pPr>
            <w:r>
              <w:rPr>
                <w:rFonts w:cs="Calibri"/>
                <w:color w:val="000000"/>
              </w:rPr>
              <w:t xml:space="preserve">The Petitioner </w:t>
            </w:r>
            <w:r w:rsidR="00A54C20">
              <w:rPr>
                <w:rFonts w:cs="Calibri"/>
                <w:color w:val="000000"/>
              </w:rPr>
              <w:t xml:space="preserve">submitted </w:t>
            </w:r>
            <w:r>
              <w:rPr>
                <w:rFonts w:cs="Calibri"/>
                <w:color w:val="000000"/>
              </w:rPr>
              <w:t>that the decision on the Petition filed towards clarification/ modification of the FPPCA formula has been taken by the Hon’ble Commission in its order dated 18</w:t>
            </w:r>
            <w:r>
              <w:rPr>
                <w:rFonts w:cs="Calibri"/>
                <w:color w:val="000000"/>
                <w:vertAlign w:val="superscript"/>
              </w:rPr>
              <w:t>th</w:t>
            </w:r>
            <w:r>
              <w:rPr>
                <w:rFonts w:cs="Calibri"/>
                <w:color w:val="000000"/>
              </w:rPr>
              <w:t xml:space="preserve"> June 2015. Accordingly, the Petitioner would be filing its FPPCA submissions from the first billing quarter after the issue of the FY 2016-17 tariff order i.e., July to September 2015 by the end of December 2015.</w:t>
            </w:r>
          </w:p>
        </w:tc>
        <w:tc>
          <w:tcPr>
            <w:tcW w:w="2675" w:type="dxa"/>
            <w:tcBorders>
              <w:top w:val="nil"/>
              <w:left w:val="nil"/>
              <w:bottom w:val="single" w:sz="4" w:space="0" w:color="auto"/>
              <w:right w:val="single" w:sz="8"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12</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regards the choice of connection, the Licensee, in accordance with the provisions of the supply code wherein the consumer has the choice to opt the supplier, is directed to release connections to all such consumers who desire to disconnect their connections from the single point supplier and instead wish to take connections directly from the Licensee and submit the status report on the same along with next ARR filing</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Next ARR filing</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Wherever feasible (both technically and economically), the Petitioner is complying with the provisions of the Supply Code.</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must submit the status report on the same for FY 2015-16.</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13</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is directed to file a separate Petition for approval of prior period expenses / incomes. The Petition should clearly indicate the head-wise year-wise bifurcation of prior period expenses / incomes clearly indicating the impact of such expenses / incomes on various ARR components, and such impact should not exceed the normative expenses for any particular year.</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 month from the date of issuance of this Order</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prior period expenses / incomes are recognised in the financial statements in compliance with the Accounting Standards (AS 5) (Revised) on ‘Net Profit or Loss for the Period, Prior Period Items and Changes in Accounting Policies’ which does not require year wise classification of prior period items. As there was no statutory requirement of classifying the prior items with respect to the each year to which they pertain, such information was not specifically depicted in the audited accounts. Considering this, the expenses and incomes which are omitted to be accounted for in one or more financial years are accounted for as and when such omissions or errors are detected. The desired information is required to be made available by the respective field unit which would be compiled at the zonal level and then zonal accounts would be compiled at the corporate level. Given the complexity and time involved in this task, the Petitioner seeks waiver from immediate submission of this information.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expedite the process and submit the same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40641E"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14</w:t>
            </w:r>
          </w:p>
        </w:tc>
        <w:tc>
          <w:tcPr>
            <w:tcW w:w="3974" w:type="dxa"/>
            <w:tcBorders>
              <w:top w:val="nil"/>
              <w:left w:val="nil"/>
              <w:bottom w:val="single" w:sz="4" w:space="0" w:color="auto"/>
              <w:right w:val="single" w:sz="4" w:space="0" w:color="auto"/>
            </w:tcBorders>
            <w:shd w:val="clear" w:color="auto" w:fill="auto"/>
            <w:noWrap/>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The Licensee is directed to submit a note detailing the area-wise actual number of supply hours provided to rural areas by the end of FY 2015-16.</w:t>
            </w:r>
          </w:p>
        </w:tc>
        <w:tc>
          <w:tcPr>
            <w:tcW w:w="1890" w:type="dxa"/>
            <w:tcBorders>
              <w:top w:val="nil"/>
              <w:left w:val="nil"/>
              <w:bottom w:val="single" w:sz="4" w:space="0" w:color="auto"/>
              <w:right w:val="single" w:sz="4" w:space="0" w:color="auto"/>
            </w:tcBorders>
            <w:shd w:val="clear" w:color="auto" w:fill="auto"/>
            <w:hideMark/>
          </w:tcPr>
          <w:p w:rsidR="00A20C40" w:rsidRPr="0040641E" w:rsidRDefault="00A20C40" w:rsidP="00A459A2">
            <w:pPr>
              <w:spacing w:line="240" w:lineRule="auto"/>
              <w:rPr>
                <w:rFonts w:cstheme="minorHAnsi"/>
                <w:color w:val="000000" w:themeColor="text1"/>
              </w:rPr>
            </w:pPr>
            <w:r>
              <w:rPr>
                <w:rFonts w:cstheme="minorHAnsi"/>
                <w:color w:val="000000" w:themeColor="text1"/>
              </w:rPr>
              <w:t>By end of FY 2015-16</w:t>
            </w:r>
          </w:p>
        </w:tc>
        <w:tc>
          <w:tcPr>
            <w:tcW w:w="5940" w:type="dxa"/>
            <w:tcBorders>
              <w:top w:val="nil"/>
              <w:left w:val="nil"/>
              <w:bottom w:val="single" w:sz="4" w:space="0" w:color="auto"/>
              <w:right w:val="single" w:sz="4" w:space="0" w:color="auto"/>
            </w:tcBorders>
            <w:shd w:val="clear" w:color="auto" w:fill="auto"/>
            <w:hideMark/>
          </w:tcPr>
          <w:p w:rsidR="00A20C40" w:rsidRPr="0040641E" w:rsidRDefault="00A54C20" w:rsidP="00A54C20">
            <w:pPr>
              <w:spacing w:line="240" w:lineRule="auto"/>
              <w:rPr>
                <w:rFonts w:cstheme="minorHAnsi"/>
                <w:color w:val="000000" w:themeColor="text1"/>
              </w:rPr>
            </w:pPr>
            <w:r w:rsidRPr="004F3049">
              <w:rPr>
                <w:rFonts w:asciiTheme="minorHAnsi" w:eastAsiaTheme="minorEastAsia" w:hAnsiTheme="minorHAnsi" w:cstheme="minorHAnsi"/>
                <w:color w:val="000000" w:themeColor="text1"/>
              </w:rPr>
              <w:t>K</w:t>
            </w:r>
            <w:r>
              <w:rPr>
                <w:rFonts w:asciiTheme="minorHAnsi" w:eastAsiaTheme="minorEastAsia" w:hAnsiTheme="minorHAnsi" w:cstheme="minorHAnsi"/>
                <w:color w:val="000000" w:themeColor="text1"/>
              </w:rPr>
              <w:t>ESCO</w:t>
            </w:r>
            <w:r w:rsidRPr="004F3049">
              <w:rPr>
                <w:rFonts w:asciiTheme="minorHAnsi" w:eastAsiaTheme="minorEastAsia" w:hAnsiTheme="minorHAnsi" w:cstheme="minorHAnsi"/>
                <w:color w:val="000000" w:themeColor="text1"/>
              </w:rPr>
              <w:t xml:space="preserve"> </w:t>
            </w:r>
            <w:r w:rsidR="00A20C40" w:rsidRPr="004F3049">
              <w:rPr>
                <w:rFonts w:asciiTheme="minorHAnsi" w:eastAsiaTheme="minorEastAsia" w:hAnsiTheme="minorHAnsi" w:cstheme="minorHAnsi"/>
                <w:color w:val="000000" w:themeColor="text1"/>
              </w:rPr>
              <w:t>supply area comprises of urban town areas of Kanpur city and as such there are no rural areas being catered by the Petitioner.</w:t>
            </w:r>
          </w:p>
        </w:tc>
        <w:tc>
          <w:tcPr>
            <w:tcW w:w="2675" w:type="dxa"/>
            <w:tcBorders>
              <w:top w:val="nil"/>
              <w:left w:val="nil"/>
              <w:bottom w:val="single" w:sz="4" w:space="0" w:color="auto"/>
              <w:right w:val="single" w:sz="8" w:space="0" w:color="auto"/>
            </w:tcBorders>
            <w:shd w:val="clear" w:color="auto" w:fill="auto"/>
            <w:hideMark/>
          </w:tcPr>
          <w:p w:rsidR="00A20C40" w:rsidRDefault="00A20C40" w:rsidP="00A459A2">
            <w:pPr>
              <w:spacing w:line="240" w:lineRule="auto"/>
              <w:rPr>
                <w:rFonts w:cstheme="minorHAnsi"/>
                <w:color w:val="000000" w:themeColor="text1"/>
              </w:rPr>
            </w:pPr>
            <w:r>
              <w:rPr>
                <w:rFonts w:cstheme="minorHAnsi"/>
                <w:color w:val="000000" w:themeColor="text1"/>
              </w:rPr>
              <w:t>Noted</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15</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Distribution Licensee</w:t>
            </w:r>
            <w:r>
              <w:rPr>
                <w:rFonts w:cstheme="minorHAnsi"/>
                <w:color w:val="000000" w:themeColor="text1"/>
              </w:rPr>
              <w:t xml:space="preserve">s are </w:t>
            </w:r>
            <w:r w:rsidRPr="00835EE1">
              <w:rPr>
                <w:rFonts w:cstheme="minorHAnsi"/>
                <w:color w:val="000000" w:themeColor="text1"/>
              </w:rPr>
              <w:t>directed to submit the actual Regulatory Surcharge recovered in FY 2015-16 on account of the Revenue Gap / Regulatory Asset admitted by the Commission in this Order along with the actual Distribution Losses achieved in FY 2015-16 and additional target consumers added in FY 2015-16 by 15th April, 2016.</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By 15th April, 2016</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directives of the Commission and the timelines prescribed, the details towards the recovered FPPCA would be submitted by 15th April 2016.</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16</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Clause 2.1.2 of the Distribution Tariff Regulations.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submit</w:t>
            </w:r>
            <w:r>
              <w:rPr>
                <w:rFonts w:cstheme="minorHAnsi"/>
                <w:color w:val="000000" w:themeColor="text1"/>
              </w:rPr>
              <w:t>ted</w:t>
            </w:r>
            <w:r w:rsidRPr="00835EE1">
              <w:rPr>
                <w:rFonts w:cstheme="minorHAnsi"/>
                <w:color w:val="000000" w:themeColor="text1"/>
              </w:rPr>
              <w:t xml:space="preserve"> that the Commission being an expert and independent body may kindly like to take up a study </w:t>
            </w:r>
            <w:r>
              <w:rPr>
                <w:rFonts w:cstheme="minorHAnsi"/>
                <w:color w:val="000000" w:themeColor="text1"/>
              </w:rPr>
              <w:t>i</w:t>
            </w:r>
            <w:r w:rsidRPr="00835EE1">
              <w:rPr>
                <w:rFonts w:cstheme="minorHAnsi"/>
                <w:color w:val="000000" w:themeColor="text1"/>
              </w:rPr>
              <w:t xml:space="preserve">n this regard. Alternately, if the Petitioner is required to take up such study, then the Commission is requested to provide the terms of reference of such study so as </w:t>
            </w:r>
            <w:r>
              <w:rPr>
                <w:rFonts w:cstheme="minorHAnsi"/>
                <w:color w:val="000000" w:themeColor="text1"/>
              </w:rPr>
              <w:t xml:space="preserve">to </w:t>
            </w:r>
            <w:r w:rsidRPr="00835EE1">
              <w:rPr>
                <w:rFonts w:cstheme="minorHAnsi"/>
                <w:color w:val="000000" w:themeColor="text1"/>
              </w:rPr>
              <w:t>ensure that the study is conducted in an objective manner.</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17</w:t>
            </w:r>
          </w:p>
          <w:p w:rsidR="000F575E" w:rsidRPr="00835EE1" w:rsidRDefault="000F575E" w:rsidP="00A459A2">
            <w:pPr>
              <w:tabs>
                <w:tab w:val="center" w:pos="132"/>
              </w:tabs>
              <w:spacing w:line="240" w:lineRule="auto"/>
              <w:rPr>
                <w:rFonts w:cstheme="minorHAnsi"/>
                <w:color w:val="000000" w:themeColor="text1"/>
              </w:rPr>
            </w:pP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submit a long term business plan in accordance with Clause 2.1.7 of the Distribution Tariff Regulations. The Licensee in such business plan shall identify capex projects for the ensuing year and subsequent four years and submit detailed capital investment plan along with a financing plan for undertaking the identified projects in order to meet the requirement of load growth, refurbishment and replacement of equipment, reduction in distribution losses, improvement of voltage profile, improvement in quality of supply, system reliability, metering, communication and computerization, etc.</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18</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conduct benchmarking studies to determine the desired performance standards in accordance with Clause 2.1.8 of the Distribution Tariff Regulations.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19</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file its Annual ARR/ Tariff Petition for FY 2016-17 as per the Regulations 12.2, 12.7, 12.8, 12.9 notified vide MYT Regulations, 2014</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instant petition has been filed duly complying with the indicated provisions of the 2014 Tariff Regulations.</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Pr>
                <w:rFonts w:cstheme="minorHAnsi"/>
                <w:color w:val="000000" w:themeColor="text1"/>
              </w:rPr>
              <w:t>The Commission has taken note of the Petitioner submission and directs to comply the same in future filings also.</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20</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21</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complete the Assessment Study of un-metered consumers to establish base line norms as per the Regulations 17.1 notified vide MYT Regulations, 2014 and subsequently submit the report to the Commission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274CBE" w:rsidRDefault="00A20C40" w:rsidP="00A459A2">
            <w:pPr>
              <w:tabs>
                <w:tab w:val="center" w:pos="132"/>
              </w:tabs>
              <w:spacing w:line="240" w:lineRule="auto"/>
              <w:rPr>
                <w:rFonts w:cstheme="minorHAnsi"/>
                <w:color w:val="000000" w:themeColor="text1"/>
              </w:rPr>
            </w:pPr>
            <w:r>
              <w:rPr>
                <w:rFonts w:cstheme="minorHAnsi"/>
                <w:color w:val="000000" w:themeColor="text1"/>
              </w:rPr>
              <w:t>22</w:t>
            </w:r>
          </w:p>
        </w:tc>
        <w:tc>
          <w:tcPr>
            <w:tcW w:w="3974" w:type="dxa"/>
            <w:tcBorders>
              <w:top w:val="nil"/>
              <w:left w:val="nil"/>
              <w:bottom w:val="single" w:sz="4" w:space="0" w:color="auto"/>
              <w:right w:val="single" w:sz="4" w:space="0" w:color="auto"/>
            </w:tcBorders>
            <w:shd w:val="clear" w:color="auto" w:fill="auto"/>
            <w:noWrap/>
            <w:hideMark/>
          </w:tcPr>
          <w:p w:rsidR="00A20C40" w:rsidRPr="00274CBE" w:rsidRDefault="00A20C40" w:rsidP="00A459A2">
            <w:pPr>
              <w:spacing w:line="240" w:lineRule="auto"/>
              <w:rPr>
                <w:rFonts w:cstheme="minorHAnsi"/>
                <w:color w:val="000000" w:themeColor="text1"/>
              </w:rPr>
            </w:pPr>
            <w:r>
              <w:rPr>
                <w:rFonts w:cstheme="minorHAnsi"/>
                <w:color w:val="000000" w:themeColor="text1"/>
              </w:rPr>
              <w:t>The Petitioner should complete the Study of Agriculture  feeders segregated and not segregated in significant numbers to determine base line norms as per the Regulations17.2, 17.3 notified vide MYT Regulations, 2014 and subsequently submit the report to the Commission</w:t>
            </w:r>
          </w:p>
        </w:tc>
        <w:tc>
          <w:tcPr>
            <w:tcW w:w="1890" w:type="dxa"/>
            <w:tcBorders>
              <w:top w:val="nil"/>
              <w:left w:val="nil"/>
              <w:bottom w:val="single" w:sz="4" w:space="0" w:color="auto"/>
              <w:right w:val="single" w:sz="4" w:space="0" w:color="auto"/>
            </w:tcBorders>
            <w:shd w:val="clear" w:color="auto" w:fill="auto"/>
            <w:hideMark/>
          </w:tcPr>
          <w:p w:rsidR="00A20C40" w:rsidRPr="00274CBE" w:rsidRDefault="00A20C40" w:rsidP="00A459A2">
            <w:pPr>
              <w:spacing w:line="240" w:lineRule="auto"/>
              <w:rPr>
                <w:rFonts w:cstheme="minorHAnsi"/>
                <w:color w:val="000000" w:themeColor="text1"/>
              </w:rPr>
            </w:pPr>
            <w:r>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274CBE" w:rsidRDefault="00A20C40" w:rsidP="00A54C20">
            <w:pPr>
              <w:spacing w:line="240" w:lineRule="auto"/>
              <w:rPr>
                <w:rFonts w:cstheme="minorHAnsi"/>
                <w:color w:val="000000" w:themeColor="text1"/>
              </w:rPr>
            </w:pPr>
            <w:r>
              <w:rPr>
                <w:rFonts w:cs="Calibri"/>
                <w:color w:val="000000"/>
              </w:rPr>
              <w:t xml:space="preserve">The Petitioner submits that there are no agricultural feeders in </w:t>
            </w:r>
            <w:r w:rsidR="00A54C20">
              <w:rPr>
                <w:rFonts w:cs="Calibri"/>
                <w:color w:val="000000"/>
              </w:rPr>
              <w:t xml:space="preserve">KESCO </w:t>
            </w:r>
            <w:r>
              <w:rPr>
                <w:rFonts w:cs="Calibri"/>
                <w:color w:val="000000"/>
              </w:rPr>
              <w:t>supply area.</w:t>
            </w:r>
            <w:r>
              <w:rPr>
                <w:rFonts w:cstheme="minorHAnsi"/>
                <w:color w:val="000000" w:themeColor="text1"/>
              </w:rPr>
              <w:t>.</w:t>
            </w:r>
          </w:p>
        </w:tc>
        <w:tc>
          <w:tcPr>
            <w:tcW w:w="2675" w:type="dxa"/>
            <w:tcBorders>
              <w:top w:val="nil"/>
              <w:left w:val="nil"/>
              <w:bottom w:val="single" w:sz="4" w:space="0" w:color="auto"/>
              <w:right w:val="single" w:sz="8" w:space="0" w:color="auto"/>
            </w:tcBorders>
            <w:shd w:val="clear" w:color="auto" w:fill="auto"/>
            <w:hideMark/>
          </w:tcPr>
          <w:p w:rsidR="00A20C40" w:rsidRPr="00274CBE" w:rsidRDefault="00A20C40" w:rsidP="00A459A2">
            <w:pPr>
              <w:spacing w:line="240" w:lineRule="auto"/>
              <w:rPr>
                <w:rFonts w:cstheme="minorHAnsi"/>
                <w:color w:val="000000" w:themeColor="text1"/>
              </w:rPr>
            </w:pPr>
            <w:r>
              <w:rPr>
                <w:rFonts w:cstheme="minorHAnsi"/>
                <w:color w:val="000000" w:themeColor="text1"/>
              </w:rPr>
              <w:t>Noted</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23</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reiterates that the Licensees should conduct a detailed study to provide accurate and effective consumption norms as specified by the Commission in its earlier Orders and as per the provisions outlined in Uttar Pradesh Electricity Regulatory Commission (Multi Year Distribution Tariff) Regulations, 2014 in the time bound manner.</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per the Time frame stipulated in MYT Regulations, 2014</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24</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submit Incremental Power Purchase Cost as per the Regulations 20.1 notified vide MYT Regulations, 2014 and subsequently submit the report to the Commission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28 days of quarter end , for each quarter of Tariff Period 1.4.2015 to 31.3.2020</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understands that it is required to submit the FPPCA petition up to 31.3.2017.</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adhere to the specified timeline.</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25</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submit Roadmap for Reduction of Cross Subsidy as per the Regulation 39 notified vide MYT Regulations, 2014</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Immediately</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26</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record and maintain Division wise, Circlewise AT&amp;C Losses and submit the quarterly report to the Commission.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Quarterly for FY 2015-16</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had filed such report along with the data gaps reply pertaining to the ARR petition for FY 2015-16.</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must submit the Division wise, Circle</w:t>
            </w:r>
            <w:r>
              <w:rPr>
                <w:rFonts w:cstheme="minorHAnsi"/>
                <w:color w:val="000000" w:themeColor="text1"/>
              </w:rPr>
              <w:t>-</w:t>
            </w:r>
            <w:r w:rsidRPr="00835EE1">
              <w:rPr>
                <w:rFonts w:cstheme="minorHAnsi"/>
                <w:color w:val="000000" w:themeColor="text1"/>
              </w:rPr>
              <w:t>wise AT&amp;C Losses for Last Quarter of FY 2015-16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27</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rural and urban area for FY 2014-15.</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one month from issue of this Order</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information pertaining to the supply hours has been submitted along with the instant petition.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28</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provide online facility for submission of application for new connection, name change, load enhancement and load reduction</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3 months</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observations of the Commission have been noted and action has been initiated on such matters. The Petitioner has a robust automated consumer interface which has been detailed in the instant petition in the foregoing sections.</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29</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Licensee should develop the mobile application for online payments of bills including other services for facilitation to consumers</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3 months</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is committed to introduce mobile application for online payment of bills and other services. The Petitioner has a robust automated consumer interface which has been detailed in the instant petition in the foregoing sections.</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should submit the current status and expedite the same. The Licensee must submit the status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t>30</w:t>
            </w: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submit Standards of Performance parameters as per the tariff formats of Distribution Tariff Regulations, 2006.</w:t>
            </w: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one month from issue of this Order</w:t>
            </w: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would endeavor to meet the deadlines prescribed by the Commission.</w:t>
            </w: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Licensee should submit the same at the earliest.</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946F61" w:rsidRDefault="00A20C40" w:rsidP="00A459A2">
            <w:pPr>
              <w:tabs>
                <w:tab w:val="center" w:pos="132"/>
              </w:tabs>
              <w:spacing w:line="240" w:lineRule="auto"/>
              <w:rPr>
                <w:rFonts w:cstheme="minorHAnsi"/>
                <w:color w:val="000000" w:themeColor="text1"/>
              </w:rPr>
            </w:pPr>
            <w:r>
              <w:rPr>
                <w:rFonts w:cstheme="minorHAnsi"/>
                <w:color w:val="000000" w:themeColor="text1"/>
              </w:rPr>
              <w:t>31</w:t>
            </w:r>
          </w:p>
        </w:tc>
        <w:tc>
          <w:tcPr>
            <w:tcW w:w="3974" w:type="dxa"/>
            <w:tcBorders>
              <w:top w:val="nil"/>
              <w:left w:val="nil"/>
              <w:bottom w:val="single" w:sz="4" w:space="0" w:color="auto"/>
              <w:right w:val="single" w:sz="4" w:space="0" w:color="auto"/>
            </w:tcBorders>
            <w:shd w:val="clear" w:color="auto" w:fill="auto"/>
            <w:noWrap/>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890" w:type="dxa"/>
            <w:tcBorders>
              <w:top w:val="nil"/>
              <w:left w:val="nil"/>
              <w:bottom w:val="single" w:sz="4" w:space="0" w:color="auto"/>
              <w:right w:val="single" w:sz="4" w:space="0" w:color="auto"/>
            </w:tcBorders>
            <w:shd w:val="clear" w:color="auto" w:fill="auto"/>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Within three months of issue of this Order</w:t>
            </w:r>
          </w:p>
        </w:tc>
        <w:tc>
          <w:tcPr>
            <w:tcW w:w="5940" w:type="dxa"/>
            <w:tcBorders>
              <w:top w:val="nil"/>
              <w:left w:val="nil"/>
              <w:bottom w:val="single" w:sz="4" w:space="0" w:color="auto"/>
              <w:right w:val="single" w:sz="4" w:space="0" w:color="auto"/>
            </w:tcBorders>
            <w:shd w:val="clear" w:color="auto" w:fill="auto"/>
            <w:hideMark/>
          </w:tcPr>
          <w:p w:rsidR="00A20C40" w:rsidRDefault="00A20C40" w:rsidP="00A459A2">
            <w:pPr>
              <w:spacing w:line="240" w:lineRule="auto"/>
              <w:rPr>
                <w:rFonts w:cstheme="minorHAnsi"/>
                <w:color w:val="000000" w:themeColor="text1"/>
              </w:rPr>
            </w:pPr>
            <w:r>
              <w:rPr>
                <w:rFonts w:cstheme="minorHAnsi"/>
                <w:color w:val="000000" w:themeColor="text1"/>
              </w:rPr>
              <w:t>The Petitioner submitted that it has framed a policy for identifying and writing off old arrears and a copy of the same was submitted to the Commission during the proceedings in respect of ARR and Tariff Petition for FY 2014-15. Appropriate directions have been issued to the field units to compile the sample cases based on such order issued by the licensee.</w:t>
            </w:r>
          </w:p>
        </w:tc>
        <w:tc>
          <w:tcPr>
            <w:tcW w:w="2675" w:type="dxa"/>
            <w:tcBorders>
              <w:top w:val="nil"/>
              <w:left w:val="nil"/>
              <w:bottom w:val="single" w:sz="4" w:space="0" w:color="auto"/>
              <w:right w:val="single" w:sz="8" w:space="0" w:color="auto"/>
            </w:tcBorders>
            <w:shd w:val="clear" w:color="auto" w:fill="auto"/>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nil"/>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r>
              <w:rPr>
                <w:rFonts w:cstheme="minorHAnsi"/>
                <w:color w:val="000000" w:themeColor="text1"/>
              </w:rPr>
              <w:lastRenderedPageBreak/>
              <w:t>32</w:t>
            </w:r>
          </w:p>
        </w:tc>
        <w:tc>
          <w:tcPr>
            <w:tcW w:w="3974" w:type="dxa"/>
            <w:tcBorders>
              <w:top w:val="nil"/>
              <w:left w:val="nil"/>
              <w:bottom w:val="nil"/>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directs the Licensees that, from FY 2013-14 onwards it should clearly depict the total power purchase cost incurred at UPPCL level, total power purchase cost paid by the Licensees to UPPCL </w:t>
            </w:r>
            <w:r>
              <w:rPr>
                <w:rFonts w:cstheme="minorHAnsi"/>
                <w:color w:val="000000" w:themeColor="text1"/>
              </w:rPr>
              <w:t>s</w:t>
            </w:r>
            <w:r w:rsidRPr="00835EE1">
              <w:rPr>
                <w:rFonts w:cstheme="minorHAnsi"/>
                <w:color w:val="000000" w:themeColor="text1"/>
              </w:rPr>
              <w:t>and power cost payable to UPPCL in its true-up petitions for future years.</w:t>
            </w:r>
          </w:p>
        </w:tc>
        <w:tc>
          <w:tcPr>
            <w:tcW w:w="1890" w:type="dxa"/>
            <w:tcBorders>
              <w:top w:val="nil"/>
              <w:left w:val="nil"/>
              <w:bottom w:val="nil"/>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Next ARR filing</w:t>
            </w:r>
          </w:p>
        </w:tc>
        <w:tc>
          <w:tcPr>
            <w:tcW w:w="5940" w:type="dxa"/>
            <w:tcBorders>
              <w:top w:val="nil"/>
              <w:left w:val="nil"/>
              <w:bottom w:val="nil"/>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directions issued by the Commission have been complied in the instant petition</w:t>
            </w:r>
          </w:p>
        </w:tc>
        <w:tc>
          <w:tcPr>
            <w:tcW w:w="2675" w:type="dxa"/>
            <w:tcBorders>
              <w:top w:val="nil"/>
              <w:left w:val="nil"/>
              <w:bottom w:val="nil"/>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has addressed the same in its directive for FY 2016-17</w:t>
            </w: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835EE1" w:rsidRDefault="00A20C40" w:rsidP="00A459A2">
            <w:pPr>
              <w:tabs>
                <w:tab w:val="center" w:pos="132"/>
              </w:tabs>
              <w:spacing w:line="240" w:lineRule="auto"/>
              <w:rPr>
                <w:rFonts w:cstheme="minorHAnsi"/>
                <w:color w:val="000000" w:themeColor="text1"/>
              </w:rPr>
            </w:pPr>
          </w:p>
        </w:tc>
        <w:tc>
          <w:tcPr>
            <w:tcW w:w="3974" w:type="dxa"/>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p>
        </w:tc>
        <w:tc>
          <w:tcPr>
            <w:tcW w:w="189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p>
        </w:tc>
        <w:tc>
          <w:tcPr>
            <w:tcW w:w="5940" w:type="dxa"/>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p>
        </w:tc>
        <w:tc>
          <w:tcPr>
            <w:tcW w:w="2675" w:type="dxa"/>
            <w:tcBorders>
              <w:top w:val="nil"/>
              <w:left w:val="nil"/>
              <w:bottom w:val="single" w:sz="4" w:space="0" w:color="auto"/>
              <w:right w:val="single" w:sz="8" w:space="0" w:color="auto"/>
            </w:tcBorders>
            <w:shd w:val="clear" w:color="auto" w:fill="auto"/>
            <w:hideMark/>
          </w:tcPr>
          <w:p w:rsidR="00A20C40" w:rsidRPr="00835EE1" w:rsidRDefault="00A20C40" w:rsidP="00A459A2">
            <w:pPr>
              <w:spacing w:line="240" w:lineRule="auto"/>
              <w:rPr>
                <w:rFonts w:cstheme="minorHAnsi"/>
                <w:color w:val="000000" w:themeColor="text1"/>
              </w:rPr>
            </w:pPr>
          </w:p>
        </w:tc>
      </w:tr>
      <w:tr w:rsidR="000F575E" w:rsidRPr="00835EE1" w:rsidTr="000F575E">
        <w:trPr>
          <w:cantSplit/>
          <w:jc w:val="center"/>
        </w:trPr>
        <w:tc>
          <w:tcPr>
            <w:tcW w:w="630" w:type="dxa"/>
            <w:tcBorders>
              <w:top w:val="nil"/>
              <w:left w:val="single" w:sz="8" w:space="0" w:color="auto"/>
              <w:bottom w:val="single" w:sz="4" w:space="0" w:color="auto"/>
              <w:right w:val="single" w:sz="4" w:space="0" w:color="auto"/>
            </w:tcBorders>
            <w:shd w:val="clear" w:color="auto" w:fill="auto"/>
            <w:noWrap/>
            <w:hideMark/>
          </w:tcPr>
          <w:p w:rsidR="00A20C40" w:rsidRPr="00946F61" w:rsidRDefault="00A20C40" w:rsidP="00A459A2">
            <w:pPr>
              <w:tabs>
                <w:tab w:val="center" w:pos="132"/>
              </w:tabs>
              <w:spacing w:line="240" w:lineRule="auto"/>
              <w:rPr>
                <w:rFonts w:cstheme="minorHAnsi"/>
                <w:color w:val="000000" w:themeColor="text1"/>
              </w:rPr>
            </w:pPr>
            <w:r>
              <w:rPr>
                <w:rFonts w:cstheme="minorHAnsi"/>
                <w:color w:val="000000" w:themeColor="text1"/>
              </w:rPr>
              <w:t>33</w:t>
            </w:r>
          </w:p>
        </w:tc>
        <w:tc>
          <w:tcPr>
            <w:tcW w:w="3974" w:type="dxa"/>
            <w:tcBorders>
              <w:top w:val="nil"/>
              <w:left w:val="nil"/>
              <w:bottom w:val="single" w:sz="4" w:space="0" w:color="auto"/>
              <w:right w:val="single" w:sz="4" w:space="0" w:color="auto"/>
            </w:tcBorders>
            <w:shd w:val="clear" w:color="auto" w:fill="auto"/>
            <w:noWrap/>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The Commission directs the Licensee that Open Access shall be allowed as per the provisions outlined by the Commission in its Regulations and amendments from time to time.</w:t>
            </w:r>
          </w:p>
        </w:tc>
        <w:tc>
          <w:tcPr>
            <w:tcW w:w="1890" w:type="dxa"/>
            <w:tcBorders>
              <w:top w:val="nil"/>
              <w:left w:val="nil"/>
              <w:bottom w:val="single" w:sz="4" w:space="0" w:color="auto"/>
              <w:right w:val="single" w:sz="4" w:space="0" w:color="auto"/>
            </w:tcBorders>
            <w:shd w:val="clear" w:color="auto" w:fill="auto"/>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Immediate</w:t>
            </w:r>
          </w:p>
        </w:tc>
        <w:tc>
          <w:tcPr>
            <w:tcW w:w="5940" w:type="dxa"/>
            <w:tcBorders>
              <w:top w:val="nil"/>
              <w:left w:val="nil"/>
              <w:bottom w:val="single" w:sz="4" w:space="0" w:color="auto"/>
              <w:right w:val="single" w:sz="4" w:space="0" w:color="auto"/>
            </w:tcBorders>
            <w:shd w:val="clear" w:color="auto" w:fill="auto"/>
            <w:hideMark/>
          </w:tcPr>
          <w:p w:rsidR="00A20C40" w:rsidRPr="00946F61" w:rsidRDefault="00A20C40" w:rsidP="00A54C20">
            <w:pPr>
              <w:spacing w:line="240" w:lineRule="auto"/>
              <w:rPr>
                <w:rFonts w:cstheme="minorHAnsi"/>
                <w:color w:val="000000" w:themeColor="text1"/>
              </w:rPr>
            </w:pPr>
            <w:r>
              <w:rPr>
                <w:rFonts w:cs="Calibri"/>
                <w:color w:val="000000"/>
              </w:rPr>
              <w:t xml:space="preserve">Open access has already been operationalised in the </w:t>
            </w:r>
            <w:r w:rsidR="00A54C20">
              <w:rPr>
                <w:rFonts w:cs="Calibri"/>
                <w:color w:val="000000"/>
              </w:rPr>
              <w:t xml:space="preserve">KESCO </w:t>
            </w:r>
            <w:r>
              <w:rPr>
                <w:rFonts w:cs="Calibri"/>
                <w:color w:val="000000"/>
              </w:rPr>
              <w:t>supply area.</w:t>
            </w:r>
            <w:r>
              <w:rPr>
                <w:rFonts w:cstheme="minorHAnsi"/>
                <w:color w:val="000000" w:themeColor="text1"/>
              </w:rPr>
              <w:t>.</w:t>
            </w:r>
          </w:p>
        </w:tc>
        <w:tc>
          <w:tcPr>
            <w:tcW w:w="2675" w:type="dxa"/>
            <w:tcBorders>
              <w:top w:val="nil"/>
              <w:left w:val="nil"/>
              <w:bottom w:val="single" w:sz="4" w:space="0" w:color="auto"/>
              <w:right w:val="single" w:sz="8" w:space="0" w:color="auto"/>
            </w:tcBorders>
            <w:shd w:val="clear" w:color="auto" w:fill="auto"/>
            <w:hideMark/>
          </w:tcPr>
          <w:p w:rsidR="00A20C40" w:rsidRPr="00946F61" w:rsidRDefault="00A20C40" w:rsidP="00A459A2">
            <w:pPr>
              <w:spacing w:line="240" w:lineRule="auto"/>
              <w:rPr>
                <w:rFonts w:cstheme="minorHAnsi"/>
                <w:color w:val="000000" w:themeColor="text1"/>
              </w:rPr>
            </w:pPr>
            <w:r>
              <w:rPr>
                <w:rFonts w:cstheme="minorHAnsi"/>
                <w:color w:val="000000" w:themeColor="text1"/>
              </w:rPr>
              <w:t>The Licensee should submit the status &amp; detail for the same in its Licensee area.</w:t>
            </w:r>
          </w:p>
        </w:tc>
      </w:tr>
    </w:tbl>
    <w:p w:rsidR="00A20C40" w:rsidRPr="00835EE1" w:rsidRDefault="00A20C40" w:rsidP="00A20C40">
      <w:pPr>
        <w:rPr>
          <w:sz w:val="20"/>
        </w:rPr>
      </w:pPr>
    </w:p>
    <w:p w:rsidR="00023318" w:rsidRPr="00023318" w:rsidRDefault="00023318" w:rsidP="00023318">
      <w:pPr>
        <w:pStyle w:val="Heading3"/>
        <w:tabs>
          <w:tab w:val="clear" w:pos="720"/>
        </w:tabs>
        <w:spacing w:after="120"/>
        <w:ind w:left="993" w:hanging="993"/>
        <w:rPr>
          <w:b/>
          <w:szCs w:val="24"/>
        </w:rPr>
      </w:pPr>
      <w:r w:rsidRPr="00023318">
        <w:rPr>
          <w:szCs w:val="24"/>
        </w:rPr>
        <w:t xml:space="preserve">The Commission once again </w:t>
      </w:r>
      <w:r w:rsidRPr="00023318">
        <w:rPr>
          <w:b/>
          <w:szCs w:val="24"/>
        </w:rPr>
        <w:t xml:space="preserve">directs the Licensee to comply with the balance directives issued in the previous Tariff Orders. The compliance report on the said directives shall be submitted to the Commission within one month from the date of issue of this Tariff Order. </w:t>
      </w:r>
    </w:p>
    <w:p w:rsidR="00A20C40" w:rsidRPr="00241B55" w:rsidRDefault="00A20C40" w:rsidP="00A20C40">
      <w:pPr>
        <w:pStyle w:val="Heading3"/>
        <w:numPr>
          <w:ilvl w:val="0"/>
          <w:numId w:val="0"/>
        </w:numPr>
        <w:spacing w:before="0"/>
        <w:ind w:left="720"/>
        <w:rPr>
          <w:szCs w:val="24"/>
        </w:rPr>
      </w:pPr>
    </w:p>
    <w:p w:rsidR="00023318" w:rsidRPr="00023318" w:rsidRDefault="00023318" w:rsidP="00023318">
      <w:pPr>
        <w:pStyle w:val="Heading3"/>
        <w:tabs>
          <w:tab w:val="clear" w:pos="720"/>
        </w:tabs>
        <w:spacing w:after="120"/>
        <w:ind w:left="993" w:hanging="993"/>
        <w:rPr>
          <w:szCs w:val="24"/>
        </w:rPr>
      </w:pPr>
      <w:r w:rsidRPr="00023318">
        <w:rPr>
          <w:szCs w:val="24"/>
        </w:rPr>
        <w:lastRenderedPageBreak/>
        <w:t xml:space="preserve">Further, some of the directives issued by the Commission in the present Tariff Order are in continuation or similar to the directives issued in the previous Tariff Order. In case the Licensees have not complied with the same earlier, it shall be necessary for them to provide reasons for non-compliance and further comply with the same as per the time-lines prescribed in the present Tariff Order. </w:t>
      </w:r>
    </w:p>
    <w:p w:rsidR="00A20C40" w:rsidRPr="00241B55" w:rsidRDefault="00A20C40" w:rsidP="00A20C40">
      <w:pPr>
        <w:pStyle w:val="Heading3"/>
        <w:numPr>
          <w:ilvl w:val="0"/>
          <w:numId w:val="0"/>
        </w:numPr>
        <w:spacing w:before="0"/>
        <w:ind w:left="720"/>
        <w:rPr>
          <w:szCs w:val="24"/>
        </w:rPr>
      </w:pPr>
    </w:p>
    <w:p w:rsidR="00023318" w:rsidRDefault="00023318" w:rsidP="00023318">
      <w:pPr>
        <w:pStyle w:val="Heading3"/>
        <w:tabs>
          <w:tab w:val="clear" w:pos="720"/>
        </w:tabs>
        <w:spacing w:after="120"/>
        <w:ind w:left="993" w:hanging="993"/>
        <w:rPr>
          <w:rFonts w:asciiTheme="minorHAnsi" w:hAnsiTheme="minorHAnsi"/>
          <w:sz w:val="22"/>
          <w:szCs w:val="24"/>
        </w:rPr>
      </w:pPr>
      <w:r w:rsidRPr="00023318">
        <w:rPr>
          <w:szCs w:val="24"/>
        </w:rPr>
        <w:t>The directives to the Licensee as issued under the present Tariff Order along with the time frame for compliance are given in the Table below:</w:t>
      </w:r>
    </w:p>
    <w:p w:rsidR="00A20C40" w:rsidRPr="00835EE1" w:rsidRDefault="00A20C40" w:rsidP="00A20C40">
      <w:pPr>
        <w:pStyle w:val="Heading3"/>
        <w:numPr>
          <w:ilvl w:val="0"/>
          <w:numId w:val="0"/>
        </w:numPr>
        <w:tabs>
          <w:tab w:val="clear" w:pos="720"/>
        </w:tabs>
        <w:spacing w:after="120"/>
        <w:ind w:left="993"/>
        <w:rPr>
          <w:rFonts w:asciiTheme="minorHAnsi" w:hAnsiTheme="minorHAnsi"/>
          <w:sz w:val="22"/>
          <w:szCs w:val="24"/>
        </w:rPr>
      </w:pPr>
    </w:p>
    <w:p w:rsidR="00023318" w:rsidRDefault="00023318" w:rsidP="00023318">
      <w:pPr>
        <w:jc w:val="center"/>
        <w:rPr>
          <w:b/>
          <w:sz w:val="20"/>
        </w:rPr>
      </w:pPr>
      <w:bookmarkStart w:id="1606" w:name="_Toc399624148"/>
      <w:bookmarkStart w:id="1607" w:name="_Toc422309985"/>
      <w:bookmarkStart w:id="1608" w:name="_Toc457355665"/>
      <w:r w:rsidRPr="00023318">
        <w:rPr>
          <w:b/>
          <w:sz w:val="20"/>
        </w:rPr>
        <w:t>TABLE 8-</w:t>
      </w:r>
      <w:r w:rsidR="004A2D9E" w:rsidRPr="00023318">
        <w:rPr>
          <w:b/>
          <w:sz w:val="20"/>
        </w:rPr>
        <w:fldChar w:fldCharType="begin"/>
      </w:r>
      <w:r w:rsidRPr="00023318">
        <w:rPr>
          <w:b/>
          <w:sz w:val="20"/>
        </w:rPr>
        <w:instrText xml:space="preserve"> SEQ Table \* ARABIC \s 1 </w:instrText>
      </w:r>
      <w:r w:rsidR="004A2D9E" w:rsidRPr="00023318">
        <w:rPr>
          <w:b/>
          <w:sz w:val="20"/>
        </w:rPr>
        <w:fldChar w:fldCharType="separate"/>
      </w:r>
      <w:r w:rsidR="0011185B">
        <w:rPr>
          <w:b/>
          <w:noProof/>
          <w:sz w:val="20"/>
        </w:rPr>
        <w:t>4</w:t>
      </w:r>
      <w:r w:rsidR="004A2D9E" w:rsidRPr="00023318">
        <w:rPr>
          <w:b/>
          <w:sz w:val="20"/>
        </w:rPr>
        <w:fldChar w:fldCharType="end"/>
      </w:r>
      <w:r w:rsidRPr="00023318">
        <w:rPr>
          <w:b/>
          <w:sz w:val="20"/>
        </w:rPr>
        <w:t>: D</w:t>
      </w:r>
      <w:r w:rsidRPr="00023318">
        <w:rPr>
          <w:b/>
          <w:sz w:val="20"/>
          <w:szCs w:val="20"/>
        </w:rPr>
        <w:t>IRECTIVES</w:t>
      </w:r>
      <w:bookmarkEnd w:id="1606"/>
      <w:r w:rsidR="00A20C40" w:rsidRPr="00835EE1">
        <w:rPr>
          <w:b/>
          <w:sz w:val="20"/>
        </w:rPr>
        <w:t xml:space="preserve"> ISSUED UNDER THE PRESENT TARIFF ORDER</w:t>
      </w:r>
      <w:bookmarkEnd w:id="1607"/>
      <w:bookmarkEnd w:id="1608"/>
    </w:p>
    <w:tbl>
      <w:tblPr>
        <w:tblW w:w="5000" w:type="pct"/>
        <w:tblLayout w:type="fixed"/>
        <w:tblLook w:val="04A0"/>
      </w:tblPr>
      <w:tblGrid>
        <w:gridCol w:w="890"/>
        <w:gridCol w:w="9777"/>
        <w:gridCol w:w="3503"/>
      </w:tblGrid>
      <w:tr w:rsidR="00A20C40" w:rsidRPr="00835EE1" w:rsidTr="004F012E">
        <w:trPr>
          <w:trHeight w:val="630"/>
          <w:tblHeader/>
        </w:trPr>
        <w:tc>
          <w:tcPr>
            <w:tcW w:w="314" w:type="pct"/>
            <w:tcBorders>
              <w:top w:val="single" w:sz="4" w:space="0" w:color="auto"/>
              <w:left w:val="single" w:sz="4" w:space="0" w:color="auto"/>
              <w:bottom w:val="single" w:sz="4" w:space="0" w:color="auto"/>
              <w:right w:val="single" w:sz="4" w:space="0" w:color="auto"/>
            </w:tcBorders>
            <w:shd w:val="clear" w:color="000000" w:fill="C5D9F1"/>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Sl.No.</w:t>
            </w:r>
          </w:p>
        </w:tc>
        <w:tc>
          <w:tcPr>
            <w:tcW w:w="3450" w:type="pct"/>
            <w:tcBorders>
              <w:top w:val="single" w:sz="4" w:space="0" w:color="auto"/>
              <w:left w:val="nil"/>
              <w:bottom w:val="single" w:sz="4" w:space="0" w:color="auto"/>
              <w:right w:val="single" w:sz="4" w:space="0" w:color="auto"/>
            </w:tcBorders>
            <w:shd w:val="clear" w:color="000000" w:fill="C5D9F1"/>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1236" w:type="pct"/>
            <w:tcBorders>
              <w:top w:val="single" w:sz="4" w:space="0" w:color="auto"/>
              <w:left w:val="nil"/>
              <w:bottom w:val="single" w:sz="4" w:space="0" w:color="auto"/>
              <w:right w:val="single" w:sz="4" w:space="0" w:color="auto"/>
            </w:tcBorders>
            <w:shd w:val="clear" w:color="000000" w:fill="C5D9F1"/>
            <w:hideMark/>
          </w:tcPr>
          <w:p w:rsidR="00B05011" w:rsidRDefault="00A20C40">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r>
      <w:tr w:rsidR="00A20C40" w:rsidRPr="00835EE1" w:rsidTr="00A459A2">
        <w:trPr>
          <w:trHeight w:val="386"/>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r>
      <w:tr w:rsidR="00A20C40" w:rsidRPr="00835EE1" w:rsidTr="00A459A2">
        <w:trPr>
          <w:trHeight w:val="53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4</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evolve principles for prudent segregation of 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7</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w:t>
            </w:r>
            <w:r w:rsidRPr="00835EE1">
              <w:rPr>
                <w:rFonts w:cstheme="minorHAnsi"/>
                <w:color w:val="000000" w:themeColor="text1"/>
              </w:rPr>
              <w:lastRenderedPageBreak/>
              <w:t xml:space="preserve">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Immediate</w:t>
            </w:r>
          </w:p>
        </w:tc>
      </w:tr>
      <w:tr w:rsidR="00A20C40" w:rsidRPr="00835EE1" w:rsidTr="00A459A2">
        <w:trPr>
          <w:trHeight w:val="728"/>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9</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75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34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1</w:t>
            </w:r>
            <w:r w:rsidR="004418AC">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Licensee to submit the consumer category and sub-category wise Regulatory Surcharges collected for each year till FY 2015-16 (December) since inception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57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6</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1</w:t>
            </w:r>
            <w:r w:rsidR="004418AC">
              <w:rPr>
                <w:rFonts w:cstheme="minorHAnsi"/>
                <w:color w:val="000000" w:themeColor="text1"/>
              </w:rPr>
              <w:t>7</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1</w:t>
            </w:r>
            <w:r w:rsidR="004418AC">
              <w:rPr>
                <w:rFonts w:cstheme="minorHAnsi"/>
                <w:color w:val="000000" w:themeColor="text1"/>
              </w:rPr>
              <w:t>8</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15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4418AC" w:rsidP="00A459A2">
            <w:pPr>
              <w:spacing w:line="240" w:lineRule="auto"/>
              <w:rPr>
                <w:rFonts w:cstheme="minorHAnsi"/>
                <w:color w:val="000000" w:themeColor="text1"/>
              </w:rPr>
            </w:pPr>
            <w:r>
              <w:rPr>
                <w:rFonts w:cstheme="minorHAnsi"/>
                <w:color w:val="000000" w:themeColor="text1"/>
              </w:rPr>
              <w:t>19</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 2014 for submission of the same under the Multi Year Tariff Regulation, 2014 </w:t>
            </w:r>
            <w:r>
              <w:rPr>
                <w:rFonts w:cstheme="minorHAnsi"/>
                <w:color w:val="000000" w:themeColor="text1"/>
              </w:rPr>
              <w:t xml:space="preserve">is over </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42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2</w:t>
            </w:r>
            <w:r w:rsidR="004418AC">
              <w:rPr>
                <w:rFonts w:cstheme="minorHAnsi"/>
                <w:color w:val="000000" w:themeColor="text1"/>
              </w:rPr>
              <w:t>0</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urban area for FY 2014-15 &amp; FY 2015-1</w:t>
            </w:r>
            <w:r>
              <w:rPr>
                <w:rFonts w:cstheme="minorHAnsi"/>
                <w:color w:val="000000" w:themeColor="text1"/>
              </w:rPr>
              <w:t>6</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Within one month from issue of this  Order</w:t>
            </w:r>
          </w:p>
        </w:tc>
      </w:tr>
      <w:tr w:rsidR="00A20C40" w:rsidRPr="00835EE1" w:rsidTr="00A459A2">
        <w:trPr>
          <w:trHeight w:val="242"/>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2</w:t>
            </w:r>
            <w:r w:rsidR="004418AC">
              <w:rPr>
                <w:rFonts w:cstheme="minorHAnsi"/>
                <w:color w:val="000000" w:themeColor="text1"/>
              </w:rPr>
              <w:t>1</w:t>
            </w:r>
          </w:p>
        </w:tc>
        <w:tc>
          <w:tcPr>
            <w:tcW w:w="3450" w:type="pct"/>
            <w:tcBorders>
              <w:top w:val="nil"/>
              <w:left w:val="nil"/>
              <w:bottom w:val="single" w:sz="4" w:space="0" w:color="auto"/>
              <w:right w:val="single" w:sz="4" w:space="0" w:color="auto"/>
            </w:tcBorders>
            <w:shd w:val="clear" w:color="auto" w:fill="auto"/>
            <w:noWrap/>
            <w:hideMark/>
          </w:tcPr>
          <w:p w:rsidR="00A20C40" w:rsidRDefault="00A20C40" w:rsidP="00A459A2">
            <w:pPr>
              <w:spacing w:line="240" w:lineRule="auto"/>
              <w:rPr>
                <w:rFonts w:cstheme="minorHAnsi"/>
                <w:color w:val="000000" w:themeColor="text1"/>
              </w:rPr>
            </w:pPr>
            <w:r w:rsidRPr="00835EE1">
              <w:rPr>
                <w:rFonts w:cstheme="minorHAnsi"/>
                <w:color w:val="000000" w:themeColor="text1"/>
              </w:rPr>
              <w:t>Petitioner should submit</w:t>
            </w:r>
            <w:r>
              <w:rPr>
                <w:rFonts w:cstheme="minorHAnsi"/>
                <w:color w:val="000000" w:themeColor="text1"/>
              </w:rPr>
              <w:t xml:space="preserve"> actual </w:t>
            </w:r>
            <w:r w:rsidRPr="00835EE1">
              <w:rPr>
                <w:rFonts w:cstheme="minorHAnsi"/>
                <w:color w:val="000000" w:themeColor="text1"/>
              </w:rPr>
              <w:t>distribution loss in FY 2014-15 &amp; FY 2015-16. The Petitioner is hereby directed to submit the relevant information at the earliest from the issuance of this Order.</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At the earliest</w:t>
            </w:r>
          </w:p>
        </w:tc>
      </w:tr>
      <w:tr w:rsidR="00A20C40" w:rsidRPr="00835EE1" w:rsidTr="00A459A2">
        <w:trPr>
          <w:trHeight w:val="701"/>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2</w:t>
            </w:r>
            <w:r w:rsidR="004418AC">
              <w:rPr>
                <w:rFonts w:cstheme="minorHAnsi"/>
                <w:color w:val="000000" w:themeColor="text1"/>
              </w:rPr>
              <w:t>2</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Immediate</w:t>
            </w:r>
          </w:p>
        </w:tc>
      </w:tr>
      <w:tr w:rsidR="00A20C40" w:rsidRPr="00835EE1" w:rsidTr="00A459A2">
        <w:trPr>
          <w:trHeight w:val="737"/>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2</w:t>
            </w:r>
            <w:r w:rsidR="004418AC">
              <w:rPr>
                <w:rFonts w:cstheme="minorHAnsi"/>
                <w:color w:val="000000" w:themeColor="text1"/>
              </w:rPr>
              <w:t>3</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r>
      <w:tr w:rsidR="00A20C40" w:rsidRPr="00835EE1" w:rsidTr="00A459A2">
        <w:trPr>
          <w:trHeight w:val="94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lastRenderedPageBreak/>
              <w:t>2</w:t>
            </w:r>
            <w:r w:rsidR="004418AC">
              <w:rPr>
                <w:rFonts w:cstheme="minorHAnsi"/>
                <w:color w:val="000000" w:themeColor="text1"/>
              </w:rPr>
              <w:t>4</w:t>
            </w:r>
          </w:p>
        </w:tc>
        <w:tc>
          <w:tcPr>
            <w:tcW w:w="3450" w:type="pct"/>
            <w:tcBorders>
              <w:top w:val="nil"/>
              <w:left w:val="nil"/>
              <w:bottom w:val="single" w:sz="4" w:space="0" w:color="auto"/>
              <w:right w:val="single" w:sz="4" w:space="0" w:color="auto"/>
            </w:tcBorders>
            <w:shd w:val="clear" w:color="auto" w:fill="auto"/>
            <w:noWrap/>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 xml:space="preserve">The Commission directs UPPCL to submit a </w:t>
            </w:r>
            <w:r>
              <w:rPr>
                <w:rFonts w:cstheme="minorHAnsi"/>
                <w:color w:val="000000" w:themeColor="text1"/>
              </w:rPr>
              <w:t xml:space="preserve">monthly </w:t>
            </w:r>
            <w:r w:rsidRPr="00835EE1">
              <w:rPr>
                <w:rFonts w:cstheme="minorHAnsi"/>
                <w:color w:val="000000" w:themeColor="text1"/>
              </w:rPr>
              <w:t>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p>
        </w:tc>
        <w:tc>
          <w:tcPr>
            <w:tcW w:w="1236" w:type="pct"/>
            <w:tcBorders>
              <w:top w:val="nil"/>
              <w:left w:val="nil"/>
              <w:bottom w:val="single" w:sz="4" w:space="0" w:color="auto"/>
              <w:right w:val="single" w:sz="4" w:space="0" w:color="auto"/>
            </w:tcBorders>
            <w:shd w:val="clear" w:color="auto" w:fill="auto"/>
            <w:hideMark/>
          </w:tcPr>
          <w:p w:rsidR="00A20C40" w:rsidRPr="00835EE1" w:rsidRDefault="00A20C40" w:rsidP="00A459A2">
            <w:pPr>
              <w:spacing w:line="240" w:lineRule="auto"/>
              <w:rPr>
                <w:rFonts w:cstheme="minorHAnsi"/>
                <w:color w:val="000000" w:themeColor="text1"/>
              </w:rPr>
            </w:pPr>
            <w:r w:rsidRPr="00835EE1">
              <w:rPr>
                <w:rFonts w:cstheme="minorHAnsi"/>
                <w:color w:val="000000" w:themeColor="text1"/>
              </w:rPr>
              <w:t>Monthly Basis</w:t>
            </w:r>
          </w:p>
        </w:tc>
      </w:tr>
      <w:tr w:rsidR="00A12BB8" w:rsidRPr="00835EE1" w:rsidTr="00A459A2">
        <w:trPr>
          <w:trHeight w:val="62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12BB8" w:rsidRPr="00835EE1" w:rsidRDefault="00A12BB8" w:rsidP="00A459A2">
            <w:pPr>
              <w:spacing w:line="240" w:lineRule="auto"/>
              <w:rPr>
                <w:rFonts w:cstheme="minorHAnsi"/>
                <w:color w:val="000000" w:themeColor="text1"/>
              </w:rPr>
            </w:pPr>
            <w:r w:rsidRPr="00835EE1">
              <w:rPr>
                <w:rFonts w:cstheme="minorHAnsi"/>
                <w:color w:val="000000" w:themeColor="text1"/>
              </w:rPr>
              <w:t>2</w:t>
            </w:r>
            <w:r>
              <w:rPr>
                <w:rFonts w:cstheme="minorHAnsi"/>
                <w:color w:val="000000" w:themeColor="text1"/>
              </w:rPr>
              <w:t>5</w:t>
            </w:r>
          </w:p>
        </w:tc>
        <w:tc>
          <w:tcPr>
            <w:tcW w:w="3450" w:type="pct"/>
            <w:tcBorders>
              <w:top w:val="nil"/>
              <w:left w:val="nil"/>
              <w:bottom w:val="single" w:sz="4" w:space="0" w:color="auto"/>
              <w:right w:val="single" w:sz="4" w:space="0" w:color="auto"/>
            </w:tcBorders>
            <w:shd w:val="clear" w:color="auto" w:fill="auto"/>
            <w:noWrap/>
            <w:hideMark/>
          </w:tcPr>
          <w:p w:rsidR="00A12BB8" w:rsidRPr="00835EE1" w:rsidRDefault="00A12BB8" w:rsidP="00A459A2">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1236" w:type="pct"/>
            <w:tcBorders>
              <w:top w:val="nil"/>
              <w:left w:val="nil"/>
              <w:bottom w:val="single" w:sz="4" w:space="0" w:color="auto"/>
              <w:right w:val="single" w:sz="4" w:space="0" w:color="auto"/>
            </w:tcBorders>
            <w:shd w:val="clear" w:color="auto" w:fill="auto"/>
            <w:hideMark/>
          </w:tcPr>
          <w:p w:rsidR="00A12BB8" w:rsidRPr="00835EE1" w:rsidRDefault="00A12BB8" w:rsidP="00A459A2">
            <w:pPr>
              <w:spacing w:line="240" w:lineRule="auto"/>
              <w:rPr>
                <w:rFonts w:cstheme="minorHAnsi"/>
                <w:color w:val="000000" w:themeColor="text1"/>
              </w:rPr>
            </w:pPr>
            <w:r w:rsidRPr="00835EE1">
              <w:rPr>
                <w:rFonts w:cstheme="minorHAnsi"/>
                <w:color w:val="000000" w:themeColor="text1"/>
              </w:rPr>
              <w:t>As per MYT timeline</w:t>
            </w:r>
          </w:p>
        </w:tc>
      </w:tr>
      <w:tr w:rsidR="00A12BB8" w:rsidRPr="00835EE1" w:rsidTr="000F26D5">
        <w:trPr>
          <w:trHeight w:val="629"/>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A12BB8" w:rsidRPr="009C11BA"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26</w:t>
            </w:r>
          </w:p>
        </w:tc>
        <w:tc>
          <w:tcPr>
            <w:tcW w:w="3450" w:type="pct"/>
            <w:tcBorders>
              <w:top w:val="nil"/>
              <w:left w:val="nil"/>
              <w:bottom w:val="single" w:sz="4" w:space="0" w:color="auto"/>
              <w:right w:val="single" w:sz="4" w:space="0" w:color="auto"/>
            </w:tcBorders>
            <w:shd w:val="clear" w:color="auto" w:fill="auto"/>
            <w:noWrap/>
            <w:hideMark/>
          </w:tcPr>
          <w:p w:rsidR="00A12BB8" w:rsidRPr="009C11BA"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The Commission directs the Petitioner to submit a proposal for “Rate Schedule” linked to number of hours of supply.</w:t>
            </w:r>
          </w:p>
        </w:tc>
        <w:tc>
          <w:tcPr>
            <w:tcW w:w="1236" w:type="pct"/>
            <w:tcBorders>
              <w:top w:val="nil"/>
              <w:left w:val="nil"/>
              <w:bottom w:val="single" w:sz="4" w:space="0" w:color="auto"/>
              <w:right w:val="single" w:sz="4" w:space="0" w:color="auto"/>
            </w:tcBorders>
            <w:shd w:val="clear" w:color="auto" w:fill="auto"/>
            <w:hideMark/>
          </w:tcPr>
          <w:p w:rsidR="00A12BB8" w:rsidRPr="009C11BA"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At the time of next ARR filings</w:t>
            </w:r>
          </w:p>
        </w:tc>
      </w:tr>
      <w:tr w:rsidR="000F26D5" w:rsidRPr="00835EE1" w:rsidTr="000F26D5">
        <w:trPr>
          <w:trHeight w:val="629"/>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26D5" w:rsidRPr="00E65D3C" w:rsidRDefault="000F26D5" w:rsidP="000F26D5">
            <w:pPr>
              <w:spacing w:before="0" w:line="240" w:lineRule="auto"/>
              <w:rPr>
                <w:rFonts w:asciiTheme="minorHAnsi" w:hAnsiTheme="minorHAnsi" w:cstheme="minorHAnsi"/>
                <w:color w:val="000000" w:themeColor="text1"/>
                <w:szCs w:val="22"/>
              </w:rPr>
            </w:pPr>
            <w:r>
              <w:rPr>
                <w:rFonts w:asciiTheme="minorHAnsi" w:hAnsiTheme="minorHAnsi" w:cstheme="minorHAnsi"/>
                <w:color w:val="000000" w:themeColor="text1"/>
                <w:szCs w:val="22"/>
              </w:rPr>
              <w:t>27</w:t>
            </w:r>
          </w:p>
        </w:tc>
        <w:tc>
          <w:tcPr>
            <w:tcW w:w="3450" w:type="pct"/>
            <w:tcBorders>
              <w:top w:val="single" w:sz="4" w:space="0" w:color="auto"/>
              <w:left w:val="nil"/>
              <w:bottom w:val="single" w:sz="4" w:space="0" w:color="auto"/>
              <w:right w:val="single" w:sz="4" w:space="0" w:color="auto"/>
            </w:tcBorders>
            <w:shd w:val="clear" w:color="auto" w:fill="auto"/>
            <w:noWrap/>
            <w:hideMark/>
          </w:tcPr>
          <w:p w:rsidR="000F26D5" w:rsidRPr="00E65D3C" w:rsidRDefault="000F26D5" w:rsidP="000F26D5">
            <w:pPr>
              <w:spacing w:before="0" w:line="240" w:lineRule="auto"/>
              <w:rPr>
                <w:rFonts w:asciiTheme="minorHAnsi" w:hAnsiTheme="minorHAnsi" w:cstheme="minorHAnsi"/>
                <w:color w:val="000000" w:themeColor="text1"/>
                <w:szCs w:val="22"/>
              </w:rPr>
            </w:pPr>
            <w:r>
              <w:rPr>
                <w:rFonts w:cstheme="minorHAnsi"/>
                <w:color w:val="000000" w:themeColor="text1"/>
              </w:rPr>
              <w:t>The Licensee is directed to explore the possibility of having TOD tariff structure for domestic and non-domestic categories and submit their proposal.</w:t>
            </w:r>
          </w:p>
        </w:tc>
        <w:tc>
          <w:tcPr>
            <w:tcW w:w="1236" w:type="pct"/>
            <w:tcBorders>
              <w:top w:val="single" w:sz="4" w:space="0" w:color="auto"/>
              <w:left w:val="nil"/>
              <w:bottom w:val="single" w:sz="4" w:space="0" w:color="auto"/>
              <w:right w:val="single" w:sz="4" w:space="0" w:color="auto"/>
            </w:tcBorders>
            <w:shd w:val="clear" w:color="auto" w:fill="auto"/>
            <w:hideMark/>
          </w:tcPr>
          <w:p w:rsidR="000F26D5" w:rsidRDefault="000F26D5" w:rsidP="000F26D5">
            <w:pPr>
              <w:spacing w:before="0" w:line="240" w:lineRule="auto"/>
              <w:rPr>
                <w:rFonts w:cstheme="minorHAnsi"/>
                <w:color w:val="000000" w:themeColor="text1"/>
              </w:rPr>
            </w:pPr>
            <w:r w:rsidRPr="006C63AF">
              <w:rPr>
                <w:rFonts w:cstheme="minorHAnsi"/>
                <w:color w:val="000000" w:themeColor="text1"/>
              </w:rPr>
              <w:t>At the time of next ARR filings</w:t>
            </w:r>
          </w:p>
        </w:tc>
      </w:tr>
    </w:tbl>
    <w:p w:rsidR="00023318" w:rsidRDefault="00023318" w:rsidP="000F26D5">
      <w:pPr>
        <w:pStyle w:val="Heading3"/>
        <w:numPr>
          <w:ilvl w:val="0"/>
          <w:numId w:val="0"/>
        </w:numPr>
        <w:tabs>
          <w:tab w:val="clear" w:pos="720"/>
        </w:tabs>
        <w:spacing w:before="0" w:after="120"/>
        <w:ind w:left="993"/>
        <w:rPr>
          <w:rFonts w:asciiTheme="minorHAnsi" w:hAnsiTheme="minorHAnsi"/>
          <w:szCs w:val="24"/>
        </w:rPr>
      </w:pPr>
    </w:p>
    <w:p w:rsidR="00023318" w:rsidRPr="00023318" w:rsidRDefault="00023318" w:rsidP="00023318">
      <w:pPr>
        <w:pStyle w:val="Heading3"/>
        <w:tabs>
          <w:tab w:val="clear" w:pos="720"/>
        </w:tabs>
        <w:spacing w:after="120"/>
        <w:ind w:left="993" w:hanging="993"/>
        <w:rPr>
          <w:szCs w:val="24"/>
        </w:rPr>
      </w:pPr>
      <w:r w:rsidRPr="00023318">
        <w:rPr>
          <w:szCs w:val="24"/>
        </w:rPr>
        <w:t>The Commission would like to mention here that the list given above may not be exhaustive and the Licensee is directed comply with all directives given in the text of this Order.</w:t>
      </w:r>
    </w:p>
    <w:p w:rsidR="00023318" w:rsidRPr="00023318" w:rsidRDefault="00023318" w:rsidP="00023318">
      <w:pPr>
        <w:pStyle w:val="Heading3"/>
        <w:tabs>
          <w:tab w:val="clear" w:pos="720"/>
        </w:tabs>
        <w:spacing w:after="120"/>
        <w:ind w:left="993" w:hanging="993"/>
        <w:rPr>
          <w:szCs w:val="24"/>
        </w:rPr>
      </w:pPr>
      <w:r w:rsidRPr="00023318">
        <w:rPr>
          <w:szCs w:val="24"/>
        </w:rPr>
        <w:t>The Commission directs the Licensee to follow the directions scrupulously and send the periodical reports by 30</w:t>
      </w:r>
      <w:r w:rsidRPr="00023318">
        <w:rPr>
          <w:szCs w:val="24"/>
          <w:vertAlign w:val="superscript"/>
        </w:rPr>
        <w:t>th</w:t>
      </w:r>
      <w:r w:rsidRPr="00023318">
        <w:rPr>
          <w:szCs w:val="24"/>
        </w:rPr>
        <w:t xml:space="preserve"> of every month about the compliance of these directions in the format titled ‘Action Taken Report on the Directions Issued by the Commission’ provided at </w:t>
      </w:r>
      <w:r w:rsidR="00B81142">
        <w:rPr>
          <w:szCs w:val="24"/>
        </w:rPr>
        <w:t>Annexure-</w:t>
      </w:r>
      <w:r w:rsidR="00EE1CB7">
        <w:rPr>
          <w:szCs w:val="24"/>
        </w:rPr>
        <w:t>11.</w:t>
      </w:r>
      <w:r w:rsidR="00B81142">
        <w:rPr>
          <w:szCs w:val="24"/>
        </w:rPr>
        <w:t>7</w:t>
      </w:r>
      <w:r w:rsidR="006008F9">
        <w:rPr>
          <w:szCs w:val="24"/>
        </w:rPr>
        <w:t xml:space="preserve"> </w:t>
      </w:r>
      <w:r w:rsidRPr="00023318">
        <w:rPr>
          <w:szCs w:val="24"/>
        </w:rPr>
        <w:t>of this Order.</w:t>
      </w:r>
    </w:p>
    <w:p w:rsidR="00A20C40" w:rsidRDefault="00A20C40" w:rsidP="008339E0">
      <w:pPr>
        <w:pStyle w:val="Heading1"/>
        <w:sectPr w:rsidR="00A20C40" w:rsidSect="00A20C40">
          <w:pgSz w:w="16834" w:h="11909" w:orient="landscape"/>
          <w:pgMar w:top="1440" w:right="1440" w:bottom="1800" w:left="1440" w:header="720" w:footer="720" w:gutter="0"/>
          <w:pgNumType w:chapSep="colon"/>
          <w:cols w:space="720"/>
          <w:docGrid w:linePitch="326"/>
        </w:sectPr>
      </w:pPr>
    </w:p>
    <w:p w:rsidR="00023318" w:rsidRDefault="00C34658" w:rsidP="00023318">
      <w:pPr>
        <w:pStyle w:val="Heading1"/>
      </w:pPr>
      <w:bookmarkStart w:id="1609" w:name="_Toc455507148"/>
      <w:bookmarkStart w:id="1610" w:name="_Toc455507445"/>
      <w:bookmarkStart w:id="1611" w:name="_Toc455575093"/>
      <w:bookmarkStart w:id="1612" w:name="_Toc455673704"/>
      <w:bookmarkStart w:id="1613" w:name="_Toc457355522"/>
      <w:bookmarkEnd w:id="1609"/>
      <w:bookmarkEnd w:id="1610"/>
      <w:bookmarkEnd w:id="1611"/>
      <w:bookmarkEnd w:id="1612"/>
      <w:r w:rsidRPr="00C60AD1">
        <w:lastRenderedPageBreak/>
        <w:t>APPLICABILITY OF THE ORDER</w:t>
      </w:r>
      <w:bookmarkEnd w:id="1581"/>
      <w:bookmarkEnd w:id="1582"/>
      <w:bookmarkEnd w:id="1583"/>
      <w:bookmarkEnd w:id="1584"/>
      <w:bookmarkEnd w:id="1585"/>
      <w:bookmarkEnd w:id="1586"/>
      <w:bookmarkEnd w:id="1613"/>
    </w:p>
    <w:p w:rsidR="00C34658" w:rsidRPr="00C60AD1" w:rsidRDefault="00C34658" w:rsidP="00C34658">
      <w:pPr>
        <w:pStyle w:val="Heading3"/>
        <w:numPr>
          <w:ilvl w:val="0"/>
          <w:numId w:val="0"/>
        </w:numPr>
        <w:tabs>
          <w:tab w:val="clear" w:pos="720"/>
        </w:tabs>
        <w:spacing w:before="0"/>
        <w:ind w:left="810"/>
      </w:pPr>
      <w:bookmarkStart w:id="1614" w:name="_Toc357356183"/>
      <w:r w:rsidRPr="00C60AD1">
        <w:t>The Licensee, in accordance to Section 139 of the Uttar Pradesh Electricity Regulatory Commission (Conduct of Business) Regulations 2004, shall publish the approved tariffs</w:t>
      </w:r>
      <w:r w:rsidR="0042750C">
        <w:t xml:space="preserve"> (including </w:t>
      </w:r>
      <w:r w:rsidR="006C39A0">
        <w:t xml:space="preserve">rates, </w:t>
      </w:r>
      <w:r w:rsidR="0042750C" w:rsidRPr="00C60AD1">
        <w:t>regulatory surcharge</w:t>
      </w:r>
      <w:r w:rsidR="006C39A0">
        <w:t>, open access charges</w:t>
      </w:r>
      <w:r w:rsidR="0042750C">
        <w:t xml:space="preserve"> etc.) </w:t>
      </w:r>
      <w:r w:rsidRPr="00C60AD1">
        <w:t>within three days from the date of this Order. The Licensee shall ensure that the same is published in at least two daily newspapers (one English and one Hindi) having wide circulation in the area of supply. The tariffs so published shall become the notified tariffs applicable in the area of supply and shall come into force after seven days from the date of such publication of the tariffs, and unless amended or revoked, shall continue to be in force till issuance of the next Tariff Order.</w:t>
      </w:r>
      <w:bookmarkEnd w:id="1614"/>
      <w:r w:rsidR="0000134B">
        <w:t xml:space="preserve"> </w:t>
      </w:r>
      <w:r w:rsidRPr="00C60AD1">
        <w:t>The Commission may issue clarification / corrigendum / addendum to this Order as it deems fit from time to time with the reasons to be recorded in writing.</w:t>
      </w:r>
    </w:p>
    <w:p w:rsidR="00C34658" w:rsidRPr="00C60AD1" w:rsidRDefault="00C34658" w:rsidP="00C34658">
      <w:pPr>
        <w:pStyle w:val="Heading3"/>
        <w:numPr>
          <w:ilvl w:val="0"/>
          <w:numId w:val="0"/>
        </w:numPr>
        <w:tabs>
          <w:tab w:val="clear" w:pos="720"/>
        </w:tabs>
        <w:spacing w:before="0"/>
        <w:ind w:left="810"/>
      </w:pPr>
    </w:p>
    <w:p w:rsidR="00C34658" w:rsidRPr="00C60AD1" w:rsidRDefault="00C34658" w:rsidP="00C34658"/>
    <w:p w:rsidR="00C34658" w:rsidRPr="00C60AD1" w:rsidRDefault="00C34658" w:rsidP="00C34658"/>
    <w:p w:rsidR="00C34658" w:rsidRPr="00C60AD1" w:rsidRDefault="00C34658" w:rsidP="00C34658"/>
    <w:tbl>
      <w:tblPr>
        <w:tblStyle w:val="TableGrid"/>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3"/>
        <w:gridCol w:w="2750"/>
        <w:gridCol w:w="2892"/>
      </w:tblGrid>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w:t>
            </w:r>
            <w:r w:rsidR="00C8499B">
              <w:rPr>
                <w:rFonts w:asciiTheme="minorHAnsi" w:hAnsiTheme="minorHAnsi" w:cstheme="minorHAnsi"/>
                <w:b/>
              </w:rPr>
              <w:t>S</w:t>
            </w:r>
            <w:r w:rsidR="00A145A8">
              <w:rPr>
                <w:rFonts w:asciiTheme="minorHAnsi" w:hAnsiTheme="minorHAnsi" w:cstheme="minorHAnsi"/>
                <w:b/>
              </w:rPr>
              <w:t>.</w:t>
            </w:r>
            <w:r w:rsidR="00C8499B">
              <w:rPr>
                <w:rFonts w:asciiTheme="minorHAnsi" w:hAnsiTheme="minorHAnsi" w:cstheme="minorHAnsi"/>
                <w:b/>
              </w:rPr>
              <w:t xml:space="preserve"> K</w:t>
            </w:r>
            <w:r w:rsidR="00A145A8">
              <w:rPr>
                <w:rFonts w:asciiTheme="minorHAnsi" w:hAnsiTheme="minorHAnsi" w:cstheme="minorHAnsi"/>
                <w:b/>
              </w:rPr>
              <w:t>.</w:t>
            </w:r>
            <w:r w:rsidR="00C8499B">
              <w:rPr>
                <w:rFonts w:asciiTheme="minorHAnsi" w:hAnsiTheme="minorHAnsi" w:cstheme="minorHAnsi"/>
                <w:b/>
              </w:rPr>
              <w:t xml:space="preserve"> Agarwal</w:t>
            </w:r>
            <w:r w:rsidRPr="00C60AD1">
              <w:rPr>
                <w:rFonts w:asciiTheme="minorHAnsi" w:hAnsiTheme="minorHAnsi" w:cstheme="minorHAnsi"/>
                <w:b/>
              </w:rPr>
              <w:t>)</w:t>
            </w:r>
          </w:p>
        </w:tc>
        <w:tc>
          <w:tcPr>
            <w:tcW w:w="3192" w:type="dxa"/>
            <w:vAlign w:val="center"/>
          </w:tcPr>
          <w:p w:rsidR="00C34658" w:rsidRPr="00C60AD1" w:rsidRDefault="00C34658" w:rsidP="00C8499B">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(Desh Deepak Verma)</w:t>
            </w:r>
          </w:p>
        </w:tc>
      </w:tr>
      <w:tr w:rsidR="00C34658" w:rsidRPr="00C60AD1" w:rsidTr="00D55642">
        <w:trPr>
          <w:jc w:val="center"/>
        </w:trPr>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Member</w:t>
            </w:r>
          </w:p>
        </w:tc>
        <w:tc>
          <w:tcPr>
            <w:tcW w:w="3192" w:type="dxa"/>
            <w:vAlign w:val="center"/>
          </w:tcPr>
          <w:p w:rsidR="00C34658" w:rsidRPr="00C60AD1" w:rsidRDefault="00C34658" w:rsidP="00D55642">
            <w:pPr>
              <w:jc w:val="center"/>
              <w:rPr>
                <w:rFonts w:asciiTheme="minorHAnsi" w:hAnsiTheme="minorHAnsi"/>
                <w:b/>
              </w:rPr>
            </w:pPr>
          </w:p>
        </w:tc>
        <w:tc>
          <w:tcPr>
            <w:tcW w:w="3192" w:type="dxa"/>
            <w:vAlign w:val="center"/>
          </w:tcPr>
          <w:p w:rsidR="00C34658" w:rsidRPr="00C60AD1" w:rsidRDefault="00C34658" w:rsidP="00D55642">
            <w:pPr>
              <w:jc w:val="center"/>
              <w:rPr>
                <w:rFonts w:asciiTheme="minorHAnsi" w:hAnsiTheme="minorHAnsi"/>
                <w:b/>
              </w:rPr>
            </w:pPr>
            <w:r w:rsidRPr="00C60AD1">
              <w:rPr>
                <w:rFonts w:asciiTheme="minorHAnsi" w:hAnsiTheme="minorHAnsi" w:cstheme="minorHAnsi"/>
                <w:b/>
              </w:rPr>
              <w:t>Chairman</w:t>
            </w:r>
          </w:p>
        </w:tc>
      </w:tr>
    </w:tbl>
    <w:p w:rsidR="00C34658" w:rsidRPr="00C60AD1" w:rsidRDefault="00C34658" w:rsidP="00C34658">
      <w:pPr>
        <w:pStyle w:val="Heading3"/>
        <w:numPr>
          <w:ilvl w:val="0"/>
          <w:numId w:val="0"/>
        </w:numPr>
        <w:spacing w:before="0"/>
        <w:ind w:left="576"/>
        <w:rPr>
          <w:b/>
        </w:rPr>
      </w:pPr>
    </w:p>
    <w:p w:rsidR="00C34658" w:rsidRPr="00C60AD1" w:rsidRDefault="00C34658" w:rsidP="00C34658"/>
    <w:p w:rsidR="00C34658" w:rsidRPr="00C60AD1" w:rsidRDefault="00C34658" w:rsidP="00C34658">
      <w:pPr>
        <w:spacing w:before="0"/>
        <w:jc w:val="center"/>
        <w:rPr>
          <w:rFonts w:asciiTheme="minorHAnsi" w:hAnsiTheme="minorHAnsi" w:cstheme="minorHAnsi"/>
          <w:sz w:val="28"/>
          <w:szCs w:val="28"/>
        </w:rPr>
      </w:pPr>
    </w:p>
    <w:p w:rsidR="00C34658" w:rsidRPr="00C60AD1" w:rsidRDefault="00C34658" w:rsidP="00C34658">
      <w:pPr>
        <w:rPr>
          <w:rFonts w:asciiTheme="minorHAnsi" w:hAnsiTheme="minorHAnsi" w:cstheme="minorHAnsi"/>
          <w:sz w:val="28"/>
          <w:szCs w:val="28"/>
        </w:rPr>
      </w:pPr>
    </w:p>
    <w:p w:rsidR="00C34658" w:rsidRPr="00C60AD1" w:rsidRDefault="001D644C" w:rsidP="00C34658">
      <w:r w:rsidRPr="001D644C">
        <w:rPr>
          <w:b/>
        </w:rPr>
        <w:t>Date</w:t>
      </w:r>
      <w:r w:rsidR="00C34658" w:rsidRPr="00C60AD1">
        <w:t>:</w:t>
      </w:r>
      <w:r w:rsidR="00C34658" w:rsidRPr="007E7BB7">
        <w:t xml:space="preserve"> </w:t>
      </w:r>
      <w:r w:rsidR="007E7BB7" w:rsidRPr="007E7BB7">
        <w:t>August 1</w:t>
      </w:r>
      <w:r w:rsidR="00C34658" w:rsidRPr="00C60AD1">
        <w:t>, 201</w:t>
      </w:r>
      <w:r w:rsidR="00C34658">
        <w:t>6</w:t>
      </w:r>
    </w:p>
    <w:p w:rsidR="00C34658" w:rsidRPr="00C60AD1" w:rsidRDefault="001D644C" w:rsidP="00C34658">
      <w:pPr>
        <w:pStyle w:val="Heading3"/>
        <w:numPr>
          <w:ilvl w:val="0"/>
          <w:numId w:val="0"/>
        </w:numPr>
        <w:tabs>
          <w:tab w:val="clear" w:pos="720"/>
        </w:tabs>
        <w:spacing w:after="120"/>
      </w:pPr>
      <w:r w:rsidRPr="001D644C">
        <w:rPr>
          <w:b/>
        </w:rPr>
        <w:t>Place</w:t>
      </w:r>
      <w:r w:rsidR="0000134B">
        <w:t xml:space="preserve">: </w:t>
      </w:r>
      <w:r w:rsidR="00C34658">
        <w:t>Lucknow</w:t>
      </w:r>
    </w:p>
    <w:p w:rsidR="00C34658" w:rsidRPr="00C60AD1" w:rsidRDefault="00C34658" w:rsidP="00C34658">
      <w:pPr>
        <w:spacing w:before="0" w:line="240" w:lineRule="auto"/>
        <w:jc w:val="left"/>
        <w:rPr>
          <w:rFonts w:cs="Arial"/>
          <w:bCs/>
          <w:szCs w:val="26"/>
        </w:rPr>
      </w:pPr>
      <w:r w:rsidRPr="00C60AD1">
        <w:br w:type="page"/>
      </w:r>
    </w:p>
    <w:p w:rsidR="00023318" w:rsidRDefault="00C34658" w:rsidP="00023318">
      <w:pPr>
        <w:pStyle w:val="Heading1"/>
      </w:pPr>
      <w:bookmarkStart w:id="1615" w:name="_Toc357714432"/>
      <w:bookmarkStart w:id="1616" w:name="_Toc397332181"/>
      <w:bookmarkStart w:id="1617" w:name="_Toc397607936"/>
      <w:bookmarkStart w:id="1618" w:name="_Toc399623769"/>
      <w:bookmarkStart w:id="1619" w:name="_Toc453367645"/>
      <w:bookmarkStart w:id="1620" w:name="_Toc457355523"/>
      <w:r w:rsidRPr="00C60AD1">
        <w:lastRenderedPageBreak/>
        <w:t>ANNEXURE</w:t>
      </w:r>
      <w:bookmarkEnd w:id="1615"/>
      <w:r w:rsidRPr="00C60AD1">
        <w:t>S</w:t>
      </w:r>
      <w:bookmarkEnd w:id="1616"/>
      <w:bookmarkEnd w:id="1617"/>
      <w:bookmarkEnd w:id="1618"/>
      <w:bookmarkEnd w:id="1619"/>
      <w:bookmarkEnd w:id="1620"/>
    </w:p>
    <w:p w:rsidR="00E922D9" w:rsidRPr="00C60AD1" w:rsidRDefault="00E922D9" w:rsidP="00BA3941">
      <w:pPr>
        <w:pStyle w:val="Heading2"/>
        <w:numPr>
          <w:ilvl w:val="1"/>
          <w:numId w:val="23"/>
        </w:numPr>
      </w:pPr>
      <w:bookmarkStart w:id="1621" w:name="_Toc457355524"/>
      <w:bookmarkStart w:id="1622" w:name="_Toc357714433"/>
      <w:bookmarkStart w:id="1623" w:name="_Ref397183173"/>
      <w:bookmarkStart w:id="1624" w:name="_Ref397183223"/>
      <w:bookmarkStart w:id="1625" w:name="_Toc397332182"/>
      <w:bookmarkStart w:id="1626" w:name="_Toc397607937"/>
      <w:bookmarkStart w:id="1627" w:name="_Toc399623770"/>
      <w:bookmarkStart w:id="1628" w:name="_Ref422012643"/>
      <w:bookmarkStart w:id="1629" w:name="_Toc453367646"/>
      <w:r w:rsidRPr="00C60AD1">
        <w:t xml:space="preserve">COMMISSION FORECAST OF CONSUMPTION PARAMETERS FOR FY </w:t>
      </w:r>
      <w:r>
        <w:t>2016-17</w:t>
      </w:r>
      <w:bookmarkEnd w:id="1621"/>
    </w:p>
    <w:p w:rsidR="00E922D9" w:rsidRPr="00C60AD1" w:rsidRDefault="00E922D9" w:rsidP="00E922D9">
      <w:pPr>
        <w:pStyle w:val="Caption"/>
      </w:pPr>
    </w:p>
    <w:p w:rsidR="00E922D9" w:rsidRPr="00BD0B26" w:rsidRDefault="00E922D9" w:rsidP="00E922D9">
      <w:pPr>
        <w:pStyle w:val="Heading3"/>
        <w:numPr>
          <w:ilvl w:val="0"/>
          <w:numId w:val="0"/>
        </w:numPr>
        <w:tabs>
          <w:tab w:val="clear" w:pos="720"/>
        </w:tabs>
        <w:spacing w:after="120"/>
        <w:rPr>
          <w:b/>
          <w:sz w:val="22"/>
        </w:rPr>
      </w:pPr>
      <w:bookmarkStart w:id="1630" w:name="_Toc457355666"/>
      <w:r w:rsidRPr="00BD0B26">
        <w:rPr>
          <w:b/>
          <w:sz w:val="22"/>
        </w:rPr>
        <w:t xml:space="preserve">TABLE </w:t>
      </w:r>
      <w:r w:rsidR="00DA3968" w:rsidRPr="00BD0B26">
        <w:rPr>
          <w:b/>
          <w:sz w:val="22"/>
        </w:rPr>
        <w:t>10</w:t>
      </w:r>
      <w:r w:rsidRPr="00BD0B26">
        <w:rPr>
          <w:b/>
          <w:sz w:val="22"/>
        </w:rPr>
        <w:noBreakHyphen/>
      </w:r>
      <w:r w:rsidR="004A2D9E" w:rsidRPr="00BD0B26">
        <w:rPr>
          <w:b/>
          <w:sz w:val="22"/>
        </w:rPr>
        <w:fldChar w:fldCharType="begin"/>
      </w:r>
      <w:r w:rsidRPr="00BD0B26">
        <w:rPr>
          <w:b/>
          <w:sz w:val="22"/>
        </w:rPr>
        <w:instrText xml:space="preserve"> SEQ Table \* ARABIC \s 1 </w:instrText>
      </w:r>
      <w:r w:rsidR="004A2D9E" w:rsidRPr="00BD0B26">
        <w:rPr>
          <w:b/>
          <w:sz w:val="22"/>
        </w:rPr>
        <w:fldChar w:fldCharType="separate"/>
      </w:r>
      <w:r w:rsidR="0011185B" w:rsidRPr="00BD0B26">
        <w:rPr>
          <w:b/>
          <w:noProof/>
          <w:sz w:val="22"/>
        </w:rPr>
        <w:t>1</w:t>
      </w:r>
      <w:r w:rsidR="004A2D9E" w:rsidRPr="00BD0B26">
        <w:rPr>
          <w:b/>
          <w:sz w:val="22"/>
        </w:rPr>
        <w:fldChar w:fldCharType="end"/>
      </w:r>
      <w:r w:rsidRPr="00BD0B26">
        <w:rPr>
          <w:b/>
          <w:sz w:val="22"/>
        </w:rPr>
        <w:t>: COMMISSION’S APPROVAL OF NUMBER OF CONSUMERS FOR FY 2016-17</w:t>
      </w:r>
      <w:bookmarkEnd w:id="1630"/>
    </w:p>
    <w:tbl>
      <w:tblPr>
        <w:tblW w:w="9471" w:type="dxa"/>
        <w:tblInd w:w="-432" w:type="dxa"/>
        <w:tblLayout w:type="fixed"/>
        <w:tblLook w:val="04A0"/>
      </w:tblPr>
      <w:tblGrid>
        <w:gridCol w:w="3234"/>
        <w:gridCol w:w="1275"/>
        <w:gridCol w:w="1276"/>
        <w:gridCol w:w="1276"/>
        <w:gridCol w:w="1151"/>
        <w:gridCol w:w="1259"/>
      </w:tblGrid>
      <w:tr w:rsidR="00E922D9" w:rsidRPr="00C22AA3" w:rsidTr="00EB02EF">
        <w:trPr>
          <w:trHeight w:val="900"/>
          <w:tblHeader/>
        </w:trPr>
        <w:tc>
          <w:tcPr>
            <w:tcW w:w="3234" w:type="dxa"/>
            <w:tcBorders>
              <w:top w:val="dotted" w:sz="4" w:space="0" w:color="auto"/>
              <w:left w:val="dotted" w:sz="4" w:space="0" w:color="auto"/>
              <w:bottom w:val="dotted" w:sz="4" w:space="0" w:color="auto"/>
              <w:right w:val="dotted" w:sz="4" w:space="0" w:color="auto"/>
            </w:tcBorders>
            <w:shd w:val="clear" w:color="000000" w:fill="DCE6F1"/>
            <w:noWrap/>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1275" w:type="dxa"/>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1276" w:type="dxa"/>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1276" w:type="dxa"/>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1151" w:type="dxa"/>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1259" w:type="dxa"/>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after="20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E922D9" w:rsidRPr="00C22AA3" w:rsidTr="00EB02EF">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Load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461,998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401,572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438,484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473,563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511,448 </w:t>
            </w: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Life Line Consumers/BPL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24,853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486,851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401,572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438,484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473,563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511,448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Advertising</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7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98,567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67,550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73,262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62,600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53,489 </w:t>
            </w:r>
          </w:p>
        </w:tc>
      </w:tr>
      <w:tr w:rsidR="00E922D9" w:rsidRPr="00C22AA3" w:rsidTr="00EB02EF">
        <w:trPr>
          <w:trHeight w:val="28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98,567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67,550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73,262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62,600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53,489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Gram Panchayat</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Palika&amp;Panchayat</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 Nagar Nigam</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18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18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18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Public</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983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744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594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624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655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Private</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142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133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152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161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171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1,125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877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746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785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826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(unmetered)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(metered)</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Rural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Power Loom: Urban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1,121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1,132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1,144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Rural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3,312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Others: Urban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5,409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7,920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7,793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8,183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8,592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8,721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7,920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8,914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9,315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9,735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 Nigam</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Other PWWs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 Nigam</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JalSansthan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627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609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526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531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537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Other PWWs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627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609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526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531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537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STW</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STW</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Laghu Dal Nahar</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Individual residential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Metered: Others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Ceremonies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Unmetered: Temp shops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187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Class III</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95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1,965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1,759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1,759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1,759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Junior Engineers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Assistant Engineers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Executive Engineers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Deputy General Manager</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CGM/GM</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Pensioners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256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2,879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1,587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1,587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1,587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576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4,844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3,346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3,346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3,346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126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134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158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161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164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9 </w:t>
            </w: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6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44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133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141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167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170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174 </w:t>
            </w:r>
          </w:p>
        </w:tc>
      </w:tr>
      <w:tr w:rsidR="00E922D9" w:rsidRPr="00C22AA3" w:rsidTr="00EB02EF">
        <w:trPr>
          <w:trHeight w:val="35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24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11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537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551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566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577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589 </w:t>
            </w:r>
          </w:p>
        </w:tc>
      </w:tr>
      <w:tr w:rsidR="00E922D9" w:rsidRPr="00C22AA3" w:rsidTr="00EB02EF">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4 </w:t>
            </w:r>
          </w:p>
        </w:tc>
      </w:tr>
      <w:tr w:rsidR="00E922D9" w:rsidRPr="00C22AA3" w:rsidTr="00EB02EF">
        <w:trPr>
          <w:trHeight w:val="42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66 kV &amp; up to 132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2 </w:t>
            </w:r>
          </w:p>
        </w:tc>
      </w:tr>
      <w:tr w:rsidR="00E922D9" w:rsidRPr="00C22AA3" w:rsidTr="00EB02EF">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Urban: Above 132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At 11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Rural: Above 11 kV &amp; up to 66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3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543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558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572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583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595 </w:t>
            </w:r>
          </w:p>
        </w:tc>
      </w:tr>
      <w:tr w:rsidR="00E922D9" w:rsidRPr="00C22AA3" w:rsidTr="00EB02EF">
        <w:trPr>
          <w:trHeight w:val="35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179"/>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lastRenderedPageBreak/>
              <w:t>At 132 kV and above</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Below 132 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Metro traction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23"/>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7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152"/>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At 11kV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197"/>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11kV &amp; up to 66kV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Above 66 kV &amp; up to 132kV</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68"/>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olor w:val="000000"/>
                <w:sz w:val="22"/>
                <w:szCs w:val="22"/>
                <w:lang w:val="en-US"/>
              </w:rPr>
            </w:pP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jc w:val="right"/>
              <w:rPr>
                <w:rFonts w:asciiTheme="minorHAnsi" w:hAnsiTheme="minorHAnsi" w:cs="Arial"/>
                <w:bCs/>
                <w:color w:val="000000"/>
                <w:sz w:val="22"/>
                <w:szCs w:val="22"/>
                <w:lang w:val="en-US"/>
              </w:rPr>
            </w:pPr>
          </w:p>
        </w:tc>
      </w:tr>
      <w:tr w:rsidR="00E922D9" w:rsidRPr="00C22AA3" w:rsidTr="00EB02EF">
        <w:trPr>
          <w:trHeight w:val="296"/>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Extra state &amp; others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NPCL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26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KESCO</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05"/>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r>
              <w:rPr>
                <w:rFonts w:asciiTheme="minorHAnsi" w:hAnsiTheme="minorHAnsi" w:cs="Arial"/>
                <w:color w:val="000000"/>
                <w:sz w:val="22"/>
                <w:szCs w:val="22"/>
                <w:lang w:val="en-IN" w:eastAsia="en-IN"/>
              </w:rPr>
              <w:t>Bulk supply – Others</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 xml:space="preserve">-   </w:t>
            </w:r>
          </w:p>
        </w:tc>
      </w:tr>
      <w:tr w:rsidR="00E922D9" w:rsidRPr="00C22AA3" w:rsidTr="00EB02EF">
        <w:trPr>
          <w:trHeight w:val="341"/>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   </w:t>
            </w:r>
          </w:p>
        </w:tc>
      </w:tr>
      <w:tr w:rsidR="00E922D9" w:rsidRPr="00C22AA3" w:rsidTr="00EB02EF">
        <w:trPr>
          <w:trHeight w:val="300"/>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color w:val="000000"/>
                <w:sz w:val="22"/>
                <w:szCs w:val="22"/>
                <w:lang w:val="en-IN" w:eastAsia="en-IN"/>
              </w:rPr>
            </w:pP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olor w:val="000000"/>
                <w:sz w:val="22"/>
                <w:szCs w:val="22"/>
                <w:lang w:val="en-US"/>
              </w:rPr>
            </w:pP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olor w:val="000000"/>
                <w:sz w:val="22"/>
                <w:szCs w:val="22"/>
                <w:lang w:val="en-US"/>
              </w:rPr>
            </w:pP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olor w:val="000000"/>
                <w:sz w:val="22"/>
                <w:szCs w:val="22"/>
                <w:lang w:val="en-US"/>
              </w:rPr>
            </w:pP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olor w:val="000000"/>
                <w:sz w:val="22"/>
                <w:szCs w:val="22"/>
                <w:lang w:val="en-US"/>
              </w:rPr>
            </w:pPr>
          </w:p>
        </w:tc>
      </w:tr>
      <w:tr w:rsidR="00E922D9" w:rsidRPr="00C22AA3" w:rsidTr="00EB02EF">
        <w:trPr>
          <w:trHeight w:val="314"/>
        </w:trPr>
        <w:tc>
          <w:tcPr>
            <w:tcW w:w="3234" w:type="dxa"/>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1275"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 xml:space="preserve">597,161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484,089 </w:t>
            </w:r>
          </w:p>
        </w:tc>
        <w:tc>
          <w:tcPr>
            <w:tcW w:w="1276"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526,035 </w:t>
            </w:r>
          </w:p>
        </w:tc>
        <w:tc>
          <w:tcPr>
            <w:tcW w:w="1151"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550,911 </w:t>
            </w:r>
          </w:p>
        </w:tc>
        <w:tc>
          <w:tcPr>
            <w:tcW w:w="1259" w:type="dxa"/>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ind w:left="-720" w:right="29" w:firstLine="720"/>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 xml:space="preserve">580,167 </w:t>
            </w:r>
          </w:p>
        </w:tc>
      </w:tr>
    </w:tbl>
    <w:p w:rsidR="00E922D9" w:rsidRDefault="00E922D9" w:rsidP="00E922D9">
      <w:pPr>
        <w:pStyle w:val="Heading3"/>
        <w:numPr>
          <w:ilvl w:val="0"/>
          <w:numId w:val="0"/>
        </w:numPr>
        <w:tabs>
          <w:tab w:val="clear" w:pos="720"/>
        </w:tabs>
        <w:spacing w:before="0" w:after="120"/>
        <w:rPr>
          <w:b/>
        </w:rPr>
      </w:pPr>
    </w:p>
    <w:p w:rsidR="00E922D9" w:rsidRPr="00BD0B26" w:rsidRDefault="00E922D9" w:rsidP="00E922D9">
      <w:pPr>
        <w:spacing w:before="0" w:line="240" w:lineRule="auto"/>
        <w:jc w:val="left"/>
        <w:rPr>
          <w:b/>
          <w:sz w:val="22"/>
        </w:rPr>
      </w:pPr>
      <w:bookmarkStart w:id="1631" w:name="_Toc457355667"/>
      <w:r w:rsidRPr="00BD0B26">
        <w:rPr>
          <w:b/>
          <w:sz w:val="22"/>
        </w:rPr>
        <w:t xml:space="preserve">TABLE </w:t>
      </w:r>
      <w:r w:rsidR="00DA3968" w:rsidRPr="00BD0B26">
        <w:rPr>
          <w:b/>
          <w:sz w:val="22"/>
        </w:rPr>
        <w:t>10</w:t>
      </w:r>
      <w:r w:rsidRPr="00BD0B26">
        <w:rPr>
          <w:b/>
          <w:sz w:val="22"/>
        </w:rPr>
        <w:noBreakHyphen/>
      </w:r>
      <w:r w:rsidR="004A2D9E" w:rsidRPr="00BD0B26">
        <w:rPr>
          <w:b/>
          <w:sz w:val="22"/>
        </w:rPr>
        <w:fldChar w:fldCharType="begin"/>
      </w:r>
      <w:r w:rsidRPr="00BD0B26">
        <w:rPr>
          <w:b/>
          <w:sz w:val="22"/>
        </w:rPr>
        <w:instrText xml:space="preserve"> SEQ Table \* ARABIC \s 1 </w:instrText>
      </w:r>
      <w:r w:rsidR="004A2D9E" w:rsidRPr="00BD0B26">
        <w:rPr>
          <w:b/>
          <w:sz w:val="22"/>
        </w:rPr>
        <w:fldChar w:fldCharType="separate"/>
      </w:r>
      <w:r w:rsidR="0011185B" w:rsidRPr="00BD0B26">
        <w:rPr>
          <w:b/>
          <w:noProof/>
          <w:sz w:val="22"/>
        </w:rPr>
        <w:t>2</w:t>
      </w:r>
      <w:r w:rsidR="004A2D9E" w:rsidRPr="00BD0B26">
        <w:rPr>
          <w:b/>
          <w:sz w:val="22"/>
        </w:rPr>
        <w:fldChar w:fldCharType="end"/>
      </w:r>
      <w:r w:rsidRPr="00BD0B26">
        <w:rPr>
          <w:b/>
          <w:sz w:val="22"/>
        </w:rPr>
        <w:t>: COMMISSION’S APPROVAL OF CONNECTED LOAD (kW) FOR FY 2016-17</w:t>
      </w:r>
      <w:bookmarkEnd w:id="1631"/>
    </w:p>
    <w:p w:rsidR="00E922D9" w:rsidRDefault="00E922D9" w:rsidP="00E922D9">
      <w:pPr>
        <w:spacing w:before="0" w:line="240" w:lineRule="auto"/>
        <w:jc w:val="left"/>
        <w:rPr>
          <w:b/>
        </w:rPr>
      </w:pPr>
    </w:p>
    <w:tbl>
      <w:tblPr>
        <w:tblW w:w="5584" w:type="pct"/>
        <w:tblInd w:w="-459" w:type="dxa"/>
        <w:tblLayout w:type="fixed"/>
        <w:tblLook w:val="04A0"/>
      </w:tblPr>
      <w:tblGrid>
        <w:gridCol w:w="3360"/>
        <w:gridCol w:w="1348"/>
        <w:gridCol w:w="1260"/>
        <w:gridCol w:w="1264"/>
        <w:gridCol w:w="1417"/>
        <w:gridCol w:w="1274"/>
      </w:tblGrid>
      <w:tr w:rsidR="00E922D9" w:rsidRPr="00C22AA3" w:rsidTr="00EB02EF">
        <w:trPr>
          <w:trHeight w:val="900"/>
          <w:tblHeader/>
        </w:trPr>
        <w:tc>
          <w:tcPr>
            <w:tcW w:w="1693" w:type="pct"/>
            <w:tcBorders>
              <w:top w:val="dotted" w:sz="4" w:space="0" w:color="auto"/>
              <w:left w:val="dotted" w:sz="4" w:space="0" w:color="auto"/>
              <w:bottom w:val="dotted" w:sz="4" w:space="0" w:color="auto"/>
              <w:right w:val="dotted" w:sz="4" w:space="0" w:color="auto"/>
            </w:tcBorders>
            <w:shd w:val="clear" w:color="000000" w:fill="DCE6F1"/>
            <w:noWrap/>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Consumer categories</w:t>
            </w:r>
          </w:p>
        </w:tc>
        <w:tc>
          <w:tcPr>
            <w:tcW w:w="679"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635"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637"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14"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2"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Load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1,089,755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958,837</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1,029,413</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1,111,766</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1,200,707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BPL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55,384</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1,145,139</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958,837</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1,029,413</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1,111,766</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1,200,707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Advertising</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267,143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196,375</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215,187</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183,870</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157,111</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267,143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196,375</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215,187</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183,870</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157,111</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13,768</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14,068</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14,117</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14,117</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14,117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Gram Panchayat</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Palika&amp;Panchayat</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Nigam</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13,768</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14,068</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14,117</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14,117</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14,117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Public</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10,351</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10,229</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10,854</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11,397</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11,967</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Private</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1,919</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2,366</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2,728</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3,095</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3,281</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12,270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12,595</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13,582</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14,492</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15,248</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9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(metered)</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5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7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43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 6: Small and Medium Power</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Rural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Urban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18,169</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18,351</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18,534</w:t>
            </w:r>
          </w:p>
        </w:tc>
      </w:tr>
      <w:tr w:rsidR="00E922D9" w:rsidRPr="00C22AA3" w:rsidTr="00EB02EF">
        <w:trPr>
          <w:trHeight w:val="215"/>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Rural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61,688</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Urban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58,773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105,888</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94,471</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99,195</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104,154</w:t>
            </w:r>
          </w:p>
        </w:tc>
      </w:tr>
      <w:tr w:rsidR="00E922D9" w:rsidRPr="00C22AA3" w:rsidTr="00EB02EF">
        <w:trPr>
          <w:trHeight w:val="206"/>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120,461</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105,888</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112,640</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117,545</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122,688</w:t>
            </w:r>
          </w:p>
        </w:tc>
      </w:tr>
      <w:tr w:rsidR="00E922D9" w:rsidRPr="00C22AA3" w:rsidTr="00EB02EF">
        <w:trPr>
          <w:trHeight w:val="341"/>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53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 Nigam</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59"/>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Rural: JalSansthan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Other PWWs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287"/>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 Nigam</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32"/>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JalSansthan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20,600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19,811</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20,505</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17,893</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18,072</w:t>
            </w:r>
          </w:p>
        </w:tc>
      </w:tr>
      <w:tr w:rsidR="00E922D9" w:rsidRPr="00C22AA3" w:rsidTr="00EB02EF">
        <w:trPr>
          <w:trHeight w:val="26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Other PWWs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20,600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19,811</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20,505</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17,893</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18,072</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STW</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STW</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Laghu Dal Nahar</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Individual residential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Others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Ceremonies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Temp shops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ind w:left="780"/>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374</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III</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295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5,895</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5,277</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97,708</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97,708</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Junior Engineers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Assistant Engineers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71</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Executive Engineers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75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Deputy General Manager</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CGM/GM</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Pensioners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983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8,637</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4,761</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29,514</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29,514</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1,853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14,532</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10,038</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127,222</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127,222</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45,947</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38,064</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47,278</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48,224</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49,188</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5,105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14,191</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17,983</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18,163</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18,344</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51,052</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52,255</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65,261</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66,386</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67,532</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122,975</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126,667</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132,612</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135,264</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137,970</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14,300</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14,300</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33,400</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33,734</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34,071</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66,623</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65,000</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43,000</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43,430</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43,864</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203,898</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205,967</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209,012</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212,428</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215,905</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132 kV and above</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Below 132 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Metro traction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11kV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11kV &amp; up to 66kV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66 kV &amp; up to 132kV</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Extra state &amp; others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NPCL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KESCO</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Others</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lang w:val="en-US"/>
              </w:rPr>
            </w:pPr>
            <w:r w:rsidRPr="00651B14">
              <w:rPr>
                <w:rFonts w:asciiTheme="minorHAnsi" w:hAnsiTheme="minorHAnsi" w:cs="Arial"/>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(Bulk &amp; Extra State)</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w:t>
            </w: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lang w:val="en-US"/>
              </w:rPr>
            </w:pPr>
          </w:p>
        </w:tc>
      </w:tr>
      <w:tr w:rsidR="00E922D9" w:rsidRPr="00C22AA3" w:rsidTr="00EB02EF">
        <w:trPr>
          <w:trHeight w:val="300"/>
        </w:trPr>
        <w:tc>
          <w:tcPr>
            <w:tcW w:w="1693"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679"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1,836,184</w:t>
            </w:r>
          </w:p>
        </w:tc>
        <w:tc>
          <w:tcPr>
            <w:tcW w:w="635"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1,580,328</w:t>
            </w:r>
          </w:p>
        </w:tc>
        <w:tc>
          <w:tcPr>
            <w:tcW w:w="637"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1,689,755</w:t>
            </w:r>
          </w:p>
        </w:tc>
        <w:tc>
          <w:tcPr>
            <w:tcW w:w="714"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1,865,720</w:t>
            </w:r>
          </w:p>
        </w:tc>
        <w:tc>
          <w:tcPr>
            <w:tcW w:w="642"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lang w:val="en-US"/>
              </w:rPr>
            </w:pPr>
            <w:r w:rsidRPr="00651B14">
              <w:rPr>
                <w:rFonts w:asciiTheme="minorHAnsi" w:hAnsiTheme="minorHAnsi" w:cs="Arial"/>
                <w:b/>
                <w:bCs/>
                <w:color w:val="000000"/>
                <w:sz w:val="22"/>
                <w:szCs w:val="22"/>
              </w:rPr>
              <w:t>1,938,603</w:t>
            </w:r>
          </w:p>
        </w:tc>
      </w:tr>
    </w:tbl>
    <w:p w:rsidR="00E922D9" w:rsidRPr="00C60AD1" w:rsidRDefault="00E922D9" w:rsidP="00E922D9">
      <w:pPr>
        <w:spacing w:before="0" w:line="240" w:lineRule="auto"/>
        <w:jc w:val="left"/>
        <w:rPr>
          <w:rFonts w:cs="Arial"/>
          <w:b/>
          <w:bCs/>
          <w:szCs w:val="26"/>
        </w:rPr>
      </w:pPr>
    </w:p>
    <w:p w:rsidR="00E922D9" w:rsidRPr="00BD0B26" w:rsidRDefault="00E922D9" w:rsidP="00E922D9">
      <w:pPr>
        <w:pStyle w:val="Heading3"/>
        <w:numPr>
          <w:ilvl w:val="0"/>
          <w:numId w:val="0"/>
        </w:numPr>
        <w:tabs>
          <w:tab w:val="clear" w:pos="720"/>
        </w:tabs>
        <w:spacing w:after="120"/>
        <w:jc w:val="center"/>
        <w:rPr>
          <w:b/>
          <w:sz w:val="22"/>
        </w:rPr>
      </w:pPr>
      <w:bookmarkStart w:id="1632" w:name="_Toc457355668"/>
      <w:r w:rsidRPr="00BD0B26">
        <w:rPr>
          <w:b/>
          <w:sz w:val="22"/>
        </w:rPr>
        <w:t xml:space="preserve">TABLE </w:t>
      </w:r>
      <w:r w:rsidR="00DA3968" w:rsidRPr="00BD0B26">
        <w:rPr>
          <w:b/>
          <w:sz w:val="22"/>
        </w:rPr>
        <w:t>10</w:t>
      </w:r>
      <w:r w:rsidRPr="00BD0B26">
        <w:rPr>
          <w:b/>
          <w:sz w:val="22"/>
        </w:rPr>
        <w:noBreakHyphen/>
      </w:r>
      <w:r w:rsidR="004A2D9E" w:rsidRPr="00BD0B26">
        <w:rPr>
          <w:b/>
          <w:sz w:val="22"/>
        </w:rPr>
        <w:fldChar w:fldCharType="begin"/>
      </w:r>
      <w:r w:rsidRPr="00BD0B26">
        <w:rPr>
          <w:b/>
          <w:sz w:val="22"/>
        </w:rPr>
        <w:instrText xml:space="preserve"> SEQ Table \* ARABIC \s 1 </w:instrText>
      </w:r>
      <w:r w:rsidR="004A2D9E" w:rsidRPr="00BD0B26">
        <w:rPr>
          <w:b/>
          <w:sz w:val="22"/>
        </w:rPr>
        <w:fldChar w:fldCharType="separate"/>
      </w:r>
      <w:r w:rsidR="0011185B" w:rsidRPr="00BD0B26">
        <w:rPr>
          <w:b/>
          <w:noProof/>
          <w:sz w:val="22"/>
        </w:rPr>
        <w:t>3</w:t>
      </w:r>
      <w:r w:rsidR="004A2D9E" w:rsidRPr="00BD0B26">
        <w:rPr>
          <w:b/>
          <w:sz w:val="22"/>
        </w:rPr>
        <w:fldChar w:fldCharType="end"/>
      </w:r>
      <w:r w:rsidRPr="00BD0B26">
        <w:rPr>
          <w:b/>
          <w:sz w:val="22"/>
        </w:rPr>
        <w:t>: COMMISSION’S APPROVAL OF ENERGY SALES (MU) FOR FY 2016-17</w:t>
      </w:r>
      <w:bookmarkEnd w:id="1632"/>
    </w:p>
    <w:tbl>
      <w:tblPr>
        <w:tblW w:w="5584" w:type="pct"/>
        <w:tblInd w:w="-459" w:type="dxa"/>
        <w:tblLayout w:type="fixed"/>
        <w:tblLook w:val="04A0"/>
      </w:tblPr>
      <w:tblGrid>
        <w:gridCol w:w="3545"/>
        <w:gridCol w:w="1276"/>
        <w:gridCol w:w="1133"/>
        <w:gridCol w:w="1133"/>
        <w:gridCol w:w="1560"/>
        <w:gridCol w:w="1276"/>
      </w:tblGrid>
      <w:tr w:rsidR="00E922D9" w:rsidRPr="00B005DC" w:rsidTr="00EB02EF">
        <w:trPr>
          <w:trHeight w:val="900"/>
          <w:tblHeader/>
        </w:trPr>
        <w:tc>
          <w:tcPr>
            <w:tcW w:w="1786" w:type="pct"/>
            <w:tcBorders>
              <w:top w:val="dotted" w:sz="4" w:space="0" w:color="auto"/>
              <w:left w:val="dotted" w:sz="4" w:space="0" w:color="auto"/>
              <w:bottom w:val="dotted" w:sz="4" w:space="0" w:color="auto"/>
              <w:right w:val="dotted" w:sz="4" w:space="0" w:color="auto"/>
            </w:tcBorders>
            <w:shd w:val="clear" w:color="000000" w:fill="DCE6F1"/>
            <w:noWrap/>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Consumer categories</w:t>
            </w:r>
          </w:p>
        </w:tc>
        <w:tc>
          <w:tcPr>
            <w:tcW w:w="643"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12-13</w:t>
            </w:r>
          </w:p>
        </w:tc>
        <w:tc>
          <w:tcPr>
            <w:tcW w:w="571"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13-14</w:t>
            </w:r>
          </w:p>
        </w:tc>
        <w:tc>
          <w:tcPr>
            <w:tcW w:w="571"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FY 14-15</w:t>
            </w:r>
          </w:p>
        </w:tc>
        <w:tc>
          <w:tcPr>
            <w:tcW w:w="786"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Recomputed for FY 15-16</w:t>
            </w:r>
          </w:p>
        </w:tc>
        <w:tc>
          <w:tcPr>
            <w:tcW w:w="643" w:type="pct"/>
            <w:tcBorders>
              <w:top w:val="dotted" w:sz="4" w:space="0" w:color="auto"/>
              <w:left w:val="nil"/>
              <w:bottom w:val="dotted" w:sz="4" w:space="0" w:color="auto"/>
              <w:right w:val="dotted" w:sz="4" w:space="0" w:color="auto"/>
            </w:tcBorders>
            <w:shd w:val="clear" w:color="000000" w:fill="DCE6F1"/>
            <w:hideMark/>
          </w:tcPr>
          <w:p w:rsidR="00E922D9" w:rsidRDefault="00E922D9" w:rsidP="00EB02EF">
            <w:pPr>
              <w:spacing w:before="0" w:line="240" w:lineRule="auto"/>
              <w:jc w:val="center"/>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Approved for FY 2016-17</w:t>
            </w:r>
          </w:p>
        </w:tc>
      </w:tr>
      <w:tr w:rsidR="00E922D9" w:rsidRPr="00B005DC" w:rsidTr="00EB02EF">
        <w:trPr>
          <w:trHeight w:val="314"/>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 Domestic</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p>
        </w:tc>
      </w:tr>
      <w:tr w:rsidR="00E922D9" w:rsidRPr="00B005DC" w:rsidTr="00EB02EF">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5"/>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17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Load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1,152</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1,258</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1,250</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1,520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1,939</w:t>
            </w:r>
          </w:p>
        </w:tc>
      </w:tr>
      <w:tr w:rsidR="00E922D9" w:rsidRPr="00B005DC" w:rsidTr="00EB02EF">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BPL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44</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1,195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1,258</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1,250</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1,520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1,939</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LMV-2:Non-Domestic</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Advertising</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220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222</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(LMV-2)</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220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222</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ind w:left="780"/>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LMV-3: Public Lamps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61</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61</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Gram Panchayat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Palika&amp;Panchayat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 Nagar Nigam</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(LMV-3)</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51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61</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61</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LMV-4: Institutions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Public</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42</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34</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45</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56</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Private</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7</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9</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(LMV-4)</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47</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39</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53</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65</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LMV-5: Private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(unmetered)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(metered)</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(LMV-5)</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lastRenderedPageBreak/>
              <w:t>LMV 6: Small and Medium Power</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pStyle w:val="Heading3"/>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Rural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Power Loom: Urban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Rural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22</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Others: Urban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215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251</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270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334</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(LMV-6)</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240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255</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270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334</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LMV-7: Public Water Works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 Nigam</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JalSansthan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Other PWWs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 Nigam</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JalSansthan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48</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42</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43</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Other PWWs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(LMV-7)</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48</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42</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43</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LMV-8: State Tube Wells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STW</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STW</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Laghu Dal Nahar</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(LMV-8)</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LMV-9: Temporary Supply</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Individual residential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Metered: Others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Ceremonies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Unmetered: Temp shops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(LMV-9)</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LMV-10: Departmental Employees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Class III</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6</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Junior Engineers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Assistant Engineers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Executive Engineers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Deputy General Manager</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CGM/GM</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outlineLvl w:val="2"/>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Pensioners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10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13</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s="Arial"/>
                <w:color w:val="000000"/>
                <w:sz w:val="22"/>
                <w:szCs w:val="22"/>
              </w:rPr>
            </w:pPr>
            <w:r w:rsidRPr="00651B14">
              <w:rPr>
                <w:rFonts w:asciiTheme="minorHAnsi" w:hAnsiTheme="minorHAnsi" w:cs="Arial"/>
                <w:color w:val="000000"/>
                <w:sz w:val="22"/>
                <w:szCs w:val="22"/>
              </w:rPr>
              <w:t>13</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14</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outlineLvl w:val="2"/>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(LMV-10)</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b/>
                <w:bCs/>
                <w:color w:val="000000"/>
                <w:sz w:val="22"/>
                <w:szCs w:val="22"/>
              </w:rPr>
              <w:t>1</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b/>
                <w:bCs/>
                <w:color w:val="000000"/>
                <w:sz w:val="22"/>
                <w:szCs w:val="22"/>
              </w:rPr>
            </w:pPr>
            <w:r w:rsidRPr="00651B14">
              <w:rPr>
                <w:rFonts w:asciiTheme="minorHAnsi" w:hAnsiTheme="minorHAnsi" w:cs="Arial"/>
                <w:b/>
                <w:bCs/>
                <w:color w:val="000000"/>
                <w:sz w:val="22"/>
                <w:szCs w:val="22"/>
              </w:rPr>
              <w:t>16</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jc w:val="right"/>
              <w:outlineLvl w:val="2"/>
              <w:rPr>
                <w:rFonts w:asciiTheme="minorHAnsi" w:hAnsiTheme="minorHAnsi" w:cs="Arial"/>
                <w:b/>
                <w:bCs/>
                <w:color w:val="000000"/>
                <w:sz w:val="22"/>
                <w:szCs w:val="22"/>
              </w:rPr>
            </w:pPr>
            <w:r w:rsidRPr="00651B14">
              <w:rPr>
                <w:rFonts w:asciiTheme="minorHAnsi" w:hAnsiTheme="minorHAnsi" w:cs="Arial"/>
                <w:b/>
                <w:bCs/>
                <w:color w:val="000000"/>
                <w:sz w:val="22"/>
                <w:szCs w:val="22"/>
              </w:rPr>
              <w:t>17</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b/>
                <w:bCs/>
                <w:color w:val="000000"/>
                <w:sz w:val="22"/>
                <w:szCs w:val="22"/>
              </w:rPr>
              <w:t>17</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b/>
                <w:bCs/>
                <w:color w:val="000000"/>
                <w:sz w:val="22"/>
                <w:szCs w:val="22"/>
              </w:rPr>
              <w:t>19</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HV-1: Non-Industrial Bulk Loads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81</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82</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86</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88</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90</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44</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48</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53</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53</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54</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(HV-1)</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125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131</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139</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142</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144</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HV-2: Large and Heavy Power</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11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270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321</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215</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297</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303</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33</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34</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63</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79</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79</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66 kV &amp; up to 132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107</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344</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255</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69</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70</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Urban: Above 132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At 11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Rural: Above 11 kV &amp; up to 66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(HV-2)</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410</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699</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533</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445</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452</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HV-3: Railway Traction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132 kV and above</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Below 132 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Metro traction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(HV-3)</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HV-4: Lift Irrigation</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At 11kV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11kV &amp; up to 66kV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Above 66 kV &amp; up to 132kV</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SUBTOTAL (HV-4)</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30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tabs>
                <w:tab w:val="left" w:pos="720"/>
              </w:tabs>
              <w:spacing w:before="0" w:line="240" w:lineRule="auto"/>
              <w:ind w:left="993"/>
              <w:jc w:val="right"/>
              <w:outlineLvl w:val="2"/>
              <w:rPr>
                <w:rFonts w:asciiTheme="minorHAnsi" w:hAnsiTheme="minorHAnsi"/>
                <w:color w:val="000000"/>
                <w:sz w:val="22"/>
                <w:szCs w:val="22"/>
              </w:rPr>
            </w:pPr>
          </w:p>
        </w:tc>
      </w:tr>
      <w:tr w:rsidR="00E922D9" w:rsidRPr="00B005DC" w:rsidTr="00EB02EF">
        <w:trPr>
          <w:trHeight w:val="358"/>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Extra state &amp; others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296"/>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lastRenderedPageBreak/>
              <w:t>Bulk supply – NPCL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161"/>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KESCO</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107"/>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Bulk supply – Others</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color w:val="000000"/>
                <w:sz w:val="22"/>
                <w:szCs w:val="22"/>
              </w:rPr>
            </w:pPr>
            <w:r w:rsidRPr="00651B14">
              <w:rPr>
                <w:rFonts w:asciiTheme="minorHAnsi" w:hAnsiTheme="minorHAnsi" w:cs="Arial"/>
                <w:color w:val="000000"/>
                <w:sz w:val="22"/>
                <w:szCs w:val="22"/>
              </w:rPr>
              <w:t>-</w:t>
            </w:r>
          </w:p>
        </w:tc>
      </w:tr>
      <w:tr w:rsidR="00E922D9" w:rsidRPr="00B005DC" w:rsidTr="00EB02EF">
        <w:trPr>
          <w:trHeight w:val="332"/>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i/>
                <w:iCs/>
                <w:color w:val="000000"/>
                <w:sz w:val="22"/>
                <w:szCs w:val="22"/>
                <w:lang w:val="en-IN" w:eastAsia="en-IN"/>
              </w:rPr>
            </w:pPr>
            <w:r>
              <w:rPr>
                <w:rFonts w:asciiTheme="minorHAnsi" w:hAnsiTheme="minorHAnsi" w:cs="Arial"/>
                <w:i/>
                <w:iCs/>
                <w:color w:val="000000"/>
                <w:sz w:val="22"/>
                <w:szCs w:val="22"/>
                <w:lang w:val="en-IN" w:eastAsia="en-IN"/>
              </w:rPr>
              <w:t>SUBTOTAL (Bulk &amp; Extra State)</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w:t>
            </w:r>
          </w:p>
        </w:tc>
      </w:tr>
      <w:tr w:rsidR="00E922D9" w:rsidRPr="00B005DC" w:rsidTr="00EB02EF">
        <w:trPr>
          <w:trHeight w:val="269"/>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outlineLvl w:val="1"/>
              <w:rPr>
                <w:rFonts w:asciiTheme="minorHAnsi" w:hAnsiTheme="minorHAnsi" w:cs="Arial"/>
                <w:color w:val="000000"/>
                <w:sz w:val="22"/>
                <w:szCs w:val="22"/>
                <w:lang w:val="en-IN" w:eastAsia="en-IN"/>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autoSpaceDE w:val="0"/>
              <w:autoSpaceDN w:val="0"/>
              <w:adjustRightInd w:val="0"/>
              <w:spacing w:before="0" w:line="240" w:lineRule="auto"/>
              <w:contextualSpacing/>
              <w:jc w:val="right"/>
              <w:outlineLvl w:val="1"/>
              <w:rPr>
                <w:rFonts w:asciiTheme="minorHAnsi" w:hAnsiTheme="minorHAnsi"/>
                <w:color w:val="000000"/>
                <w:sz w:val="22"/>
                <w:szCs w:val="22"/>
              </w:rPr>
            </w:pPr>
          </w:p>
        </w:tc>
      </w:tr>
      <w:tr w:rsidR="00E922D9" w:rsidRPr="00B005DC" w:rsidTr="00EB02EF">
        <w:trPr>
          <w:trHeight w:val="260"/>
        </w:trPr>
        <w:tc>
          <w:tcPr>
            <w:tcW w:w="1786" w:type="pct"/>
            <w:tcBorders>
              <w:top w:val="nil"/>
              <w:left w:val="dotted" w:sz="4" w:space="0" w:color="auto"/>
              <w:bottom w:val="dotted" w:sz="4" w:space="0" w:color="auto"/>
              <w:right w:val="dotted" w:sz="4" w:space="0" w:color="auto"/>
            </w:tcBorders>
            <w:shd w:val="clear" w:color="auto" w:fill="auto"/>
            <w:noWrap/>
            <w:vAlign w:val="center"/>
            <w:hideMark/>
          </w:tcPr>
          <w:p w:rsidR="00E922D9" w:rsidRDefault="00E922D9" w:rsidP="00EB02EF">
            <w:pPr>
              <w:spacing w:before="0" w:line="240" w:lineRule="auto"/>
              <w:rPr>
                <w:rFonts w:asciiTheme="minorHAnsi" w:hAnsiTheme="minorHAnsi" w:cs="Arial"/>
                <w:b/>
                <w:bCs/>
                <w:color w:val="000000"/>
                <w:sz w:val="22"/>
                <w:szCs w:val="22"/>
                <w:lang w:val="en-IN" w:eastAsia="en-IN"/>
              </w:rPr>
            </w:pPr>
            <w:r>
              <w:rPr>
                <w:rFonts w:asciiTheme="minorHAnsi" w:hAnsiTheme="minorHAnsi" w:cs="Arial"/>
                <w:b/>
                <w:bCs/>
                <w:color w:val="000000"/>
                <w:sz w:val="22"/>
                <w:szCs w:val="22"/>
                <w:lang w:val="en-IN" w:eastAsia="en-IN"/>
              </w:rPr>
              <w:t>GRAND TOTAL</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2,365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2,755</w:t>
            </w:r>
          </w:p>
        </w:tc>
        <w:tc>
          <w:tcPr>
            <w:tcW w:w="571"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2,582</w:t>
            </w:r>
          </w:p>
        </w:tc>
        <w:tc>
          <w:tcPr>
            <w:tcW w:w="786"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2,769</w:t>
            </w:r>
          </w:p>
        </w:tc>
        <w:tc>
          <w:tcPr>
            <w:tcW w:w="643" w:type="pct"/>
            <w:tcBorders>
              <w:top w:val="nil"/>
              <w:left w:val="nil"/>
              <w:bottom w:val="dotted" w:sz="4" w:space="0" w:color="auto"/>
              <w:right w:val="dotted" w:sz="4" w:space="0" w:color="auto"/>
            </w:tcBorders>
            <w:shd w:val="clear" w:color="auto" w:fill="auto"/>
            <w:noWrap/>
            <w:vAlign w:val="center"/>
            <w:hideMark/>
          </w:tcPr>
          <w:p w:rsidR="00E922D9" w:rsidRDefault="00E922D9" w:rsidP="00EB02EF">
            <w:pPr>
              <w:spacing w:before="0" w:line="240" w:lineRule="auto"/>
              <w:jc w:val="right"/>
              <w:rPr>
                <w:rFonts w:asciiTheme="minorHAnsi" w:hAnsiTheme="minorHAnsi" w:cs="Arial"/>
                <w:b/>
                <w:bCs/>
                <w:color w:val="000000"/>
                <w:sz w:val="22"/>
                <w:szCs w:val="22"/>
              </w:rPr>
            </w:pPr>
            <w:r w:rsidRPr="00651B14">
              <w:rPr>
                <w:rFonts w:asciiTheme="minorHAnsi" w:hAnsiTheme="minorHAnsi" w:cs="Arial"/>
                <w:b/>
                <w:bCs/>
                <w:color w:val="000000"/>
                <w:sz w:val="22"/>
                <w:szCs w:val="22"/>
              </w:rPr>
              <w:t>3,278</w:t>
            </w:r>
          </w:p>
        </w:tc>
      </w:tr>
    </w:tbl>
    <w:p w:rsidR="00023318" w:rsidRDefault="00023318" w:rsidP="00023318">
      <w:pPr>
        <w:pStyle w:val="Heading2"/>
        <w:numPr>
          <w:ilvl w:val="0"/>
          <w:numId w:val="0"/>
        </w:numPr>
        <w:ind w:left="780"/>
      </w:pPr>
    </w:p>
    <w:p w:rsidR="00E922D9" w:rsidRDefault="00E922D9" w:rsidP="00BA3941">
      <w:pPr>
        <w:pStyle w:val="Heading2"/>
        <w:numPr>
          <w:ilvl w:val="1"/>
          <w:numId w:val="23"/>
        </w:numPr>
        <w:sectPr w:rsidR="00E922D9" w:rsidSect="00771D79">
          <w:footerReference w:type="default" r:id="rId16"/>
          <w:pgSz w:w="11909" w:h="16834"/>
          <w:pgMar w:top="1440" w:right="1440" w:bottom="1440" w:left="1800" w:header="720" w:footer="894" w:gutter="0"/>
          <w:pgNumType w:chapSep="colon"/>
          <w:cols w:space="720"/>
          <w:docGrid w:linePitch="326"/>
        </w:sectPr>
      </w:pPr>
    </w:p>
    <w:p w:rsidR="00237218" w:rsidRPr="006D7A5E" w:rsidRDefault="00237218" w:rsidP="00BA3941">
      <w:pPr>
        <w:pStyle w:val="Heading2"/>
        <w:numPr>
          <w:ilvl w:val="1"/>
          <w:numId w:val="23"/>
        </w:numPr>
      </w:pPr>
      <w:bookmarkStart w:id="1633" w:name="_Toc397332183"/>
      <w:bookmarkStart w:id="1634" w:name="_Toc397607938"/>
      <w:bookmarkStart w:id="1635" w:name="_Ref399523373"/>
      <w:bookmarkStart w:id="1636" w:name="_Toc399623771"/>
      <w:bookmarkStart w:id="1637" w:name="_Ref422136626"/>
      <w:bookmarkStart w:id="1638" w:name="_Toc422310097"/>
      <w:bookmarkStart w:id="1639" w:name="_Toc455574121"/>
      <w:bookmarkStart w:id="1640" w:name="_Toc457355525"/>
      <w:r w:rsidRPr="009A53B9">
        <w:rPr>
          <w:rFonts w:ascii="Calibri" w:hAnsi="Calibri"/>
        </w:rPr>
        <w:lastRenderedPageBreak/>
        <w:t>RATE SCHEDULE FOR FY 2016</w:t>
      </w:r>
      <w:bookmarkEnd w:id="1633"/>
      <w:bookmarkEnd w:id="1634"/>
      <w:bookmarkEnd w:id="1635"/>
      <w:bookmarkEnd w:id="1636"/>
      <w:bookmarkEnd w:id="1637"/>
      <w:bookmarkEnd w:id="1638"/>
      <w:r w:rsidRPr="009A53B9">
        <w:rPr>
          <w:rFonts w:ascii="Calibri" w:hAnsi="Calibri"/>
        </w:rPr>
        <w:t>-17</w:t>
      </w:r>
      <w:bookmarkEnd w:id="1639"/>
      <w:bookmarkEnd w:id="1640"/>
    </w:p>
    <w:p w:rsidR="00237218" w:rsidRDefault="00237218" w:rsidP="00237218">
      <w:pPr>
        <w:pStyle w:val="Heading2"/>
        <w:numPr>
          <w:ilvl w:val="0"/>
          <w:numId w:val="0"/>
        </w:numPr>
        <w:ind w:left="780"/>
        <w:rPr>
          <w:rFonts w:ascii="Calibri" w:hAnsi="Calibri"/>
        </w:rPr>
      </w:pPr>
    </w:p>
    <w:p w:rsidR="00EF14E5" w:rsidRPr="009A53B9" w:rsidRDefault="00EF14E5" w:rsidP="00EF14E5">
      <w:pPr>
        <w:jc w:val="center"/>
        <w:rPr>
          <w:rFonts w:cstheme="minorHAnsi"/>
          <w:b/>
        </w:rPr>
      </w:pPr>
      <w:r w:rsidRPr="009A53B9">
        <w:rPr>
          <w:rFonts w:cstheme="minorHAnsi"/>
          <w:b/>
          <w:lang w:val="en-US"/>
        </w:rPr>
        <w:t>RETAIL TARIFFS FOR FINANCIAL YEAR 2016-17:</w:t>
      </w:r>
    </w:p>
    <w:p w:rsidR="00EF14E5" w:rsidRDefault="00EF14E5" w:rsidP="00EF14E5">
      <w:pPr>
        <w:spacing w:before="100" w:after="100"/>
        <w:rPr>
          <w:rFonts w:cstheme="minorHAnsi"/>
          <w:b/>
          <w:lang w:val="en-US"/>
        </w:rPr>
      </w:pPr>
    </w:p>
    <w:p w:rsidR="006349D7" w:rsidRPr="00516994" w:rsidRDefault="006349D7" w:rsidP="006349D7">
      <w:pPr>
        <w:spacing w:before="100" w:after="100"/>
        <w:rPr>
          <w:rFonts w:cstheme="minorHAnsi"/>
          <w:b/>
        </w:rPr>
      </w:pPr>
      <w:r w:rsidRPr="00516994">
        <w:rPr>
          <w:rFonts w:cstheme="minorHAnsi"/>
          <w:b/>
          <w:lang w:val="en-US"/>
        </w:rPr>
        <w:t>GENERAL PROVISIONS:</w:t>
      </w:r>
    </w:p>
    <w:p w:rsidR="006349D7" w:rsidRPr="00516994" w:rsidRDefault="006349D7" w:rsidP="006349D7">
      <w:pPr>
        <w:spacing w:before="100" w:after="100"/>
        <w:rPr>
          <w:rFonts w:cstheme="minorHAnsi"/>
        </w:rPr>
      </w:pPr>
      <w:r w:rsidRPr="00516994">
        <w:rPr>
          <w:rFonts w:cstheme="minorHAnsi"/>
          <w:lang w:val="en-US"/>
        </w:rPr>
        <w:t>These provisions shall apply to all categories unless specified otherwise and are integral part of the Rate Schedule.</w:t>
      </w:r>
    </w:p>
    <w:p w:rsidR="006349D7" w:rsidRPr="00516994" w:rsidRDefault="006349D7" w:rsidP="006349D7">
      <w:pPr>
        <w:spacing w:before="100" w:after="10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NEW CONNECTIONS:</w:t>
      </w:r>
    </w:p>
    <w:p w:rsidR="006349D7" w:rsidRPr="00516994" w:rsidRDefault="006349D7" w:rsidP="006349D7">
      <w:pPr>
        <w:spacing w:before="100" w:after="100" w:line="288" w:lineRule="auto"/>
        <w:ind w:left="720" w:right="29"/>
        <w:rPr>
          <w:rFonts w:cs="Calibri"/>
        </w:rPr>
      </w:pPr>
      <w:r w:rsidRPr="00516994">
        <w:rPr>
          <w:rFonts w:cs="Calibri"/>
        </w:rPr>
        <w:t>All new connections shall be given as per the applicable provisions of Electricity Supply Code and shall be released in multiples of KW only, excluding consumers under categories LMV-5 &amp; LMV-8 of Rate Schedule.  Further, for tariff application purposes, if the contracted load (kW) of already existing consumer is in fractions then the same shall be treated as next higher kW load.</w:t>
      </w:r>
    </w:p>
    <w:p w:rsidR="006349D7" w:rsidRPr="00516994" w:rsidRDefault="006349D7" w:rsidP="006349D7">
      <w:pPr>
        <w:spacing w:before="100" w:after="100" w:line="288" w:lineRule="auto"/>
        <w:ind w:left="720" w:right="29"/>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READING OF METERS:</w:t>
      </w:r>
    </w:p>
    <w:p w:rsidR="006349D7" w:rsidRPr="00516994" w:rsidRDefault="006349D7" w:rsidP="006349D7">
      <w:pPr>
        <w:spacing w:before="100" w:after="100"/>
        <w:ind w:left="360" w:right="-58" w:firstLine="360"/>
        <w:rPr>
          <w:rFonts w:cs="Calibri"/>
        </w:rPr>
      </w:pPr>
      <w:r w:rsidRPr="00516994">
        <w:rPr>
          <w:rFonts w:cs="Calibri"/>
        </w:rPr>
        <w:t>As per applicable provisions of Electricity Supply Code.</w:t>
      </w:r>
    </w:p>
    <w:p w:rsidR="006349D7" w:rsidRPr="00516994" w:rsidRDefault="006349D7" w:rsidP="006349D7">
      <w:pPr>
        <w:ind w:left="720" w:hanging="720"/>
        <w:rPr>
          <w:rFonts w:cs="Calibri"/>
          <w:b/>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BILLING WHEN METER IS NOT MADE ACCESSIBLE:</w:t>
      </w:r>
    </w:p>
    <w:p w:rsidR="006349D7" w:rsidRPr="00516994" w:rsidRDefault="006349D7" w:rsidP="006349D7">
      <w:pPr>
        <w:spacing w:before="100" w:after="100"/>
        <w:ind w:left="720" w:right="-58"/>
        <w:rPr>
          <w:rFonts w:cs="Calibri"/>
        </w:rPr>
      </w:pPr>
      <w:r w:rsidRPr="00516994">
        <w:rPr>
          <w:rFonts w:cs="Calibri"/>
        </w:rPr>
        <w:t xml:space="preserve">A penalty of Rs. 50 / kW or as decided by the Commission through an Order shall be levied for the purposes of Clause 6.2 (c) of the applicable Electricity Supply Code.  </w:t>
      </w:r>
    </w:p>
    <w:p w:rsidR="006349D7" w:rsidRPr="00516994" w:rsidRDefault="006349D7" w:rsidP="006349D7">
      <w:pPr>
        <w:tabs>
          <w:tab w:val="left" w:pos="720"/>
        </w:tabs>
        <w:spacing w:before="100" w:after="100"/>
        <w:ind w:left="720" w:right="-61"/>
        <w:rPr>
          <w:rFonts w:cs="Calibri"/>
          <w:b/>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BILLING IN CASE OF DEFECTIVE METERS:</w:t>
      </w:r>
    </w:p>
    <w:p w:rsidR="006349D7" w:rsidRPr="00516994" w:rsidRDefault="006349D7" w:rsidP="006349D7">
      <w:pPr>
        <w:spacing w:before="100" w:after="100"/>
        <w:ind w:right="-58" w:firstLine="720"/>
        <w:rPr>
          <w:rFonts w:cs="Calibri"/>
        </w:rPr>
      </w:pPr>
      <w:r w:rsidRPr="00516994">
        <w:rPr>
          <w:rFonts w:cs="Calibri"/>
        </w:rPr>
        <w:t>As per the applicable provisions of Electricity Supply Code.</w:t>
      </w:r>
    </w:p>
    <w:p w:rsidR="006349D7" w:rsidRPr="00516994" w:rsidRDefault="006349D7" w:rsidP="006349D7">
      <w:pPr>
        <w:spacing w:before="100" w:after="100" w:line="288" w:lineRule="auto"/>
        <w:ind w:left="720" w:right="29"/>
        <w:rPr>
          <w:rFonts w:cs="Calibri"/>
          <w: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KVAH TARIFF:</w:t>
      </w:r>
    </w:p>
    <w:p w:rsidR="006349D7" w:rsidRPr="00516994" w:rsidRDefault="006349D7" w:rsidP="006349D7">
      <w:pPr>
        <w:spacing w:before="100" w:after="100"/>
        <w:ind w:left="720" w:right="-58"/>
        <w:rPr>
          <w:rFonts w:cs="Calibri"/>
        </w:rPr>
      </w:pPr>
      <w:r w:rsidRPr="00516994">
        <w:rPr>
          <w:rFonts w:cs="Calibri"/>
        </w:rPr>
        <w:t xml:space="preserve">‘kVAh based tariffs’ shall be applicable on all consumers having contracted load of 10 kW / 13.4 BHP and above, under different categories with TVM / TOD / Demand recording meters (as appropriate).  </w:t>
      </w:r>
    </w:p>
    <w:p w:rsidR="006349D7" w:rsidRPr="00516994" w:rsidRDefault="006349D7" w:rsidP="006349D7">
      <w:pPr>
        <w:spacing w:before="100" w:after="100"/>
        <w:ind w:left="720" w:right="-58"/>
        <w:rPr>
          <w:rFonts w:cs="Calibri"/>
        </w:rPr>
      </w:pPr>
      <w:r w:rsidRPr="00516994">
        <w:rPr>
          <w:rFonts w:cs="Calibri"/>
        </w:rPr>
        <w:lastRenderedPageBreak/>
        <w:t>The rates prescribed in different categories in terms of kW and kWh will be converted into appropriate kVA and kVAh by multiplying Fixed / Demand Charges and Energy Charges by an average power factor of 0.90.  Similarly, the Fixed / Demand Charges expressed in BHP can be converted into respective kVA rates in accordance with formula given below:</w:t>
      </w:r>
    </w:p>
    <w:p w:rsidR="006349D7" w:rsidRPr="00516994" w:rsidRDefault="006349D7" w:rsidP="006349D7">
      <w:pPr>
        <w:ind w:left="720"/>
        <w:rPr>
          <w:rFonts w:cs="Calibri"/>
          <w:b/>
        </w:rPr>
      </w:pPr>
      <w:r w:rsidRPr="00516994">
        <w:rPr>
          <w:rFonts w:cs="Calibri"/>
          <w:b/>
        </w:rPr>
        <w:t>Demand Charges in kVA = (Demand Charges in BHP / 0.746) * 0 .90</w:t>
      </w:r>
    </w:p>
    <w:p w:rsidR="006349D7" w:rsidRPr="00516994" w:rsidRDefault="006349D7" w:rsidP="006349D7">
      <w:pPr>
        <w:ind w:left="720"/>
        <w:rPr>
          <w:rFonts w:cs="Calibri"/>
          <w:b/>
        </w:rPr>
      </w:pPr>
      <w:r w:rsidRPr="00516994">
        <w:rPr>
          <w:rFonts w:cs="Calibri"/>
          <w:b/>
        </w:rPr>
        <w:t>Demand Charges in kVA = (Fixed Charges in kW * 0.90)</w:t>
      </w:r>
    </w:p>
    <w:p w:rsidR="006349D7" w:rsidRPr="00516994" w:rsidRDefault="006349D7" w:rsidP="006349D7">
      <w:pPr>
        <w:ind w:left="720"/>
        <w:rPr>
          <w:rFonts w:cs="Calibri"/>
          <w:b/>
        </w:rPr>
      </w:pPr>
      <w:r w:rsidRPr="00516994">
        <w:rPr>
          <w:rFonts w:cs="Calibri"/>
          <w:b/>
        </w:rPr>
        <w:t>Energy Charges in kVAh = (Energy Charges in kWh * 0.90)</w:t>
      </w:r>
    </w:p>
    <w:p w:rsidR="006349D7" w:rsidRPr="00516994" w:rsidRDefault="006349D7" w:rsidP="006349D7">
      <w:pPr>
        <w:ind w:left="1440" w:hanging="720"/>
        <w:rPr>
          <w:rFonts w:cs="Calibri"/>
        </w:rPr>
      </w:pPr>
      <w:r w:rsidRPr="00516994">
        <w:rPr>
          <w:rFonts w:cs="Calibri"/>
          <w:b/>
        </w:rPr>
        <w:t>Note:</w:t>
      </w:r>
      <w:r w:rsidRPr="00516994">
        <w:rPr>
          <w:rFonts w:cs="Calibri"/>
        </w:rPr>
        <w:tab/>
        <w:t>If the power factor of a consumer is leading and is within the range of 0.95 -1.00, then for tariff application purposes such leading power factor shall be treated as unity. The bills of such consumers shall be prepared accordingly. However, if the leading power factor is below 0.95 (lead) then the consumer shall be billed as per the kVAh reading indicated by the meter. However, the aforesaid provision of treating power factor below 0.95 (lead) as the commensurate lagging power factor for the purposes of billing shall not be applicable on HV-3 category and shall be treated as unity. Hence, for HV-3, lag + lead logic of the meter should not be used and “lag only” logic of the meter should be provided which blocks leading kVARh thereby treating leading power factor as unity and registering instantaneous kWh as instantaneous kVAh in case of leading power factor.</w:t>
      </w:r>
    </w:p>
    <w:p w:rsidR="006349D7" w:rsidRPr="00516994" w:rsidRDefault="006349D7" w:rsidP="006349D7">
      <w:pPr>
        <w:tabs>
          <w:tab w:val="left" w:pos="720"/>
        </w:tabs>
        <w:spacing w:before="100" w:after="100"/>
        <w:ind w:left="720" w:right="-61"/>
        <w:rPr>
          <w:rFonts w:cs="Calibri"/>
          <w:b/>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BILLABLE LOAD / DEMAND:</w:t>
      </w:r>
    </w:p>
    <w:p w:rsidR="006349D7" w:rsidRPr="00516994" w:rsidRDefault="006349D7" w:rsidP="006349D7">
      <w:pPr>
        <w:autoSpaceDE w:val="0"/>
        <w:autoSpaceDN w:val="0"/>
        <w:adjustRightInd w:val="0"/>
        <w:spacing w:line="240" w:lineRule="auto"/>
        <w:ind w:left="720"/>
        <w:rPr>
          <w:rFonts w:cs="Calibri"/>
        </w:rPr>
      </w:pPr>
      <w:r w:rsidRPr="00516994">
        <w:rPr>
          <w:rFonts w:cs="Calibri"/>
        </w:rPr>
        <w:t>For all consumers having TVM / TOD / Demand recording meters installed, the billable load / demand during a month shall be the actual maximum load / demand as recorded by the meter (can be in parts of kW or kVA) or 75% of the contracted load / demand (kW or kVA), whichever is higher.</w:t>
      </w:r>
    </w:p>
    <w:p w:rsidR="006349D7" w:rsidRPr="00516994" w:rsidRDefault="006349D7" w:rsidP="006349D7">
      <w:pPr>
        <w:autoSpaceDE w:val="0"/>
        <w:autoSpaceDN w:val="0"/>
        <w:adjustRightInd w:val="0"/>
        <w:spacing w:line="240" w:lineRule="auto"/>
        <w:ind w:left="720" w:firstLine="720"/>
        <w:rPr>
          <w:rFonts w:cs="Calibri"/>
        </w:rPr>
      </w:pPr>
    </w:p>
    <w:p w:rsidR="006349D7" w:rsidRPr="00516994" w:rsidRDefault="006349D7" w:rsidP="006349D7">
      <w:pPr>
        <w:autoSpaceDE w:val="0"/>
        <w:autoSpaceDN w:val="0"/>
        <w:adjustRightInd w:val="0"/>
        <w:spacing w:line="240" w:lineRule="auto"/>
        <w:ind w:left="720"/>
        <w:rPr>
          <w:rFonts w:cs="Calibri"/>
        </w:rPr>
      </w:pPr>
      <w:r w:rsidRPr="00516994">
        <w:rPr>
          <w:rFonts w:cs="Calibri"/>
        </w:rPr>
        <w:t>Further in case the licensee fails to note the actual maximum load / demand reading or in case of spot-billing, then the consumer may approach the licensee with a photo of the actual maximum load / demand reading displayed on his meter of the previous month. The licensee shall accept the same for the purpose of computation of billable demand, however if the licensee wishes to, it can get the same verified within 10 days.</w:t>
      </w:r>
    </w:p>
    <w:p w:rsidR="006349D7" w:rsidRPr="00516994" w:rsidDel="009D75BB" w:rsidRDefault="006349D7" w:rsidP="006349D7">
      <w:pPr>
        <w:spacing w:before="100" w:after="100"/>
        <w:ind w:left="720" w:right="-58"/>
        <w:rPr>
          <w:rFonts w:cs="Calibri"/>
        </w:rPr>
      </w:pPr>
    </w:p>
    <w:p w:rsidR="006349D7" w:rsidRDefault="006349D7" w:rsidP="00EC6AAC">
      <w:pPr>
        <w:numPr>
          <w:ilvl w:val="3"/>
          <w:numId w:val="55"/>
        </w:numPr>
        <w:tabs>
          <w:tab w:val="left" w:pos="720"/>
        </w:tabs>
        <w:spacing w:before="100" w:after="100"/>
        <w:ind w:left="720" w:right="-58" w:hanging="720"/>
        <w:rPr>
          <w:rFonts w:cs="Calibri"/>
          <w:b/>
        </w:rPr>
      </w:pPr>
      <w:r w:rsidRPr="00516994">
        <w:rPr>
          <w:rFonts w:cs="Calibri"/>
          <w:b/>
        </w:rPr>
        <w:lastRenderedPageBreak/>
        <w:t>SURCHARGE / PENALTY:</w:t>
      </w:r>
    </w:p>
    <w:p w:rsidR="006349D7" w:rsidRDefault="006349D7" w:rsidP="006349D7">
      <w:pPr>
        <w:numPr>
          <w:ilvl w:val="0"/>
          <w:numId w:val="35"/>
        </w:numPr>
        <w:spacing w:before="100" w:line="288" w:lineRule="auto"/>
        <w:ind w:right="11"/>
        <w:rPr>
          <w:rFonts w:cs="Calibri"/>
        </w:rPr>
      </w:pPr>
      <w:r w:rsidRPr="00516994">
        <w:rPr>
          <w:rFonts w:cs="Calibri"/>
          <w:b/>
        </w:rPr>
        <w:t>DELAYED PAYMENT:</w:t>
      </w:r>
    </w:p>
    <w:p w:rsidR="006349D7" w:rsidRDefault="006349D7" w:rsidP="006349D7">
      <w:pPr>
        <w:ind w:left="1440"/>
        <w:rPr>
          <w:rFonts w:cs="Calibri"/>
        </w:rPr>
      </w:pPr>
      <w:r w:rsidRPr="00516994">
        <w:rPr>
          <w:rFonts w:cs="Calibri"/>
        </w:rPr>
        <w:t>If a consumer fails to pay his electricity bill by the due date specified therein, a late payment surcharge shall be levied at 1.25% per month; up-to first three months of delay and subsequently @ 2.00% per month of delay. Late payment surcharge shall be calculated proportionately for the number of days for which the payment is delayed beyond the due date specified in the bill and levied on the unpaid amount of the bill excluding surcharge. Imposition of this surcharge is without prejudice to the right of the Licensee to disconnect the supply or take any other measure permissible under the law.</w:t>
      </w:r>
    </w:p>
    <w:p w:rsidR="006349D7" w:rsidRPr="00516994" w:rsidRDefault="006349D7" w:rsidP="006349D7">
      <w:pPr>
        <w:ind w:left="1440"/>
        <w:rPr>
          <w:rFonts w:cs="Calibri"/>
        </w:rPr>
      </w:pPr>
    </w:p>
    <w:p w:rsidR="006349D7" w:rsidRPr="006C63AF" w:rsidRDefault="006349D7" w:rsidP="006349D7">
      <w:pPr>
        <w:numPr>
          <w:ilvl w:val="0"/>
          <w:numId w:val="35"/>
        </w:numPr>
        <w:spacing w:before="100" w:line="288" w:lineRule="auto"/>
        <w:ind w:right="11"/>
        <w:rPr>
          <w:rFonts w:cs="Calibri"/>
          <w:i/>
        </w:rPr>
      </w:pPr>
      <w:r w:rsidRPr="00516994">
        <w:rPr>
          <w:rFonts w:cs="Calibri"/>
          <w:b/>
        </w:rPr>
        <w:t xml:space="preserve">CHARGES FOR EXCEEDING CONTRACTED DEMAND: </w:t>
      </w:r>
    </w:p>
    <w:p w:rsidR="006349D7" w:rsidRDefault="006349D7" w:rsidP="00EC6AAC">
      <w:pPr>
        <w:pStyle w:val="ListParagraph"/>
        <w:numPr>
          <w:ilvl w:val="0"/>
          <w:numId w:val="105"/>
        </w:numPr>
        <w:spacing w:before="100" w:after="100"/>
        <w:ind w:left="1800" w:right="-58"/>
        <w:rPr>
          <w:rFonts w:cstheme="minorHAnsi"/>
        </w:rPr>
      </w:pPr>
      <w:r w:rsidRPr="00516994">
        <w:rPr>
          <w:rFonts w:cstheme="minorHAnsi"/>
          <w:iCs/>
        </w:rPr>
        <w:t xml:space="preserve">If the maximum load / demand in any month of a </w:t>
      </w:r>
      <w:r w:rsidRPr="00516994">
        <w:rPr>
          <w:rFonts w:cstheme="minorHAnsi"/>
          <w:b/>
        </w:rPr>
        <w:t>domestic consumer</w:t>
      </w:r>
      <w:r w:rsidRPr="00516994">
        <w:rPr>
          <w:rFonts w:cstheme="minorHAnsi"/>
        </w:rPr>
        <w:t xml:space="preserve"> having TVM / TOD / Demand recording meter exceeds the contracted load / demand, then such excess load / demand shall be levied equal to 100% of the normal rate apart from the normal fixed / demand charge as per the maximum load / demand recorded by the meter. Further, if the consumer is found to have exceeded the contracted load / demand for continuous previous three months, the consumer shall be served a notice of one month advising him to get the contracted load enhanced as per the provisions of UPERC Electricity Supply Code, 2005 and amendments thereof. However, the consumer shall be charged for excess load for the period the load is found to exceed the contracted load. The Licensee shall merge the excess load with the previously sanctioned load, and levy additional charges calculated as above, along with additional security. Subsequent action regarding the increase in contracted load, or otherwise shall be taken only after due examination of the consumer’s reply to the notice and a written order in this respect by the Licensee.</w:t>
      </w:r>
    </w:p>
    <w:p w:rsidR="006349D7" w:rsidRPr="00516994" w:rsidRDefault="006349D7" w:rsidP="006349D7">
      <w:pPr>
        <w:pStyle w:val="ListParagraph"/>
        <w:ind w:left="1440"/>
        <w:rPr>
          <w:rFonts w:cstheme="minorHAnsi"/>
        </w:rPr>
      </w:pPr>
    </w:p>
    <w:p w:rsidR="006349D7" w:rsidRPr="00516994" w:rsidRDefault="006349D7" w:rsidP="00EC6AAC">
      <w:pPr>
        <w:pStyle w:val="ListParagraph"/>
        <w:numPr>
          <w:ilvl w:val="0"/>
          <w:numId w:val="105"/>
        </w:numPr>
        <w:spacing w:before="100" w:after="100"/>
        <w:ind w:left="1800" w:right="-58"/>
        <w:contextualSpacing/>
        <w:rPr>
          <w:rFonts w:cstheme="minorHAnsi"/>
        </w:rPr>
      </w:pPr>
      <w:r w:rsidRPr="00516994">
        <w:rPr>
          <w:rFonts w:cstheme="minorHAnsi"/>
        </w:rPr>
        <w:t xml:space="preserve">If the maximum load / demand in any month, for the consumers of </w:t>
      </w:r>
      <w:r w:rsidRPr="00516994">
        <w:rPr>
          <w:rFonts w:cstheme="minorHAnsi"/>
          <w:b/>
        </w:rPr>
        <w:t>other category(except (a) above )</w:t>
      </w:r>
      <w:r w:rsidRPr="00516994">
        <w:rPr>
          <w:rFonts w:cstheme="minorHAnsi"/>
        </w:rPr>
        <w:t xml:space="preserve"> having TVM/ TOD /Demand recording meter exceeds the contracted load /demand , then such excess load /demand shall be levied equal to 200% of the normal rate </w:t>
      </w:r>
      <w:r w:rsidRPr="00516994">
        <w:rPr>
          <w:rFonts w:cstheme="minorHAnsi"/>
        </w:rPr>
        <w:lastRenderedPageBreak/>
        <w:t>apart from the normal fixed /demand charges as  per the maximum load /demand recorded by the meter.</w:t>
      </w:r>
    </w:p>
    <w:p w:rsidR="006349D7" w:rsidRPr="00516994" w:rsidRDefault="006349D7" w:rsidP="006349D7">
      <w:pPr>
        <w:pStyle w:val="ListParagraph"/>
        <w:ind w:left="1440"/>
        <w:rPr>
          <w:rFonts w:cstheme="minorHAnsi"/>
        </w:rPr>
      </w:pPr>
    </w:p>
    <w:p w:rsidR="006349D7" w:rsidRPr="00516994" w:rsidRDefault="006349D7" w:rsidP="00EC6AAC">
      <w:pPr>
        <w:pStyle w:val="ListParagraph"/>
        <w:numPr>
          <w:ilvl w:val="0"/>
          <w:numId w:val="105"/>
        </w:numPr>
        <w:spacing w:before="100" w:after="100"/>
        <w:ind w:left="1800" w:right="-58"/>
        <w:contextualSpacing/>
        <w:rPr>
          <w:rFonts w:cstheme="minorHAnsi"/>
        </w:rPr>
      </w:pPr>
      <w:r w:rsidRPr="00516994">
        <w:rPr>
          <w:rFonts w:cstheme="minorHAnsi"/>
        </w:rPr>
        <w:t>Any surcharge / penalty shall be over and above the minimum charge, if the consumption bill of the consumer is being prepared on the basis of minimum charge.</w:t>
      </w:r>
    </w:p>
    <w:p w:rsidR="006349D7" w:rsidRPr="00516994" w:rsidRDefault="006349D7" w:rsidP="006349D7">
      <w:pPr>
        <w:pStyle w:val="ListParagraph"/>
        <w:rPr>
          <w:rFonts w:cstheme="minorHAnsi"/>
        </w:rPr>
      </w:pPr>
    </w:p>
    <w:p w:rsidR="006349D7" w:rsidRDefault="006349D7" w:rsidP="00EC6AAC">
      <w:pPr>
        <w:numPr>
          <w:ilvl w:val="0"/>
          <w:numId w:val="105"/>
        </w:numPr>
        <w:spacing w:before="100" w:after="100"/>
        <w:ind w:left="1800" w:right="-58"/>
        <w:contextualSpacing/>
        <w:rPr>
          <w:rFonts w:cstheme="minorHAnsi"/>
        </w:rPr>
      </w:pPr>
      <w:r w:rsidRPr="00516994">
        <w:rPr>
          <w:rFonts w:cstheme="minorHAnsi"/>
        </w:rPr>
        <w:t>Provided where no TVM / TOD / Demand recording meter is installed, the excess load / demand penalty shall be billed as per the UPERC Electricity Supply Code, 2005 as amended from time to time.</w:t>
      </w:r>
    </w:p>
    <w:p w:rsidR="006349D7" w:rsidRPr="00516994" w:rsidRDefault="006349D7" w:rsidP="006349D7">
      <w:pPr>
        <w:pStyle w:val="ListParagraph"/>
        <w:spacing w:before="100" w:after="100"/>
        <w:ind w:left="1080" w:right="-58"/>
        <w:rPr>
          <w:rFonts w:cs="Calibri"/>
        </w:rPr>
      </w:pPr>
    </w:p>
    <w:p w:rsidR="006349D7" w:rsidRPr="006C63AF" w:rsidRDefault="006349D7" w:rsidP="00EC6AAC">
      <w:pPr>
        <w:numPr>
          <w:ilvl w:val="3"/>
          <w:numId w:val="55"/>
        </w:numPr>
        <w:tabs>
          <w:tab w:val="left" w:pos="720"/>
        </w:tabs>
        <w:spacing w:before="100" w:after="100"/>
        <w:ind w:left="720" w:right="-58" w:hanging="720"/>
        <w:rPr>
          <w:rFonts w:cs="Calibri"/>
          <w:i/>
        </w:rPr>
      </w:pPr>
      <w:r w:rsidRPr="00516994">
        <w:rPr>
          <w:rFonts w:cs="Calibri"/>
          <w:b/>
        </w:rPr>
        <w:t>POWER FACTOR SURCHARGE:</w:t>
      </w:r>
    </w:p>
    <w:p w:rsidR="006349D7" w:rsidRDefault="006349D7" w:rsidP="00EC6AAC">
      <w:pPr>
        <w:pStyle w:val="ListParagraph"/>
        <w:numPr>
          <w:ilvl w:val="1"/>
          <w:numId w:val="108"/>
        </w:numPr>
        <w:ind w:right="29"/>
        <w:rPr>
          <w:rFonts w:cstheme="minorHAnsi"/>
        </w:rPr>
      </w:pPr>
      <w:r w:rsidRPr="00516994">
        <w:rPr>
          <w:rFonts w:cstheme="minorHAnsi"/>
        </w:rPr>
        <w:t>Power factor surcharge shall not be levied where consumer is being billed on kVAh consumption basis.</w:t>
      </w:r>
    </w:p>
    <w:p w:rsidR="006349D7" w:rsidRPr="00516994" w:rsidRDefault="006349D7" w:rsidP="006349D7">
      <w:pPr>
        <w:pStyle w:val="ListParagraph"/>
        <w:spacing w:before="0"/>
        <w:ind w:left="1440" w:right="29"/>
        <w:contextualSpacing/>
        <w:rPr>
          <w:rFonts w:cstheme="minorHAnsi"/>
        </w:rPr>
      </w:pPr>
    </w:p>
    <w:p w:rsidR="006349D7" w:rsidRPr="005C2246" w:rsidRDefault="006349D7" w:rsidP="00EC6AAC">
      <w:pPr>
        <w:pStyle w:val="ListParagraph"/>
        <w:numPr>
          <w:ilvl w:val="1"/>
          <w:numId w:val="108"/>
        </w:numPr>
        <w:spacing w:before="0" w:after="200"/>
        <w:ind w:right="29"/>
        <w:contextualSpacing/>
        <w:rPr>
          <w:rFonts w:cstheme="minorHAnsi"/>
        </w:rPr>
      </w:pPr>
      <w:r w:rsidRPr="00516994">
        <w:rPr>
          <w:rFonts w:cstheme="minorHAnsi"/>
        </w:rPr>
        <w:t>It shall be obligatory for all consumers to maintain an average power factor of 0.85 or more during any billing period. No new connections of motive power loads / inductive loads above 3 kW, other than under LMV-1 and LMV-2 category, and / or of welding transformers above 1kVA shall be given, unless shunt capacitors having I.S.I specifications of appropriate ratings are installed, as described in ANNEXURE 11.4.</w:t>
      </w:r>
    </w:p>
    <w:p w:rsidR="006349D7" w:rsidRDefault="006349D7" w:rsidP="006349D7">
      <w:pPr>
        <w:pStyle w:val="ListParagraph"/>
        <w:spacing w:before="60" w:after="200"/>
        <w:ind w:left="1440" w:right="29"/>
        <w:contextualSpacing/>
        <w:rPr>
          <w:rFonts w:cstheme="minorHAnsi"/>
        </w:rPr>
      </w:pPr>
    </w:p>
    <w:p w:rsidR="006349D7" w:rsidRPr="00516994" w:rsidRDefault="006349D7" w:rsidP="00EC6AAC">
      <w:pPr>
        <w:pStyle w:val="ListParagraph"/>
        <w:numPr>
          <w:ilvl w:val="1"/>
          <w:numId w:val="108"/>
        </w:numPr>
        <w:spacing w:before="60" w:after="200"/>
        <w:ind w:right="29"/>
        <w:contextualSpacing/>
        <w:rPr>
          <w:rFonts w:cstheme="minorHAnsi"/>
        </w:rPr>
      </w:pPr>
      <w:r w:rsidRPr="00516994">
        <w:rPr>
          <w:rFonts w:cstheme="minorHAnsi"/>
        </w:rPr>
        <w:t xml:space="preserve">In respect of the consumers with or without static TVMs, excluding consumers under LMV-1 category up to contracted load of 10 kW and LMV-2 category up to contracted load of 5 kW, if on inspection it is found that capacitors of appropriate rating are missing or in-operational and Licensee can prove that the absence of capacitor is bringing down the power factor of the consumer below the obligatory norm of 0.85; then a surcharge of 15% of the amount of bill shall be levied on such consumers. Licensee may also initiate action under the relevant provisions of the Electricity Act, 2003, as amended from time to time.  </w:t>
      </w:r>
    </w:p>
    <w:p w:rsidR="006349D7" w:rsidRDefault="006349D7" w:rsidP="006349D7">
      <w:pPr>
        <w:pStyle w:val="ListParagraph"/>
        <w:spacing w:before="60" w:after="240"/>
        <w:ind w:left="1440" w:right="29"/>
        <w:rPr>
          <w:rFonts w:cstheme="minorHAnsi"/>
        </w:rPr>
      </w:pPr>
      <w:r w:rsidRPr="00516994">
        <w:rPr>
          <w:rFonts w:cstheme="minorHAnsi"/>
        </w:rPr>
        <w:t xml:space="preserve">Notwithstanding anything contained above, the Licensee also has a right to disconnect the power supply, if the power factor falls below 0.75.    </w:t>
      </w:r>
    </w:p>
    <w:p w:rsidR="006349D7" w:rsidRDefault="006349D7" w:rsidP="00EC6AAC">
      <w:pPr>
        <w:pStyle w:val="ListParagraph"/>
        <w:numPr>
          <w:ilvl w:val="1"/>
          <w:numId w:val="108"/>
        </w:numPr>
        <w:tabs>
          <w:tab w:val="left" w:pos="360"/>
          <w:tab w:val="left" w:pos="1440"/>
        </w:tabs>
        <w:spacing w:before="100" w:after="100"/>
        <w:ind w:right="29"/>
        <w:rPr>
          <w:rFonts w:cs="Calibri"/>
        </w:rPr>
      </w:pPr>
      <w:r w:rsidRPr="00516994">
        <w:rPr>
          <w:rFonts w:cstheme="minorHAnsi"/>
        </w:rPr>
        <w:t>Power factor surcharge shall however, not be levied during the period of disconnection on account of any reason whatsoever.</w:t>
      </w:r>
    </w:p>
    <w:p w:rsidR="006349D7" w:rsidRPr="00516994" w:rsidRDefault="006349D7" w:rsidP="006349D7">
      <w:pPr>
        <w:pStyle w:val="ListParagraph"/>
        <w:tabs>
          <w:tab w:val="left" w:pos="360"/>
          <w:tab w:val="left" w:pos="1440"/>
        </w:tabs>
        <w:spacing w:before="100" w:after="100"/>
        <w:ind w:left="1440" w:right="28"/>
        <w:contextualSpacing/>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 xml:space="preserve">PROTECTIVE LOAD: </w:t>
      </w:r>
    </w:p>
    <w:p w:rsidR="006349D7" w:rsidRPr="00C60AD1" w:rsidRDefault="006349D7" w:rsidP="006349D7">
      <w:pPr>
        <w:ind w:left="720"/>
        <w:rPr>
          <w:rFonts w:cs="Calibri"/>
        </w:rPr>
      </w:pPr>
      <w:r w:rsidRPr="00C60AD1">
        <w:rPr>
          <w:rFonts w:cs="Calibri"/>
        </w:rPr>
        <w:t xml:space="preserve">Consumers getting supply on independent feeder at 11kV &amp; above voltage, emanating from sub-station, may opt for facility of protective load and avail supply during the period of scheduled rostering imposed by the Licensee, except under emergency rostering. An additional charge @ 100% of base demand charges fixed per month shall be levied on the contracted protective (as per Electricity Supply Code) load each month. However, consumers of LMV-4 (A) - Public Institutions will pay the additional charge @ 25% of base demand charges only. During the period of scheduled rostering, the load shall not exceed the sanctioned protective load. In case the consumer exceeds the sanctioned protective load during scheduled rostering, he shall be liable to pay twice the prescribed charges for such excess load. </w:t>
      </w:r>
    </w:p>
    <w:p w:rsidR="006349D7" w:rsidRPr="00516994" w:rsidRDefault="006349D7" w:rsidP="006349D7">
      <w:pPr>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ROUNDING OFF:</w:t>
      </w:r>
    </w:p>
    <w:p w:rsidR="006349D7" w:rsidRPr="00516994" w:rsidRDefault="006349D7" w:rsidP="006349D7">
      <w:pPr>
        <w:ind w:left="720"/>
        <w:rPr>
          <w:rFonts w:cs="Calibri"/>
        </w:rPr>
      </w:pPr>
      <w:r w:rsidRPr="00516994">
        <w:rPr>
          <w:rFonts w:cs="Calibri"/>
        </w:rPr>
        <w:t>All bills will be rounded off to the nearest rupee i.e. up to 49 paisa shall be rounded down to previous rupee and 50 paisa upwards shall be rounded up to next rupee. The difference due to such rounding shall be adjusted in subsequent bills.</w:t>
      </w:r>
    </w:p>
    <w:p w:rsidR="006349D7" w:rsidRPr="00516994" w:rsidRDefault="006349D7" w:rsidP="006349D7">
      <w:pPr>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OPTION OF MIGRATION TO HV-1 &amp;</w:t>
      </w:r>
      <w:r>
        <w:rPr>
          <w:rFonts w:cs="Calibri"/>
          <w:b/>
        </w:rPr>
        <w:t xml:space="preserve"> </w:t>
      </w:r>
      <w:r w:rsidRPr="00516994">
        <w:rPr>
          <w:rFonts w:cs="Calibri"/>
          <w:b/>
        </w:rPr>
        <w:t>HV-2 CATEGORY:</w:t>
      </w:r>
    </w:p>
    <w:p w:rsidR="006349D7" w:rsidRPr="00516994" w:rsidRDefault="006349D7" w:rsidP="006349D7">
      <w:pPr>
        <w:ind w:left="720"/>
        <w:rPr>
          <w:rFonts w:cs="Calibri"/>
        </w:rPr>
      </w:pPr>
      <w:r w:rsidRPr="00516994">
        <w:rPr>
          <w:rFonts w:cs="Calibri"/>
        </w:rPr>
        <w:t>The consumer under LMV-2 and LMV-4 with contracted load above 50 kW and getting supply at 11 kV &amp; above voltage shall have an option to migrate to the HV-1 category and LMV-6 consumers with contracted load above 50 kW and getting supply at 11 kV &amp; above voltage shall have an option to migrate to the HV-2 category. Furthermore, the consumers shall have an option of migrating back to the original category on payment of charges prescribed in Cost Data Book for change in voltage level.</w:t>
      </w:r>
    </w:p>
    <w:p w:rsidR="006349D7" w:rsidRPr="00516994" w:rsidRDefault="006349D7" w:rsidP="006349D7">
      <w:pPr>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PRE-PAID METERS / AUTOMATIC METER READING SYSTEM:</w:t>
      </w:r>
    </w:p>
    <w:p w:rsidR="006349D7" w:rsidRPr="00516994" w:rsidRDefault="006349D7" w:rsidP="00EC6AAC">
      <w:pPr>
        <w:numPr>
          <w:ilvl w:val="0"/>
          <w:numId w:val="106"/>
        </w:numPr>
        <w:tabs>
          <w:tab w:val="left" w:pos="1440"/>
        </w:tabs>
        <w:spacing w:before="100" w:line="288" w:lineRule="auto"/>
        <w:ind w:right="11"/>
        <w:rPr>
          <w:rFonts w:cstheme="minorHAnsi"/>
        </w:rPr>
      </w:pPr>
      <w:r w:rsidRPr="00516994">
        <w:rPr>
          <w:rFonts w:cstheme="minorHAnsi"/>
        </w:rPr>
        <w:t>Any consumer having prepaid meters shall also be entitled to a discount of 1.25% on Rate as defined in the Tariff Order.</w:t>
      </w:r>
    </w:p>
    <w:p w:rsidR="006349D7" w:rsidRPr="00516994" w:rsidRDefault="006349D7" w:rsidP="00EC6AAC">
      <w:pPr>
        <w:numPr>
          <w:ilvl w:val="0"/>
          <w:numId w:val="106"/>
        </w:numPr>
        <w:tabs>
          <w:tab w:val="left" w:pos="1440"/>
        </w:tabs>
        <w:spacing w:before="100" w:line="288" w:lineRule="auto"/>
        <w:ind w:right="11"/>
        <w:rPr>
          <w:rFonts w:cstheme="minorHAnsi"/>
        </w:rPr>
      </w:pPr>
      <w:r w:rsidRPr="00516994">
        <w:rPr>
          <w:rFonts w:cstheme="minorHAnsi"/>
        </w:rPr>
        <w:lastRenderedPageBreak/>
        <w:t>The token charges for code generation for prepaid meters shall be Rs. 10/- per token or as decided by the Commission from time to time.</w:t>
      </w:r>
    </w:p>
    <w:p w:rsidR="006349D7" w:rsidRPr="00516994" w:rsidRDefault="006349D7" w:rsidP="006349D7">
      <w:pPr>
        <w:tabs>
          <w:tab w:val="left" w:pos="720"/>
        </w:tabs>
        <w:spacing w:before="100" w:after="100"/>
        <w:ind w:left="720" w:right="-61"/>
        <w:rPr>
          <w:rFonts w:cs="Calibri"/>
          <w:b/>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CONSUMERS NOT COVERED UNDER ANY RATE SCHEDULE OR EXPRESSLY EXCLUDED FROM ANY CATEGORY:</w:t>
      </w:r>
    </w:p>
    <w:p w:rsidR="006349D7" w:rsidRPr="00516994" w:rsidRDefault="006349D7" w:rsidP="006349D7">
      <w:pPr>
        <w:ind w:left="720"/>
        <w:rPr>
          <w:rFonts w:cs="Calibri"/>
        </w:rPr>
      </w:pPr>
      <w:r w:rsidRPr="00516994">
        <w:rPr>
          <w:rFonts w:cs="Calibri"/>
        </w:rPr>
        <w:t>For consumers of light, fan &amp; power (excluding motive power loads) not covered under any rate schedule or expressly excluded from any LMV rate schedule will be categorized under LMV-2.</w:t>
      </w:r>
    </w:p>
    <w:p w:rsidR="006349D7" w:rsidRPr="00516994" w:rsidRDefault="006349D7" w:rsidP="006349D7">
      <w:pPr>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rPr>
      </w:pPr>
      <w:r w:rsidRPr="00516994">
        <w:rPr>
          <w:rFonts w:cs="Calibri"/>
        </w:rPr>
        <w:t>A consumer under metered category may undertake any extension work, in the same premises, on his existing connection without taking any temporary connection as long as his demand does not exceed his contracted demand and the consumer shall be billed in accordance with the tariff applicable to that category of consumer.</w:t>
      </w:r>
    </w:p>
    <w:p w:rsidR="006349D7" w:rsidRPr="00516994" w:rsidRDefault="006349D7" w:rsidP="006349D7">
      <w:pPr>
        <w:ind w:left="705" w:hanging="705"/>
        <w:rPr>
          <w:rFonts w:cs="Calibri"/>
          <w:b/>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 xml:space="preserve">SOLAR WATER HEATER REBATE: </w:t>
      </w:r>
    </w:p>
    <w:p w:rsidR="006349D7" w:rsidRPr="00516994" w:rsidRDefault="006349D7" w:rsidP="006349D7">
      <w:pPr>
        <w:ind w:left="720"/>
        <w:rPr>
          <w:rFonts w:cs="Calibri"/>
        </w:rPr>
      </w:pPr>
      <w:r w:rsidRPr="00516994">
        <w:rPr>
          <w:rFonts w:cs="Calibri"/>
        </w:rPr>
        <w:t>If consumer installs and uses solar water heating system of 100 litres or more, a rebate of Rs. 100 /- per month or actual bill for that month whichever is lower shall be given. The same shall be subject to the condition that consumer gives an affidavit to the licensee to the effect that he has installed such system and is in working condition, which the licensee shall be free to verify from time to time. If any such claim is found to be false, in addition to punitive legal action that may be taken against such consumer, the licensee will recover the total rebate allowed to the consumer with 100% penalty and debar him from availing such rebate for the next 12 months.</w:t>
      </w:r>
    </w:p>
    <w:p w:rsidR="006349D7" w:rsidRPr="00516994" w:rsidRDefault="006349D7" w:rsidP="006349D7">
      <w:pPr>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REBATE ON PAYMENT ON OR BEFORE DUE DATE:</w:t>
      </w:r>
    </w:p>
    <w:p w:rsidR="006349D7" w:rsidRPr="00516994" w:rsidRDefault="006349D7" w:rsidP="006349D7">
      <w:pPr>
        <w:ind w:left="720"/>
        <w:rPr>
          <w:rFonts w:cs="Calibri"/>
        </w:rPr>
      </w:pPr>
      <w:r w:rsidRPr="00516994">
        <w:rPr>
          <w:rFonts w:cstheme="minorHAnsi"/>
        </w:rPr>
        <w:t>A rebate at 0.50% of Rate shall be given in case the payment is made on or before the due date. The consumers having any arrears in the bill shall not be entitled for this rebate. The consumers who have made advance deposit against their future monthly energy bills shall also be eligible for the above rebate applicable on Rate.</w:t>
      </w:r>
    </w:p>
    <w:p w:rsidR="006349D7" w:rsidRPr="00516994" w:rsidRDefault="006349D7" w:rsidP="006349D7">
      <w:pPr>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lastRenderedPageBreak/>
        <w:t>REBATE TO CONSUMERS WHO SHIFT FROM UNMETERED TO METERED CONNECTION:</w:t>
      </w:r>
    </w:p>
    <w:p w:rsidR="006349D7" w:rsidRPr="00516994" w:rsidRDefault="006349D7" w:rsidP="006349D7">
      <w:pPr>
        <w:pStyle w:val="ListParagraph"/>
        <w:keepNext/>
        <w:spacing w:before="100"/>
        <w:ind w:right="-58"/>
        <w:rPr>
          <w:rFonts w:cstheme="minorHAnsi"/>
        </w:rPr>
      </w:pPr>
      <w:r w:rsidRPr="00516994">
        <w:rPr>
          <w:rFonts w:cstheme="minorHAnsi"/>
        </w:rPr>
        <w:t>In case any rural consumer shifts from unmetered to metered category, he shall be entitled to rebate of 10% on Rate which shall be applicable from date of installation of meter till end of FY 2017-18.</w:t>
      </w:r>
    </w:p>
    <w:p w:rsidR="006349D7" w:rsidRPr="00516994" w:rsidRDefault="006349D7" w:rsidP="006349D7">
      <w:pPr>
        <w:ind w:left="1440"/>
        <w:rPr>
          <w:rFonts w:cs="Calibri"/>
        </w:rPr>
      </w:pPr>
    </w:p>
    <w:p w:rsidR="006349D7" w:rsidRPr="00516994" w:rsidRDefault="006349D7" w:rsidP="00EC6AAC">
      <w:pPr>
        <w:numPr>
          <w:ilvl w:val="3"/>
          <w:numId w:val="55"/>
        </w:numPr>
        <w:tabs>
          <w:tab w:val="left" w:pos="720"/>
        </w:tabs>
        <w:spacing w:before="100" w:after="100"/>
        <w:ind w:left="720" w:right="-61" w:hanging="720"/>
        <w:rPr>
          <w:b/>
        </w:rPr>
      </w:pPr>
      <w:r w:rsidRPr="00516994">
        <w:rPr>
          <w:b/>
        </w:rPr>
        <w:t>SCHEME FOR ADVANCE DEPOSIT FOR FUTURE MONTHLY ENERGY BILLS:</w:t>
      </w:r>
    </w:p>
    <w:p w:rsidR="006349D7" w:rsidRPr="00516994" w:rsidRDefault="006349D7" w:rsidP="006349D7">
      <w:pPr>
        <w:ind w:left="720"/>
        <w:rPr>
          <w:rFonts w:cs="Calibri"/>
        </w:rPr>
      </w:pPr>
      <w:r w:rsidRPr="00516994">
        <w:rPr>
          <w:rFonts w:cstheme="minorHAnsi"/>
        </w:rPr>
        <w:t>If a consumer intends to make advance deposit against his future monthly energy bills, the Licensee, shall accept such payment and this amount shall be adjusted only towards his future monthly energy bills. On such advance deposit the consumers shall be paid interest, at the interest rate applicable on security deposit, for the period during which advance exists for each month on reducing balance method and amount so accrued shall be adjusted in the electricity bills which shall be shown separately in the bill of each month. Further, quarterly report regarding the same must be submitted to the Commission.</w:t>
      </w:r>
    </w:p>
    <w:p w:rsidR="006349D7" w:rsidRPr="00516994" w:rsidRDefault="006349D7" w:rsidP="006349D7">
      <w:pPr>
        <w:spacing w:line="240" w:lineRule="auto"/>
        <w:rPr>
          <w:rFonts w:cs="Calibri"/>
        </w:rPr>
      </w:pPr>
      <w:r w:rsidRPr="00516994">
        <w:rPr>
          <w:rFonts w:cs="Calibri"/>
        </w:rPr>
        <w:tab/>
      </w:r>
    </w:p>
    <w:p w:rsidR="006349D7" w:rsidRDefault="006349D7" w:rsidP="00EC6AAC">
      <w:pPr>
        <w:numPr>
          <w:ilvl w:val="3"/>
          <w:numId w:val="55"/>
        </w:numPr>
        <w:tabs>
          <w:tab w:val="left" w:pos="720"/>
        </w:tabs>
        <w:spacing w:before="100" w:after="100"/>
        <w:ind w:left="720" w:right="-61" w:hanging="720"/>
      </w:pPr>
      <w:r w:rsidRPr="00516994">
        <w:rPr>
          <w:b/>
        </w:rPr>
        <w:t>FACILITATION CHARGE FOR ONLINE PAYMENT:</w:t>
      </w:r>
    </w:p>
    <w:p w:rsidR="006349D7" w:rsidRPr="00516994" w:rsidRDefault="006349D7" w:rsidP="00EC6AAC">
      <w:pPr>
        <w:numPr>
          <w:ilvl w:val="0"/>
          <w:numId w:val="107"/>
        </w:numPr>
        <w:tabs>
          <w:tab w:val="clear" w:pos="1800"/>
        </w:tabs>
        <w:spacing w:before="100" w:line="288" w:lineRule="auto"/>
        <w:ind w:left="1418" w:right="11"/>
        <w:rPr>
          <w:rFonts w:cstheme="minorHAnsi"/>
        </w:rPr>
      </w:pPr>
      <w:r w:rsidRPr="00516994">
        <w:rPr>
          <w:rFonts w:cstheme="minorHAnsi"/>
        </w:rPr>
        <w:t>No transaction charge shall be collected from the consumers making their payment through internet banking.</w:t>
      </w:r>
    </w:p>
    <w:p w:rsidR="006349D7" w:rsidRPr="00516994" w:rsidRDefault="006349D7" w:rsidP="00EC6AAC">
      <w:pPr>
        <w:numPr>
          <w:ilvl w:val="0"/>
          <w:numId w:val="107"/>
        </w:numPr>
        <w:tabs>
          <w:tab w:val="clear" w:pos="1800"/>
        </w:tabs>
        <w:spacing w:before="100" w:line="288" w:lineRule="auto"/>
        <w:ind w:left="1440" w:right="11"/>
        <w:rPr>
          <w:rFonts w:cstheme="minorHAnsi"/>
        </w:rPr>
      </w:pPr>
      <w:r w:rsidRPr="00516994">
        <w:rPr>
          <w:rFonts w:cstheme="minorHAnsi"/>
        </w:rPr>
        <w:t xml:space="preserve">The Licensees shall bear the transaction charges for transactions up to Rs. 4,000 for payment of bill through internet using Credit Card / Debit Card. </w:t>
      </w:r>
    </w:p>
    <w:p w:rsidR="006349D7" w:rsidRPr="00516994" w:rsidRDefault="006349D7" w:rsidP="006349D7">
      <w:pPr>
        <w:spacing w:line="240" w:lineRule="auto"/>
        <w:ind w:left="720"/>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MINIMUM CHARGE:</w:t>
      </w:r>
    </w:p>
    <w:p w:rsidR="006349D7" w:rsidRPr="00516994" w:rsidRDefault="006349D7" w:rsidP="006349D7">
      <w:pPr>
        <w:tabs>
          <w:tab w:val="left" w:pos="720"/>
        </w:tabs>
        <w:spacing w:before="100" w:after="100"/>
        <w:ind w:left="720" w:right="-61"/>
        <w:rPr>
          <w:rFonts w:cstheme="minorHAnsi"/>
        </w:rPr>
      </w:pPr>
      <w:r w:rsidRPr="00516994">
        <w:rPr>
          <w:rFonts w:cstheme="minorHAnsi"/>
        </w:rPr>
        <w:t>Minimum charge is the charge in accordance with the tariff in force from time to time and come into effect only when sum of fixed / demand charges and energy charges are less than a certain prescribed amount i.e. Minimum Charges. For each month, consumer will pay an amount that is higher of the following:</w:t>
      </w:r>
    </w:p>
    <w:p w:rsidR="006349D7" w:rsidRPr="00516994" w:rsidRDefault="006349D7" w:rsidP="00EC6AAC">
      <w:pPr>
        <w:pStyle w:val="ListParagraph"/>
        <w:numPr>
          <w:ilvl w:val="0"/>
          <w:numId w:val="56"/>
        </w:numPr>
        <w:tabs>
          <w:tab w:val="left" w:pos="720"/>
        </w:tabs>
        <w:spacing w:before="100" w:after="100"/>
        <w:ind w:right="-61"/>
        <w:rPr>
          <w:rFonts w:cstheme="minorHAnsi"/>
        </w:rPr>
      </w:pPr>
      <w:r w:rsidRPr="00516994">
        <w:rPr>
          <w:rFonts w:cstheme="minorHAnsi"/>
        </w:rPr>
        <w:t>Fixed / Demand charges plus Energy Charge on the basis of actual consumption for the month and additional charges such as Electricity Duty, Regulatory Surcharges, FPPCA Surcharges and any other charges as specified by the Commission from time to time.</w:t>
      </w:r>
    </w:p>
    <w:p w:rsidR="006349D7" w:rsidRPr="00516994" w:rsidRDefault="006349D7" w:rsidP="00EC6AAC">
      <w:pPr>
        <w:pStyle w:val="ListParagraph"/>
        <w:numPr>
          <w:ilvl w:val="0"/>
          <w:numId w:val="56"/>
        </w:numPr>
        <w:tabs>
          <w:tab w:val="left" w:pos="720"/>
        </w:tabs>
        <w:spacing w:before="100" w:after="100"/>
        <w:ind w:right="-61"/>
        <w:rPr>
          <w:rFonts w:cstheme="minorHAnsi"/>
        </w:rPr>
      </w:pPr>
      <w:r w:rsidRPr="00516994">
        <w:rPr>
          <w:rFonts w:cstheme="minorHAnsi"/>
        </w:rPr>
        <w:t xml:space="preserve">Monthly minimum charge as specified by the Commission and computed at the contracted load and additional charges such as Electricity Duty, </w:t>
      </w:r>
      <w:r w:rsidRPr="00516994">
        <w:rPr>
          <w:rFonts w:cstheme="minorHAnsi"/>
        </w:rPr>
        <w:lastRenderedPageBreak/>
        <w:t>Regulatory Surcharges, FPPCA Surcharges and any other charges as specified by the Commission from time to time.</w:t>
      </w:r>
    </w:p>
    <w:p w:rsidR="006349D7" w:rsidRPr="00516994" w:rsidRDefault="006349D7" w:rsidP="006349D7">
      <w:pPr>
        <w:tabs>
          <w:tab w:val="left" w:pos="720"/>
        </w:tabs>
        <w:spacing w:before="100" w:after="100"/>
        <w:ind w:right="-61"/>
        <w:rPr>
          <w:rFonts w:cstheme="minorHAns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 xml:space="preserve">EXEMPTION FROM MINIMUM CHARGE FOR USING SOLAR POWER: </w:t>
      </w:r>
    </w:p>
    <w:p w:rsidR="006349D7" w:rsidRPr="00516994" w:rsidRDefault="006349D7" w:rsidP="006349D7">
      <w:pPr>
        <w:ind w:left="720"/>
        <w:rPr>
          <w:rFonts w:cs="Calibri"/>
        </w:rPr>
      </w:pPr>
      <w:r w:rsidRPr="00516994">
        <w:rPr>
          <w:rFonts w:cs="Calibri"/>
        </w:rPr>
        <w:t xml:space="preserve">If a consumer under LMV-2 (Non domestic light, fan and power) category installs a rooftop solar plant under the provisions of </w:t>
      </w:r>
      <w:r w:rsidRPr="00516994">
        <w:t>UPERC (Rooftop Solar PV Grid Interactive Systems Gross / Net Metering) Regulations, 2015</w:t>
      </w:r>
      <w:r w:rsidRPr="00516994">
        <w:rPr>
          <w:rFonts w:cs="Calibri"/>
        </w:rPr>
        <w:t xml:space="preserve"> with maximum peak capacity of the grid connected rooftop solar PV system not exceeding 100% of the sanctioned connected load / contract demand of the consumer, then such consumer shall be exempted from payment of monthly minimum charges. Such exemption shall be in force till the time the solar plant remains fully operational.</w:t>
      </w:r>
    </w:p>
    <w:p w:rsidR="006349D7" w:rsidRPr="00516994" w:rsidRDefault="006349D7" w:rsidP="006349D7">
      <w:pPr>
        <w:rPr>
          <w:rFonts w:cs="Calibri"/>
        </w:rPr>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INTEREST ON DUES PAYABLE TO CONSUMER BY THE LICENSEE:</w:t>
      </w:r>
    </w:p>
    <w:p w:rsidR="006349D7" w:rsidRPr="00516994" w:rsidRDefault="006349D7" w:rsidP="006349D7">
      <w:pPr>
        <w:tabs>
          <w:tab w:val="left" w:pos="720"/>
        </w:tabs>
        <w:spacing w:before="100" w:after="100"/>
        <w:ind w:left="720" w:right="-61"/>
      </w:pPr>
      <w:r w:rsidRPr="00516994">
        <w:t>If a consumer becomes eligible for dues from the Licensee which may arise out of rectification / adjustment / settlement of bill(s), then such consumer will also be entitled to get interest at an interest rate applicable for interest on security deposits on all the dues payable by the Licensee to the consumer. The Licensee shall compute the interest amount for the period during which such pending amounts exists and adjust such interest towards the future monthly bills of consumers. After adjustment of the interest amount in a particular month, the balance amount, will be carried forward to next month for adjustment with interest on balance amount. The details of such interest amount and adjustment made during the month shall be shown separately in the bill. Further, separate accounting of interest paid must be maintained by the Licensees.</w:t>
      </w:r>
    </w:p>
    <w:p w:rsidR="006349D7" w:rsidRPr="00516994" w:rsidRDefault="006349D7" w:rsidP="006349D7">
      <w:pPr>
        <w:tabs>
          <w:tab w:val="left" w:pos="720"/>
        </w:tabs>
        <w:spacing w:before="100" w:after="100"/>
        <w:ind w:left="720" w:right="-61"/>
      </w:pPr>
    </w:p>
    <w:p w:rsidR="006349D7" w:rsidRPr="00516994" w:rsidRDefault="006349D7" w:rsidP="00EC6AAC">
      <w:pPr>
        <w:numPr>
          <w:ilvl w:val="3"/>
          <w:numId w:val="55"/>
        </w:numPr>
        <w:tabs>
          <w:tab w:val="left" w:pos="720"/>
        </w:tabs>
        <w:spacing w:before="100" w:after="100"/>
        <w:ind w:left="720" w:right="-61" w:hanging="720"/>
        <w:rPr>
          <w:rFonts w:cs="Calibri"/>
          <w:b/>
        </w:rPr>
      </w:pPr>
      <w:r w:rsidRPr="00516994">
        <w:rPr>
          <w:rFonts w:cs="Calibri"/>
          <w:b/>
        </w:rPr>
        <w:t xml:space="preserve">DEFINITION OF RURAL SCHEDULE: </w:t>
      </w:r>
    </w:p>
    <w:p w:rsidR="006349D7" w:rsidRDefault="006349D7" w:rsidP="006349D7">
      <w:pPr>
        <w:ind w:left="720"/>
        <w:rPr>
          <w:rFonts w:cs="Calibri"/>
        </w:rPr>
      </w:pPr>
      <w:r w:rsidRPr="00516994">
        <w:rPr>
          <w:rFonts w:cs="Calibri"/>
        </w:rPr>
        <w:t>Rural Schedule means supply schedule as defined and notified by State Load Despatch Centre (SLDC), Lucknow from time to time.</w:t>
      </w:r>
    </w:p>
    <w:p w:rsidR="006349D7" w:rsidRDefault="006349D7" w:rsidP="006349D7">
      <w:pPr>
        <w:pStyle w:val="Heading2"/>
        <w:numPr>
          <w:ilvl w:val="1"/>
          <w:numId w:val="23"/>
        </w:numPr>
        <w:sectPr w:rsidR="006349D7" w:rsidSect="006F02AD">
          <w:pgSz w:w="11909" w:h="16834"/>
          <w:pgMar w:top="1440" w:right="1440" w:bottom="1440" w:left="1800" w:header="720" w:footer="720" w:gutter="0"/>
          <w:pgNumType w:chapSep="colon"/>
          <w:cols w:space="720"/>
          <w:docGrid w:linePitch="326"/>
        </w:sectPr>
      </w:pPr>
    </w:p>
    <w:p w:rsidR="006349D7" w:rsidRPr="00114531" w:rsidRDefault="006349D7" w:rsidP="006349D7">
      <w:pPr>
        <w:jc w:val="center"/>
        <w:rPr>
          <w:b/>
          <w:caps/>
          <w:u w:val="single"/>
        </w:rPr>
      </w:pPr>
      <w:r w:rsidRPr="00114531">
        <w:rPr>
          <w:b/>
          <w:caps/>
          <w:u w:val="single"/>
        </w:rPr>
        <w:lastRenderedPageBreak/>
        <w:t>Rate Schedule LMV – 1:</w:t>
      </w:r>
    </w:p>
    <w:p w:rsidR="006349D7" w:rsidRPr="00114531" w:rsidRDefault="006349D7" w:rsidP="006349D7">
      <w:pPr>
        <w:jc w:val="center"/>
        <w:rPr>
          <w:b/>
          <w:caps/>
          <w:u w:val="single"/>
        </w:rPr>
      </w:pPr>
    </w:p>
    <w:p w:rsidR="006349D7" w:rsidRPr="00114531" w:rsidRDefault="006349D7" w:rsidP="006349D7">
      <w:pPr>
        <w:ind w:left="2520" w:firstLine="360"/>
        <w:rPr>
          <w:b/>
        </w:rPr>
      </w:pPr>
      <w:r w:rsidRPr="00114531">
        <w:rPr>
          <w:b/>
        </w:rPr>
        <w:t>DOMESTIC LIGHT, FAN &amp; POWER:</w:t>
      </w:r>
    </w:p>
    <w:p w:rsidR="006349D7" w:rsidRPr="00114531" w:rsidRDefault="006349D7" w:rsidP="006349D7">
      <w:pPr>
        <w:rPr>
          <w:b/>
        </w:rPr>
      </w:pPr>
      <w:r w:rsidRPr="00114531">
        <w:rPr>
          <w:b/>
        </w:rPr>
        <w:t>1.</w:t>
      </w:r>
      <w:r w:rsidRPr="00114531">
        <w:rPr>
          <w:b/>
        </w:rPr>
        <w:tab/>
        <w:t>APPLICABILITY:</w:t>
      </w:r>
    </w:p>
    <w:p w:rsidR="006349D7" w:rsidRPr="00114531" w:rsidRDefault="006349D7" w:rsidP="006349D7">
      <w:pPr>
        <w:tabs>
          <w:tab w:val="left" w:pos="360"/>
        </w:tabs>
        <w:spacing w:before="100"/>
        <w:ind w:firstLine="360"/>
      </w:pPr>
      <w:r w:rsidRPr="00114531">
        <w:tab/>
        <w:t>This schedule shall apply to:</w:t>
      </w:r>
    </w:p>
    <w:p w:rsidR="006349D7" w:rsidRPr="00114531" w:rsidRDefault="006349D7" w:rsidP="00EC6AAC">
      <w:pPr>
        <w:numPr>
          <w:ilvl w:val="0"/>
          <w:numId w:val="45"/>
        </w:numPr>
        <w:spacing w:before="60" w:after="120" w:line="288" w:lineRule="auto"/>
        <w:ind w:left="1440" w:right="-58" w:hanging="720"/>
      </w:pPr>
      <w:r w:rsidRPr="00114531">
        <w:t>Premises for residential / domestic purpose, Accommodation for Paying Guests for Domestic purpose (Excluding Guest Houses), Janata Service Connections, Kutir Jyoti Connections, Jhuggi / Hutments, Places of Worship (e.g. Temples, Mosques, Gurudwaras, Churches) and Electric Crematoria.</w:t>
      </w:r>
    </w:p>
    <w:p w:rsidR="006349D7" w:rsidRPr="00114531" w:rsidRDefault="006349D7" w:rsidP="00EC6AAC">
      <w:pPr>
        <w:numPr>
          <w:ilvl w:val="0"/>
          <w:numId w:val="45"/>
        </w:numPr>
        <w:spacing w:before="100" w:after="120" w:line="288" w:lineRule="auto"/>
        <w:ind w:left="1440" w:right="-58" w:hanging="720"/>
      </w:pPr>
      <w:r w:rsidRPr="00114531">
        <w:t>Mixed Loads</w:t>
      </w:r>
    </w:p>
    <w:p w:rsidR="006349D7" w:rsidRPr="00114531" w:rsidRDefault="006349D7" w:rsidP="006349D7">
      <w:pPr>
        <w:spacing w:before="100" w:after="120"/>
        <w:ind w:left="1440" w:right="-58"/>
        <w:rPr>
          <w:b/>
        </w:rPr>
      </w:pPr>
      <w:r w:rsidRPr="00114531">
        <w:rPr>
          <w:b/>
        </w:rPr>
        <w:t>i.</w:t>
      </w:r>
      <w:r w:rsidRPr="00114531">
        <w:rPr>
          <w:b/>
        </w:rPr>
        <w:tab/>
        <w:t xml:space="preserve">50 kW and above </w:t>
      </w:r>
    </w:p>
    <w:p w:rsidR="006349D7" w:rsidRPr="00114531" w:rsidRDefault="006349D7" w:rsidP="006349D7">
      <w:pPr>
        <w:spacing w:before="100" w:after="120"/>
        <w:ind w:left="2160" w:right="-58" w:hanging="720"/>
      </w:pPr>
      <w:r w:rsidRPr="00114531">
        <w:t>a.</w:t>
      </w:r>
      <w:r w:rsidRPr="00114531">
        <w:tab/>
        <w:t xml:space="preserve">Registered Societies, Residential Colonies / Townships, Residential Multi-Storied Buildings with mixed loads (getting supply at single point) with the condition that at least 70% of the total contracted load shall be exclusively for the purposes of domestic light, fan and power. The above mixed load, within 70%, shall also include the load required for lifts, water pumps and common lighting, </w:t>
      </w:r>
    </w:p>
    <w:p w:rsidR="006349D7" w:rsidRPr="00114531" w:rsidRDefault="006349D7" w:rsidP="006349D7">
      <w:pPr>
        <w:spacing w:before="100" w:after="120"/>
        <w:ind w:left="2160" w:right="-58" w:hanging="720"/>
      </w:pPr>
      <w:r w:rsidRPr="00114531">
        <w:t>b.</w:t>
      </w:r>
      <w:r w:rsidRPr="00114531">
        <w:tab/>
        <w:t xml:space="preserve">Military Engineer Service (MES) for Defence Establishments (Mixed load without any load restriction).   </w:t>
      </w:r>
    </w:p>
    <w:p w:rsidR="006349D7" w:rsidRPr="00114531" w:rsidRDefault="006349D7" w:rsidP="00EC6AAC">
      <w:pPr>
        <w:numPr>
          <w:ilvl w:val="0"/>
          <w:numId w:val="47"/>
        </w:numPr>
        <w:tabs>
          <w:tab w:val="num" w:pos="2160"/>
        </w:tabs>
        <w:spacing w:before="100" w:after="120" w:line="288" w:lineRule="auto"/>
        <w:ind w:left="2160" w:right="-58"/>
      </w:pPr>
      <w:r w:rsidRPr="00114531">
        <w:rPr>
          <w:b/>
        </w:rPr>
        <w:t>Less than 50 kW</w:t>
      </w:r>
    </w:p>
    <w:p w:rsidR="006349D7" w:rsidRPr="00114531" w:rsidRDefault="006349D7" w:rsidP="006349D7">
      <w:pPr>
        <w:spacing w:before="100" w:after="120"/>
        <w:ind w:left="2160" w:right="-58"/>
      </w:pPr>
      <w:r w:rsidRPr="00114531">
        <w:t xml:space="preserve">Except for the case as specified in Regulation 3.3 (e) of Electricity Supply Code, 2005 as amended from time to time, if any portion of the load is utilized for conduct of business for non-domestic purposes then the entire energy consumed shall be charged under the rate schedule of higher charge </w:t>
      </w:r>
    </w:p>
    <w:p w:rsidR="006349D7" w:rsidRPr="00114531" w:rsidRDefault="006349D7" w:rsidP="006349D7">
      <w:pPr>
        <w:rPr>
          <w:b/>
        </w:rPr>
      </w:pPr>
    </w:p>
    <w:p w:rsidR="006349D7" w:rsidRPr="00114531" w:rsidRDefault="006349D7" w:rsidP="006349D7">
      <w:pPr>
        <w:rPr>
          <w:b/>
        </w:rPr>
      </w:pPr>
      <w:r w:rsidRPr="00114531">
        <w:rPr>
          <w:b/>
        </w:rPr>
        <w:t>2.</w:t>
      </w:r>
      <w:r w:rsidRPr="00114531">
        <w:rPr>
          <w:b/>
        </w:rPr>
        <w:tab/>
        <w:t xml:space="preserve">CHARACTER AND POINT OF SUPPLY: </w:t>
      </w:r>
    </w:p>
    <w:p w:rsidR="006349D7" w:rsidRPr="00114531" w:rsidRDefault="006349D7" w:rsidP="006349D7">
      <w:pPr>
        <w:spacing w:line="240" w:lineRule="auto"/>
        <w:ind w:left="360" w:right="-58" w:firstLine="360"/>
        <w:rPr>
          <w:rFonts w:cs="Arial"/>
        </w:rPr>
      </w:pPr>
      <w:r w:rsidRPr="00114531">
        <w:t>As per the applicable provisions of Electricity Supply Code.</w:t>
      </w:r>
    </w:p>
    <w:p w:rsidR="006349D7" w:rsidRPr="00114531" w:rsidRDefault="006349D7" w:rsidP="006349D7">
      <w:pPr>
        <w:spacing w:line="240" w:lineRule="auto"/>
        <w:rPr>
          <w:b/>
        </w:rPr>
      </w:pPr>
      <w:r w:rsidRPr="00114531">
        <w:rPr>
          <w:b/>
        </w:rPr>
        <w:br w:type="page"/>
      </w:r>
    </w:p>
    <w:p w:rsidR="006349D7" w:rsidRPr="00114531" w:rsidRDefault="006349D7" w:rsidP="006349D7">
      <w:pPr>
        <w:rPr>
          <w:b/>
        </w:rPr>
      </w:pPr>
      <w:r w:rsidRPr="00114531">
        <w:rPr>
          <w:b/>
        </w:rPr>
        <w:lastRenderedPageBreak/>
        <w:t>3.</w:t>
      </w:r>
      <w:r w:rsidRPr="00114531">
        <w:rPr>
          <w:b/>
        </w:rPr>
        <w:tab/>
        <w:t>RATE:</w:t>
      </w:r>
    </w:p>
    <w:p w:rsidR="006349D7" w:rsidRPr="00114531" w:rsidRDefault="006349D7" w:rsidP="006349D7">
      <w:pPr>
        <w:spacing w:line="240" w:lineRule="auto"/>
        <w:ind w:left="360" w:right="-58"/>
      </w:pPr>
      <w:r w:rsidRPr="00114531">
        <w:t>Rate, gives the fixed and energy charges at which the consumer shall be billed for his consumption during the billing period applicable to the category:</w:t>
      </w:r>
    </w:p>
    <w:p w:rsidR="006349D7" w:rsidRPr="00114531" w:rsidRDefault="006349D7" w:rsidP="006349D7">
      <w:pPr>
        <w:spacing w:after="120"/>
        <w:ind w:left="360"/>
        <w:rPr>
          <w:rFonts w:cs="Arial"/>
          <w:b/>
          <w:bCs/>
        </w:rPr>
      </w:pPr>
    </w:p>
    <w:p w:rsidR="006349D7" w:rsidRPr="00114531" w:rsidRDefault="006349D7" w:rsidP="006349D7">
      <w:pPr>
        <w:spacing w:after="120"/>
        <w:ind w:left="360"/>
      </w:pPr>
      <w:r w:rsidRPr="00114531">
        <w:rPr>
          <w:rFonts w:cs="Arial"/>
          <w:b/>
          <w:bCs/>
        </w:rPr>
        <w:t>(a) Consumers getting supply as per ‘Rural Schedule’:</w:t>
      </w:r>
    </w:p>
    <w:tbl>
      <w:tblPr>
        <w:tblW w:w="7786" w:type="dxa"/>
        <w:jc w:val="center"/>
        <w:tblInd w:w="480" w:type="dxa"/>
        <w:tblLayout w:type="fixed"/>
        <w:tblCellMar>
          <w:left w:w="30" w:type="dxa"/>
          <w:right w:w="30" w:type="dxa"/>
        </w:tblCellMar>
        <w:tblLook w:val="0000"/>
      </w:tblPr>
      <w:tblGrid>
        <w:gridCol w:w="1664"/>
        <w:gridCol w:w="1851"/>
        <w:gridCol w:w="1841"/>
        <w:gridCol w:w="2430"/>
      </w:tblGrid>
      <w:tr w:rsidR="006349D7" w:rsidRPr="00114531" w:rsidTr="00BB5A5A">
        <w:trPr>
          <w:cantSplit/>
          <w:trHeight w:val="282"/>
          <w:tblHeader/>
          <w:jc w:val="center"/>
        </w:trPr>
        <w:tc>
          <w:tcPr>
            <w:tcW w:w="1664" w:type="dxa"/>
            <w:tcBorders>
              <w:top w:val="single" w:sz="6" w:space="0" w:color="auto"/>
              <w:left w:val="single" w:sz="6" w:space="0" w:color="auto"/>
              <w:bottom w:val="single" w:sz="4" w:space="0" w:color="auto"/>
            </w:tcBorders>
            <w:shd w:val="clear" w:color="auto" w:fill="DBE5F1" w:themeFill="accent1" w:themeFillTint="33"/>
          </w:tcPr>
          <w:p w:rsidR="006349D7" w:rsidRPr="00114531" w:rsidRDefault="006349D7" w:rsidP="00BB5A5A">
            <w:pPr>
              <w:spacing w:line="240" w:lineRule="auto"/>
              <w:jc w:val="center"/>
              <w:rPr>
                <w:rFonts w:cs="Arial"/>
                <w:b/>
                <w:color w:val="000000"/>
              </w:rPr>
            </w:pPr>
            <w:r w:rsidRPr="00114531">
              <w:rPr>
                <w:rFonts w:cs="Arial"/>
                <w:b/>
                <w:color w:val="000000"/>
              </w:rPr>
              <w:t>Description</w:t>
            </w:r>
          </w:p>
        </w:tc>
        <w:tc>
          <w:tcPr>
            <w:tcW w:w="1851" w:type="dxa"/>
            <w:tcBorders>
              <w:top w:val="single" w:sz="4" w:space="0" w:color="auto"/>
              <w:left w:val="single" w:sz="4" w:space="0" w:color="auto"/>
              <w:bottom w:val="single" w:sz="4" w:space="0" w:color="auto"/>
            </w:tcBorders>
            <w:shd w:val="clear" w:color="auto" w:fill="DBE5F1" w:themeFill="accent1" w:themeFillTint="33"/>
          </w:tcPr>
          <w:p w:rsidR="006349D7" w:rsidRPr="00114531" w:rsidRDefault="006349D7" w:rsidP="00BB5A5A">
            <w:pPr>
              <w:spacing w:line="240" w:lineRule="auto"/>
              <w:jc w:val="center"/>
              <w:rPr>
                <w:rFonts w:cs="Arial"/>
                <w:b/>
                <w:color w:val="000000"/>
              </w:rPr>
            </w:pPr>
            <w:r w:rsidRPr="00114531">
              <w:rPr>
                <w:rFonts w:cs="Arial"/>
                <w:b/>
                <w:color w:val="000000"/>
              </w:rPr>
              <w:t>Description</w:t>
            </w:r>
          </w:p>
        </w:tc>
        <w:tc>
          <w:tcPr>
            <w:tcW w:w="18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349D7" w:rsidRPr="00114531" w:rsidRDefault="006349D7" w:rsidP="00BB5A5A">
            <w:pPr>
              <w:spacing w:line="240" w:lineRule="auto"/>
              <w:jc w:val="center"/>
              <w:rPr>
                <w:rFonts w:cs="Arial"/>
                <w:b/>
                <w:color w:val="000000"/>
              </w:rPr>
            </w:pPr>
            <w:r w:rsidRPr="00114531">
              <w:rPr>
                <w:rFonts w:cs="Arial"/>
                <w:b/>
                <w:color w:val="000000"/>
              </w:rPr>
              <w:t>Fixed charge</w:t>
            </w:r>
          </w:p>
        </w:tc>
        <w:tc>
          <w:tcPr>
            <w:tcW w:w="24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349D7" w:rsidRPr="00114531" w:rsidRDefault="006349D7" w:rsidP="00BB5A5A">
            <w:pPr>
              <w:spacing w:line="240" w:lineRule="auto"/>
              <w:jc w:val="center"/>
              <w:rPr>
                <w:rFonts w:cs="Arial"/>
                <w:b/>
                <w:color w:val="000000"/>
              </w:rPr>
            </w:pPr>
            <w:r w:rsidRPr="00114531">
              <w:rPr>
                <w:rFonts w:cs="Arial"/>
                <w:b/>
                <w:color w:val="000000"/>
              </w:rPr>
              <w:t>Energy charge)</w:t>
            </w:r>
          </w:p>
        </w:tc>
      </w:tr>
      <w:tr w:rsidR="006349D7" w:rsidRPr="00114531" w:rsidTr="00BB5A5A">
        <w:trPr>
          <w:cantSplit/>
          <w:trHeight w:val="257"/>
          <w:jc w:val="center"/>
        </w:trPr>
        <w:tc>
          <w:tcPr>
            <w:tcW w:w="1664" w:type="dxa"/>
            <w:vMerge w:val="restart"/>
            <w:tcBorders>
              <w:top w:val="single" w:sz="4" w:space="0" w:color="auto"/>
              <w:left w:val="single" w:sz="6" w:space="0" w:color="auto"/>
            </w:tcBorders>
            <w:vAlign w:val="center"/>
          </w:tcPr>
          <w:p w:rsidR="006349D7" w:rsidRPr="00114531" w:rsidRDefault="006349D7" w:rsidP="00BB5A5A">
            <w:pPr>
              <w:spacing w:line="240" w:lineRule="auto"/>
              <w:rPr>
                <w:rFonts w:cs="Arial"/>
                <w:bCs/>
                <w:color w:val="000000"/>
              </w:rPr>
            </w:pPr>
            <w:r w:rsidRPr="00114531">
              <w:rPr>
                <w:rFonts w:cs="Arial"/>
                <w:bCs/>
                <w:color w:val="000000"/>
              </w:rPr>
              <w:t xml:space="preserve">i) Un-metered </w:t>
            </w:r>
          </w:p>
        </w:tc>
        <w:tc>
          <w:tcPr>
            <w:tcW w:w="1851" w:type="dxa"/>
            <w:tcBorders>
              <w:top w:val="single" w:sz="4" w:space="0" w:color="auto"/>
              <w:left w:val="single" w:sz="4" w:space="0" w:color="auto"/>
              <w:bottom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Load up to 2 kW</w:t>
            </w:r>
          </w:p>
        </w:tc>
        <w:tc>
          <w:tcPr>
            <w:tcW w:w="1841"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Rs. 180 / kW / month</w:t>
            </w:r>
          </w:p>
        </w:tc>
        <w:tc>
          <w:tcPr>
            <w:tcW w:w="2430"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Nil</w:t>
            </w:r>
          </w:p>
        </w:tc>
      </w:tr>
      <w:tr w:rsidR="006349D7" w:rsidRPr="00114531" w:rsidTr="00BB5A5A">
        <w:trPr>
          <w:cantSplit/>
          <w:trHeight w:val="257"/>
          <w:jc w:val="center"/>
        </w:trPr>
        <w:tc>
          <w:tcPr>
            <w:tcW w:w="1664" w:type="dxa"/>
            <w:vMerge/>
            <w:tcBorders>
              <w:left w:val="single" w:sz="6" w:space="0" w:color="auto"/>
              <w:bottom w:val="single" w:sz="6" w:space="0" w:color="auto"/>
            </w:tcBorders>
          </w:tcPr>
          <w:p w:rsidR="006349D7" w:rsidRPr="00114531" w:rsidRDefault="006349D7" w:rsidP="00BB5A5A">
            <w:pPr>
              <w:spacing w:line="240" w:lineRule="auto"/>
              <w:rPr>
                <w:rFonts w:cs="Arial"/>
                <w:bCs/>
                <w:color w:val="000000"/>
              </w:rPr>
            </w:pPr>
          </w:p>
        </w:tc>
        <w:tc>
          <w:tcPr>
            <w:tcW w:w="1851" w:type="dxa"/>
            <w:tcBorders>
              <w:top w:val="single" w:sz="4" w:space="0" w:color="auto"/>
              <w:left w:val="single" w:sz="4" w:space="0" w:color="auto"/>
              <w:bottom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Load above 2 kW</w:t>
            </w:r>
          </w:p>
        </w:tc>
        <w:tc>
          <w:tcPr>
            <w:tcW w:w="1841"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Rs. 200 / kW / month</w:t>
            </w:r>
          </w:p>
        </w:tc>
        <w:tc>
          <w:tcPr>
            <w:tcW w:w="2430"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Nil</w:t>
            </w:r>
          </w:p>
        </w:tc>
      </w:tr>
      <w:tr w:rsidR="006349D7" w:rsidRPr="00114531" w:rsidTr="00BB5A5A">
        <w:trPr>
          <w:cantSplit/>
          <w:trHeight w:val="275"/>
          <w:jc w:val="center"/>
        </w:trPr>
        <w:tc>
          <w:tcPr>
            <w:tcW w:w="1664" w:type="dxa"/>
            <w:tcBorders>
              <w:top w:val="single" w:sz="6" w:space="0" w:color="auto"/>
              <w:left w:val="single" w:sz="6" w:space="0" w:color="auto"/>
              <w:bottom w:val="single" w:sz="6" w:space="0" w:color="auto"/>
            </w:tcBorders>
          </w:tcPr>
          <w:p w:rsidR="006349D7" w:rsidRPr="00114531" w:rsidRDefault="006349D7" w:rsidP="00BB5A5A">
            <w:pPr>
              <w:spacing w:line="240" w:lineRule="auto"/>
              <w:rPr>
                <w:rFonts w:cs="Arial"/>
                <w:bCs/>
                <w:color w:val="000000"/>
              </w:rPr>
            </w:pPr>
            <w:r w:rsidRPr="00114531">
              <w:rPr>
                <w:rFonts w:cs="Arial"/>
                <w:bCs/>
              </w:rPr>
              <w:t xml:space="preserve"> ii) Metered </w:t>
            </w:r>
          </w:p>
        </w:tc>
        <w:tc>
          <w:tcPr>
            <w:tcW w:w="1851" w:type="dxa"/>
            <w:tcBorders>
              <w:top w:val="single" w:sz="4" w:space="0" w:color="auto"/>
              <w:left w:val="single" w:sz="4" w:space="0" w:color="auto"/>
              <w:bottom w:val="single" w:sz="4" w:space="0" w:color="auto"/>
            </w:tcBorders>
          </w:tcPr>
          <w:p w:rsidR="006349D7" w:rsidRPr="00114531" w:rsidRDefault="006349D7" w:rsidP="00BB5A5A">
            <w:pPr>
              <w:spacing w:line="240" w:lineRule="auto"/>
              <w:jc w:val="center"/>
              <w:rPr>
                <w:color w:val="000000"/>
              </w:rPr>
            </w:pPr>
            <w:r w:rsidRPr="00114531">
              <w:rPr>
                <w:color w:val="000000"/>
              </w:rPr>
              <w:t>All Load</w:t>
            </w:r>
          </w:p>
        </w:tc>
        <w:tc>
          <w:tcPr>
            <w:tcW w:w="1841"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color w:val="000000"/>
              </w:rPr>
              <w:t xml:space="preserve">Rs. </w:t>
            </w:r>
            <w:r w:rsidRPr="00114531">
              <w:t xml:space="preserve">50 </w:t>
            </w:r>
            <w:r w:rsidRPr="00114531">
              <w:rPr>
                <w:color w:val="000000"/>
              </w:rPr>
              <w:t>/ kW / month</w:t>
            </w:r>
          </w:p>
        </w:tc>
        <w:tc>
          <w:tcPr>
            <w:tcW w:w="2430" w:type="dxa"/>
            <w:tcBorders>
              <w:top w:val="single" w:sz="4" w:space="0" w:color="auto"/>
              <w:left w:val="single" w:sz="4" w:space="0" w:color="auto"/>
              <w:bottom w:val="single" w:sz="4" w:space="0" w:color="auto"/>
              <w:right w:val="single" w:sz="4" w:space="0" w:color="auto"/>
            </w:tcBorders>
          </w:tcPr>
          <w:p w:rsidR="006349D7" w:rsidRPr="00114531" w:rsidRDefault="006349D7" w:rsidP="00BB5A5A">
            <w:pPr>
              <w:spacing w:line="240" w:lineRule="auto"/>
              <w:jc w:val="center"/>
              <w:rPr>
                <w:rFonts w:cs="Arial"/>
                <w:color w:val="000000"/>
              </w:rPr>
            </w:pPr>
            <w:r w:rsidRPr="00114531">
              <w:rPr>
                <w:rFonts w:cs="Arial"/>
                <w:color w:val="000000"/>
              </w:rPr>
              <w:t>Rs. 2.20 / kWh</w:t>
            </w:r>
          </w:p>
        </w:tc>
      </w:tr>
    </w:tbl>
    <w:p w:rsidR="006349D7" w:rsidRDefault="006349D7" w:rsidP="006349D7">
      <w:pPr>
        <w:rPr>
          <w:rFonts w:cs="Calibri"/>
        </w:rPr>
      </w:pPr>
    </w:p>
    <w:p w:rsidR="006349D7" w:rsidRPr="00114531" w:rsidRDefault="006349D7" w:rsidP="006349D7">
      <w:pPr>
        <w:ind w:left="426"/>
        <w:rPr>
          <w:rFonts w:cs="Arial"/>
          <w:b/>
          <w:bCs/>
        </w:rPr>
      </w:pPr>
      <w:r w:rsidRPr="00114531">
        <w:rPr>
          <w:rFonts w:cs="Calibri"/>
        </w:rPr>
        <w:t xml:space="preserve"> </w:t>
      </w:r>
      <w:r w:rsidRPr="00114531">
        <w:rPr>
          <w:rFonts w:cs="Arial"/>
          <w:b/>
          <w:bCs/>
        </w:rPr>
        <w:t>(b) Supply at Single Point for bulk loads (50 kW and above, Supplied at any Voltage):</w:t>
      </w:r>
    </w:p>
    <w:tbl>
      <w:tblPr>
        <w:tblW w:w="0" w:type="auto"/>
        <w:tblInd w:w="480" w:type="dxa"/>
        <w:tblLayout w:type="fixed"/>
        <w:tblCellMar>
          <w:left w:w="30" w:type="dxa"/>
          <w:right w:w="30" w:type="dxa"/>
        </w:tblCellMar>
        <w:tblLook w:val="0000"/>
      </w:tblPr>
      <w:tblGrid>
        <w:gridCol w:w="4370"/>
        <w:gridCol w:w="1955"/>
        <w:gridCol w:w="1955"/>
      </w:tblGrid>
      <w:tr w:rsidR="006349D7" w:rsidRPr="00114531" w:rsidTr="00BB5A5A">
        <w:trPr>
          <w:cantSplit/>
          <w:trHeight w:val="199"/>
          <w:tblHeader/>
        </w:trPr>
        <w:tc>
          <w:tcPr>
            <w:tcW w:w="4370" w:type="dxa"/>
            <w:tcBorders>
              <w:top w:val="single" w:sz="4" w:space="0" w:color="auto"/>
              <w:left w:val="single" w:sz="6" w:space="0" w:color="auto"/>
              <w:bottom w:val="single" w:sz="6" w:space="0" w:color="auto"/>
              <w:right w:val="single" w:sz="4" w:space="0" w:color="auto"/>
            </w:tcBorders>
            <w:shd w:val="clear" w:color="auto" w:fill="DBE5F1" w:themeFill="accent1" w:themeFillTint="33"/>
          </w:tcPr>
          <w:p w:rsidR="006349D7" w:rsidRPr="00114531" w:rsidRDefault="006349D7" w:rsidP="00BB5A5A">
            <w:pPr>
              <w:spacing w:line="240" w:lineRule="auto"/>
              <w:jc w:val="center"/>
              <w:rPr>
                <w:rFonts w:cs="Arial"/>
                <w:b/>
                <w:bCs/>
              </w:rPr>
            </w:pPr>
            <w:r w:rsidRPr="00114531">
              <w:rPr>
                <w:rFonts w:cs="Arial"/>
                <w:b/>
                <w:bCs/>
              </w:rPr>
              <w:t>Description</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6349D7" w:rsidRPr="00114531" w:rsidRDefault="006349D7" w:rsidP="00BB5A5A">
            <w:pPr>
              <w:spacing w:line="240" w:lineRule="auto"/>
              <w:jc w:val="center"/>
              <w:rPr>
                <w:rFonts w:cs="Arial"/>
                <w:b/>
                <w:bCs/>
              </w:rPr>
            </w:pPr>
            <w:r w:rsidRPr="00114531">
              <w:rPr>
                <w:rFonts w:cs="Arial"/>
                <w:b/>
                <w:bCs/>
              </w:rPr>
              <w:t>Fixed Charge</w:t>
            </w:r>
          </w:p>
        </w:tc>
        <w:tc>
          <w:tcPr>
            <w:tcW w:w="1955" w:type="dxa"/>
            <w:tcBorders>
              <w:top w:val="single" w:sz="4" w:space="0" w:color="auto"/>
              <w:left w:val="single" w:sz="4" w:space="0" w:color="auto"/>
              <w:bottom w:val="single" w:sz="6" w:space="0" w:color="auto"/>
              <w:right w:val="single" w:sz="4" w:space="0" w:color="auto"/>
            </w:tcBorders>
            <w:shd w:val="clear" w:color="auto" w:fill="DBE5F1" w:themeFill="accent1" w:themeFillTint="33"/>
          </w:tcPr>
          <w:p w:rsidR="006349D7" w:rsidRPr="00114531" w:rsidRDefault="006349D7" w:rsidP="00BB5A5A">
            <w:pPr>
              <w:spacing w:line="240" w:lineRule="auto"/>
              <w:jc w:val="center"/>
              <w:rPr>
                <w:rFonts w:cs="Arial"/>
                <w:b/>
                <w:bCs/>
              </w:rPr>
            </w:pPr>
            <w:r w:rsidRPr="00114531">
              <w:rPr>
                <w:rFonts w:cs="Arial"/>
                <w:b/>
                <w:bCs/>
              </w:rPr>
              <w:t xml:space="preserve">Energy Charge </w:t>
            </w:r>
          </w:p>
        </w:tc>
      </w:tr>
      <w:tr w:rsidR="006349D7" w:rsidRPr="00114531" w:rsidTr="00BB5A5A">
        <w:trPr>
          <w:cantSplit/>
          <w:trHeight w:val="1398"/>
        </w:trPr>
        <w:tc>
          <w:tcPr>
            <w:tcW w:w="4370" w:type="dxa"/>
            <w:tcBorders>
              <w:top w:val="single" w:sz="6" w:space="0" w:color="auto"/>
              <w:left w:val="single" w:sz="6" w:space="0" w:color="auto"/>
              <w:bottom w:val="single" w:sz="6" w:space="0" w:color="auto"/>
              <w:right w:val="single" w:sz="4" w:space="0" w:color="auto"/>
            </w:tcBorders>
          </w:tcPr>
          <w:p w:rsidR="006349D7" w:rsidRPr="00114531" w:rsidRDefault="006349D7" w:rsidP="00BB5A5A">
            <w:pPr>
              <w:tabs>
                <w:tab w:val="left" w:pos="60"/>
              </w:tabs>
              <w:spacing w:line="240" w:lineRule="auto"/>
              <w:ind w:left="60" w:right="150"/>
              <w:rPr>
                <w:rFonts w:cs="Arial"/>
                <w:color w:val="000000"/>
              </w:rPr>
            </w:pPr>
            <w:r w:rsidRPr="00114531">
              <w:t xml:space="preserve">For Townships, Registered Societies, Residential Colonies, multi-storied residential complexes (including lifts, water pumps and common lighting within the premises) with loads 50 kW and above with the restriction that at least 70% of the total contracted load is meant exclusively for the domestic light, fan and power purposes and for Military Engineer Service (MES) for Defence Establishments (Mixed load without any load restriction).   </w:t>
            </w:r>
          </w:p>
        </w:tc>
        <w:tc>
          <w:tcPr>
            <w:tcW w:w="1955" w:type="dxa"/>
            <w:tcBorders>
              <w:top w:val="single" w:sz="6" w:space="0" w:color="auto"/>
              <w:left w:val="single" w:sz="6" w:space="0" w:color="auto"/>
              <w:bottom w:val="single" w:sz="6" w:space="0" w:color="auto"/>
              <w:right w:val="single" w:sz="4" w:space="0" w:color="auto"/>
            </w:tcBorders>
            <w:vAlign w:val="center"/>
          </w:tcPr>
          <w:p w:rsidR="006349D7" w:rsidRPr="00114531" w:rsidRDefault="006349D7" w:rsidP="00BB5A5A">
            <w:pPr>
              <w:spacing w:line="240" w:lineRule="auto"/>
              <w:jc w:val="center"/>
              <w:rPr>
                <w:rFonts w:cs="Arial"/>
              </w:rPr>
            </w:pPr>
            <w:r w:rsidRPr="00114531">
              <w:rPr>
                <w:rFonts w:cs="Arial"/>
                <w:color w:val="000000"/>
              </w:rPr>
              <w:t>Rs. 85.00 / kW / Month</w:t>
            </w:r>
          </w:p>
        </w:tc>
        <w:tc>
          <w:tcPr>
            <w:tcW w:w="1955" w:type="dxa"/>
            <w:tcBorders>
              <w:top w:val="single" w:sz="6" w:space="0" w:color="auto"/>
              <w:left w:val="single" w:sz="6" w:space="0" w:color="auto"/>
              <w:bottom w:val="single" w:sz="6" w:space="0" w:color="auto"/>
              <w:right w:val="single" w:sz="4" w:space="0" w:color="auto"/>
            </w:tcBorders>
            <w:vAlign w:val="center"/>
          </w:tcPr>
          <w:p w:rsidR="006349D7" w:rsidRPr="00114531" w:rsidRDefault="006349D7" w:rsidP="00BB5A5A">
            <w:pPr>
              <w:spacing w:line="240" w:lineRule="auto"/>
              <w:ind w:left="-29"/>
              <w:jc w:val="center"/>
              <w:rPr>
                <w:rFonts w:cs="Arial"/>
                <w:color w:val="000000"/>
              </w:rPr>
            </w:pPr>
            <w:r w:rsidRPr="00114531">
              <w:rPr>
                <w:rFonts w:cs="Arial"/>
                <w:color w:val="000000"/>
              </w:rPr>
              <w:t xml:space="preserve">Rs. </w:t>
            </w:r>
            <w:r w:rsidRPr="00114531">
              <w:t>5.50</w:t>
            </w:r>
            <w:r w:rsidRPr="00114531">
              <w:rPr>
                <w:rFonts w:cs="Arial"/>
                <w:color w:val="000000"/>
              </w:rPr>
              <w:t xml:space="preserve"> / kWh</w:t>
            </w:r>
          </w:p>
        </w:tc>
      </w:tr>
    </w:tbl>
    <w:p w:rsidR="006349D7" w:rsidRDefault="006349D7" w:rsidP="006349D7">
      <w:pPr>
        <w:ind w:left="450"/>
      </w:pPr>
    </w:p>
    <w:p w:rsidR="006349D7" w:rsidRDefault="006349D7" w:rsidP="006349D7">
      <w:pPr>
        <w:ind w:left="450"/>
      </w:pPr>
      <w:r w:rsidRPr="00114531">
        <w:t xml:space="preserve">The body seeking the supply at Single point for bulk loads under this category shall be considered as a deemed franchisee of the Licensee. Such body shall charge not more than </w:t>
      </w:r>
      <w:r w:rsidRPr="00201853">
        <w:t>5%</w:t>
      </w:r>
      <w:r w:rsidRPr="00114531">
        <w:t xml:space="preserve"> additional charge on the above specified ‘Rate’ from its consumers apart from other applicable charges such as Regulatory Surcharge, Penalty, Rebate and Electricity Duty on actual basis.</w:t>
      </w:r>
    </w:p>
    <w:p w:rsidR="006349D7" w:rsidRPr="00114531" w:rsidRDefault="006349D7" w:rsidP="006349D7">
      <w:pPr>
        <w:ind w:left="450"/>
        <w:rPr>
          <w:rFonts w:cstheme="minorHAnsi"/>
        </w:rPr>
      </w:pPr>
      <w:r w:rsidRPr="00201853">
        <w:rPr>
          <w:rFonts w:cstheme="minorHAnsi"/>
        </w:rPr>
        <w:lastRenderedPageBreak/>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6349D7" w:rsidRPr="00201853" w:rsidRDefault="006349D7" w:rsidP="006349D7">
      <w:pPr>
        <w:ind w:left="450"/>
      </w:pPr>
      <w:r w:rsidRPr="00201853">
        <w:t>The deemed franchisee is required to provide to all its consumers and the licensee, a copy of the detailed computation of the details of the amounts realized from all the individual consumers and the amount paid to the licensee for  every billing cycle on half yearly basis. If he fails to do so, then the consumers may approach the Consumer Grievance Redressal Forum (CGRF) having jurisdiction over their local area for the redressal of their grievances.</w:t>
      </w:r>
    </w:p>
    <w:p w:rsidR="006349D7" w:rsidRPr="00201853" w:rsidRDefault="006349D7" w:rsidP="006349D7">
      <w:pPr>
        <w:ind w:left="426"/>
        <w:rPr>
          <w:rFonts w:cstheme="minorHAnsi"/>
        </w:rPr>
      </w:pPr>
      <w:r w:rsidRPr="00201853">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financial year. </w:t>
      </w:r>
      <w:r w:rsidRPr="00201853">
        <w:t>If he fails to do so, then the consumers may approach the Consumer Grievance Redressal Forum (CGRF) having jurisdiction over their local area for the redressal of their grievances.</w:t>
      </w:r>
    </w:p>
    <w:p w:rsidR="006349D7" w:rsidRPr="00201853" w:rsidRDefault="006349D7" w:rsidP="006349D7">
      <w:pPr>
        <w:ind w:left="426"/>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6349D7" w:rsidRPr="00201853" w:rsidRDefault="006349D7" w:rsidP="006349D7">
      <w:pPr>
        <w:ind w:left="426"/>
        <w:contextualSpacing/>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6349D7" w:rsidRPr="00201853" w:rsidRDefault="006349D7" w:rsidP="006349D7">
      <w:pPr>
        <w:spacing w:line="240" w:lineRule="auto"/>
        <w:ind w:left="426"/>
        <w:rPr>
          <w:rFonts w:cstheme="minorHAnsi"/>
          <w:lang w:val="en-US"/>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6349D7" w:rsidRPr="00114531" w:rsidRDefault="006349D7" w:rsidP="006349D7">
      <w:pPr>
        <w:ind w:left="450"/>
      </w:pPr>
    </w:p>
    <w:p w:rsidR="006349D7" w:rsidRPr="00114531" w:rsidRDefault="006349D7" w:rsidP="006349D7">
      <w:pPr>
        <w:ind w:firstLine="450"/>
        <w:rPr>
          <w:rFonts w:cs="Arial"/>
          <w:b/>
          <w:bCs/>
        </w:rPr>
      </w:pPr>
      <w:r w:rsidRPr="00114531">
        <w:rPr>
          <w:rFonts w:cs="Arial"/>
          <w:b/>
          <w:bCs/>
        </w:rPr>
        <w:t>(c) OTHER METERED DOMESTIC CONSUMERS:</w:t>
      </w:r>
    </w:p>
    <w:p w:rsidR="006349D7" w:rsidRPr="00114531" w:rsidRDefault="006349D7" w:rsidP="00EC6AAC">
      <w:pPr>
        <w:numPr>
          <w:ilvl w:val="0"/>
          <w:numId w:val="37"/>
        </w:numPr>
        <w:tabs>
          <w:tab w:val="left" w:pos="1440"/>
        </w:tabs>
        <w:spacing w:before="0" w:line="288" w:lineRule="auto"/>
      </w:pPr>
      <w:r w:rsidRPr="00114531">
        <w:rPr>
          <w:b/>
        </w:rPr>
        <w:t xml:space="preserve">Lifeline consumers: </w:t>
      </w:r>
      <w:r w:rsidRPr="00114531">
        <w:t xml:space="preserve">Consumers with contracted load of 1 kW, energy consumption up to 150 kWh / month. </w:t>
      </w:r>
    </w:p>
    <w:p w:rsidR="006349D7" w:rsidRDefault="006349D7" w:rsidP="006349D7">
      <w:pPr>
        <w:tabs>
          <w:tab w:val="left" w:pos="1440"/>
        </w:tabs>
        <w:spacing w:line="288" w:lineRule="auto"/>
        <w:ind w:left="1080"/>
        <w:rPr>
          <w:b/>
        </w:rPr>
      </w:pPr>
    </w:p>
    <w:p w:rsidR="006349D7" w:rsidRPr="00114531" w:rsidRDefault="006349D7" w:rsidP="006349D7">
      <w:pPr>
        <w:tabs>
          <w:tab w:val="left" w:pos="1440"/>
        </w:tabs>
        <w:spacing w:line="288" w:lineRule="auto"/>
        <w:ind w:left="1080"/>
        <w:rPr>
          <w:b/>
        </w:rPr>
      </w:pPr>
    </w:p>
    <w:tbl>
      <w:tblPr>
        <w:tblW w:w="0" w:type="auto"/>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312"/>
        <w:gridCol w:w="2700"/>
        <w:gridCol w:w="2070"/>
      </w:tblGrid>
      <w:tr w:rsidR="006349D7" w:rsidRPr="00114531" w:rsidTr="00BB5A5A">
        <w:trPr>
          <w:cantSplit/>
          <w:trHeight w:val="235"/>
          <w:tblHeader/>
        </w:trPr>
        <w:tc>
          <w:tcPr>
            <w:tcW w:w="3312" w:type="dxa"/>
            <w:shd w:val="clear" w:color="auto" w:fill="DBE5F1" w:themeFill="accent1" w:themeFillTint="33"/>
          </w:tcPr>
          <w:p w:rsidR="006349D7" w:rsidRPr="00114531" w:rsidRDefault="006349D7" w:rsidP="00BB5A5A">
            <w:pPr>
              <w:spacing w:line="240" w:lineRule="auto"/>
              <w:jc w:val="center"/>
              <w:rPr>
                <w:b/>
              </w:rPr>
            </w:pPr>
            <w:r w:rsidRPr="00114531">
              <w:rPr>
                <w:b/>
              </w:rPr>
              <w:lastRenderedPageBreak/>
              <w:t>Description</w:t>
            </w:r>
          </w:p>
        </w:tc>
        <w:tc>
          <w:tcPr>
            <w:tcW w:w="2700" w:type="dxa"/>
            <w:shd w:val="clear" w:color="auto" w:fill="DBE5F1" w:themeFill="accent1" w:themeFillTint="33"/>
          </w:tcPr>
          <w:p w:rsidR="006349D7" w:rsidRPr="00114531" w:rsidRDefault="006349D7" w:rsidP="00BB5A5A">
            <w:pPr>
              <w:spacing w:line="240" w:lineRule="auto"/>
              <w:jc w:val="center"/>
              <w:rPr>
                <w:b/>
              </w:rPr>
            </w:pPr>
            <w:r w:rsidRPr="00114531">
              <w:rPr>
                <w:b/>
              </w:rPr>
              <w:t>Fixed Charge</w:t>
            </w:r>
          </w:p>
        </w:tc>
        <w:tc>
          <w:tcPr>
            <w:tcW w:w="2070" w:type="dxa"/>
            <w:shd w:val="clear" w:color="auto" w:fill="DBE5F1" w:themeFill="accent1" w:themeFillTint="33"/>
          </w:tcPr>
          <w:p w:rsidR="006349D7" w:rsidRPr="00114531" w:rsidRDefault="006349D7" w:rsidP="00BB5A5A">
            <w:pPr>
              <w:spacing w:line="240" w:lineRule="auto"/>
              <w:jc w:val="center"/>
              <w:rPr>
                <w:b/>
              </w:rPr>
            </w:pPr>
            <w:r w:rsidRPr="00114531">
              <w:rPr>
                <w:b/>
              </w:rPr>
              <w:t>Energy Charge</w:t>
            </w:r>
          </w:p>
        </w:tc>
      </w:tr>
      <w:tr w:rsidR="006349D7" w:rsidRPr="00114531" w:rsidTr="00BB5A5A">
        <w:trPr>
          <w:cantSplit/>
          <w:trHeight w:val="287"/>
        </w:trPr>
        <w:tc>
          <w:tcPr>
            <w:tcW w:w="3312" w:type="dxa"/>
          </w:tcPr>
          <w:p w:rsidR="006349D7" w:rsidRPr="00114531" w:rsidRDefault="006349D7" w:rsidP="00BB5A5A">
            <w:pPr>
              <w:spacing w:line="240" w:lineRule="auto"/>
            </w:pPr>
            <w:r w:rsidRPr="00114531">
              <w:t>Loads of 1 kW only and for consumption up to 50 kWh / month (0 to 50 kWh / month)</w:t>
            </w:r>
          </w:p>
        </w:tc>
        <w:tc>
          <w:tcPr>
            <w:tcW w:w="2700" w:type="dxa"/>
            <w:vMerge w:val="restart"/>
            <w:vAlign w:val="center"/>
          </w:tcPr>
          <w:p w:rsidR="006349D7" w:rsidRPr="00114531" w:rsidRDefault="006349D7" w:rsidP="00BB5A5A">
            <w:pPr>
              <w:spacing w:line="240" w:lineRule="auto"/>
              <w:jc w:val="center"/>
            </w:pPr>
            <w:r w:rsidRPr="00114531">
              <w:t>Rs. 50.00 / kW / month</w:t>
            </w:r>
          </w:p>
          <w:p w:rsidR="006349D7" w:rsidRPr="00114531" w:rsidRDefault="006349D7" w:rsidP="00BB5A5A">
            <w:pPr>
              <w:spacing w:line="240" w:lineRule="auto"/>
              <w:jc w:val="center"/>
            </w:pPr>
          </w:p>
        </w:tc>
        <w:tc>
          <w:tcPr>
            <w:tcW w:w="2070" w:type="dxa"/>
            <w:vAlign w:val="center"/>
          </w:tcPr>
          <w:p w:rsidR="006349D7" w:rsidRPr="00114531" w:rsidRDefault="006349D7" w:rsidP="00BB5A5A">
            <w:pPr>
              <w:spacing w:line="240" w:lineRule="auto"/>
              <w:ind w:left="-29"/>
              <w:jc w:val="center"/>
            </w:pPr>
            <w:r w:rsidRPr="00114531">
              <w:t>Rs. 2.00 / kWh</w:t>
            </w:r>
          </w:p>
        </w:tc>
      </w:tr>
      <w:tr w:rsidR="006349D7" w:rsidRPr="00114531" w:rsidTr="00BB5A5A">
        <w:trPr>
          <w:cantSplit/>
          <w:trHeight w:val="287"/>
        </w:trPr>
        <w:tc>
          <w:tcPr>
            <w:tcW w:w="3312" w:type="dxa"/>
          </w:tcPr>
          <w:p w:rsidR="006349D7" w:rsidRPr="00114531" w:rsidRDefault="006349D7" w:rsidP="00BB5A5A">
            <w:pPr>
              <w:spacing w:line="240" w:lineRule="auto"/>
            </w:pPr>
            <w:r w:rsidRPr="00114531">
              <w:t>Loads of 1 kW only and for consumption above 50 kWh / month up to 150 kWh / month (51 to 150 kWh / month)</w:t>
            </w:r>
          </w:p>
        </w:tc>
        <w:tc>
          <w:tcPr>
            <w:tcW w:w="2700" w:type="dxa"/>
            <w:vMerge/>
            <w:vAlign w:val="center"/>
          </w:tcPr>
          <w:p w:rsidR="006349D7" w:rsidRPr="00114531" w:rsidRDefault="006349D7" w:rsidP="00BB5A5A">
            <w:pPr>
              <w:spacing w:line="240" w:lineRule="auto"/>
              <w:jc w:val="center"/>
            </w:pPr>
          </w:p>
        </w:tc>
        <w:tc>
          <w:tcPr>
            <w:tcW w:w="2070" w:type="dxa"/>
            <w:vAlign w:val="center"/>
          </w:tcPr>
          <w:p w:rsidR="006349D7" w:rsidRPr="00114531" w:rsidRDefault="006349D7" w:rsidP="00BB5A5A">
            <w:pPr>
              <w:spacing w:line="240" w:lineRule="auto"/>
              <w:ind w:left="-29"/>
              <w:jc w:val="center"/>
            </w:pPr>
            <w:r w:rsidRPr="00114531">
              <w:t>Rs. 3.90 / kWh</w:t>
            </w:r>
          </w:p>
        </w:tc>
      </w:tr>
    </w:tbl>
    <w:p w:rsidR="006349D7" w:rsidRPr="00114531" w:rsidRDefault="006349D7" w:rsidP="006349D7">
      <w:pPr>
        <w:ind w:firstLine="720"/>
        <w:rPr>
          <w:b/>
        </w:rPr>
      </w:pPr>
    </w:p>
    <w:p w:rsidR="006349D7" w:rsidRDefault="006349D7" w:rsidP="00EC6AAC">
      <w:pPr>
        <w:numPr>
          <w:ilvl w:val="0"/>
          <w:numId w:val="37"/>
        </w:numPr>
        <w:tabs>
          <w:tab w:val="left" w:pos="1440"/>
        </w:tabs>
        <w:spacing w:after="240" w:line="288" w:lineRule="auto"/>
      </w:pPr>
      <w:r w:rsidRPr="00114531">
        <w:rPr>
          <w:b/>
        </w:rPr>
        <w:t xml:space="preserve">Others: </w:t>
      </w:r>
      <w:r w:rsidRPr="00114531">
        <w:t>Other than life line consumers (i.e. consumers who do not qualify under the criteria laid down for lifeline consumers.)</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2802"/>
        <w:gridCol w:w="1980"/>
        <w:gridCol w:w="2160"/>
      </w:tblGrid>
      <w:tr w:rsidR="006349D7" w:rsidRPr="00114531" w:rsidTr="00BB5A5A">
        <w:tc>
          <w:tcPr>
            <w:tcW w:w="1428" w:type="dxa"/>
            <w:shd w:val="clear" w:color="auto" w:fill="DBE5F1" w:themeFill="accent1" w:themeFillTint="33"/>
          </w:tcPr>
          <w:p w:rsidR="006349D7" w:rsidRPr="00114531" w:rsidRDefault="006349D7" w:rsidP="00BB5A5A">
            <w:pPr>
              <w:keepNext/>
              <w:spacing w:line="240" w:lineRule="auto"/>
              <w:jc w:val="center"/>
              <w:rPr>
                <w:rFonts w:cs="Arial"/>
                <w:b/>
                <w:bCs/>
              </w:rPr>
            </w:pPr>
            <w:r w:rsidRPr="00114531">
              <w:rPr>
                <w:rFonts w:cs="Arial"/>
                <w:b/>
                <w:bCs/>
              </w:rPr>
              <w:t>Description</w:t>
            </w:r>
          </w:p>
        </w:tc>
        <w:tc>
          <w:tcPr>
            <w:tcW w:w="2802" w:type="dxa"/>
            <w:shd w:val="clear" w:color="auto" w:fill="DBE5F1" w:themeFill="accent1" w:themeFillTint="33"/>
          </w:tcPr>
          <w:p w:rsidR="006349D7" w:rsidRPr="00114531" w:rsidRDefault="006349D7" w:rsidP="00BB5A5A">
            <w:pPr>
              <w:keepNext/>
              <w:spacing w:line="240" w:lineRule="auto"/>
              <w:jc w:val="center"/>
              <w:rPr>
                <w:rFonts w:cs="Arial"/>
                <w:b/>
                <w:bCs/>
              </w:rPr>
            </w:pPr>
            <w:r w:rsidRPr="00114531">
              <w:rPr>
                <w:rFonts w:cs="Arial"/>
                <w:b/>
                <w:bCs/>
              </w:rPr>
              <w:t>Consumption Range</w:t>
            </w:r>
          </w:p>
        </w:tc>
        <w:tc>
          <w:tcPr>
            <w:tcW w:w="1980" w:type="dxa"/>
            <w:shd w:val="clear" w:color="auto" w:fill="DBE5F1" w:themeFill="accent1" w:themeFillTint="33"/>
          </w:tcPr>
          <w:p w:rsidR="006349D7" w:rsidRPr="00114531" w:rsidRDefault="006349D7" w:rsidP="00BB5A5A">
            <w:pPr>
              <w:keepNext/>
              <w:spacing w:line="240" w:lineRule="auto"/>
              <w:jc w:val="center"/>
              <w:rPr>
                <w:rFonts w:cs="Arial"/>
                <w:b/>
                <w:bCs/>
              </w:rPr>
            </w:pPr>
            <w:r w:rsidRPr="00114531">
              <w:rPr>
                <w:rFonts w:cs="Arial"/>
                <w:b/>
                <w:bCs/>
              </w:rPr>
              <w:t>Fixed Charge</w:t>
            </w:r>
          </w:p>
        </w:tc>
        <w:tc>
          <w:tcPr>
            <w:tcW w:w="2160" w:type="dxa"/>
            <w:shd w:val="clear" w:color="auto" w:fill="DBE5F1" w:themeFill="accent1" w:themeFillTint="33"/>
          </w:tcPr>
          <w:p w:rsidR="006349D7" w:rsidRPr="00114531" w:rsidRDefault="006349D7" w:rsidP="00BB5A5A">
            <w:pPr>
              <w:keepNext/>
              <w:spacing w:line="240" w:lineRule="auto"/>
              <w:jc w:val="center"/>
              <w:rPr>
                <w:rFonts w:cs="Arial"/>
                <w:b/>
                <w:bCs/>
              </w:rPr>
            </w:pPr>
            <w:r w:rsidRPr="00114531">
              <w:rPr>
                <w:rFonts w:cs="Arial"/>
                <w:b/>
                <w:bCs/>
              </w:rPr>
              <w:t>Energy Charge</w:t>
            </w:r>
          </w:p>
        </w:tc>
      </w:tr>
      <w:tr w:rsidR="006349D7" w:rsidRPr="00114531" w:rsidTr="00BB5A5A">
        <w:trPr>
          <w:trHeight w:val="429"/>
        </w:trPr>
        <w:tc>
          <w:tcPr>
            <w:tcW w:w="1428" w:type="dxa"/>
            <w:vMerge w:val="restart"/>
            <w:vAlign w:val="center"/>
          </w:tcPr>
          <w:p w:rsidR="006349D7" w:rsidRPr="00114531" w:rsidRDefault="006349D7" w:rsidP="00BB5A5A">
            <w:pPr>
              <w:keepNext/>
              <w:spacing w:line="240" w:lineRule="auto"/>
              <w:jc w:val="center"/>
              <w:rPr>
                <w:rFonts w:cs="Arial"/>
                <w:bCs/>
              </w:rPr>
            </w:pPr>
            <w:r w:rsidRPr="00114531">
              <w:rPr>
                <w:rFonts w:cs="Arial"/>
                <w:bCs/>
              </w:rPr>
              <w:t>All loads</w:t>
            </w:r>
          </w:p>
        </w:tc>
        <w:tc>
          <w:tcPr>
            <w:tcW w:w="2802" w:type="dxa"/>
            <w:vAlign w:val="center"/>
          </w:tcPr>
          <w:p w:rsidR="006349D7" w:rsidRPr="00136ADD" w:rsidRDefault="006349D7" w:rsidP="00BB5A5A">
            <w:pPr>
              <w:keepNext/>
              <w:spacing w:line="240" w:lineRule="auto"/>
              <w:jc w:val="center"/>
              <w:rPr>
                <w:rFonts w:cs="Arial"/>
                <w:bCs/>
              </w:rPr>
            </w:pPr>
            <w:r>
              <w:rPr>
                <w:rFonts w:cs="Arial"/>
                <w:bCs/>
              </w:rPr>
              <w:t>For first 150 kWh / month</w:t>
            </w:r>
          </w:p>
        </w:tc>
        <w:tc>
          <w:tcPr>
            <w:tcW w:w="1980" w:type="dxa"/>
            <w:vMerge w:val="restart"/>
            <w:vAlign w:val="center"/>
          </w:tcPr>
          <w:p w:rsidR="006349D7" w:rsidRPr="00114531" w:rsidRDefault="006349D7" w:rsidP="00BB5A5A">
            <w:pPr>
              <w:keepNext/>
              <w:spacing w:line="240" w:lineRule="auto"/>
              <w:jc w:val="center"/>
              <w:rPr>
                <w:bCs/>
              </w:rPr>
            </w:pPr>
            <w:r w:rsidRPr="00114531">
              <w:rPr>
                <w:bCs/>
              </w:rPr>
              <w:t>Rs. 90</w:t>
            </w:r>
            <w:r w:rsidRPr="00114531">
              <w:t xml:space="preserve">.00 </w:t>
            </w:r>
            <w:r w:rsidRPr="00114531">
              <w:rPr>
                <w:bCs/>
              </w:rPr>
              <w:t>/ kW / month</w:t>
            </w:r>
          </w:p>
        </w:tc>
        <w:tc>
          <w:tcPr>
            <w:tcW w:w="2160" w:type="dxa"/>
            <w:vAlign w:val="center"/>
          </w:tcPr>
          <w:p w:rsidR="006349D7" w:rsidRPr="00114531" w:rsidRDefault="006349D7" w:rsidP="00BB5A5A">
            <w:pPr>
              <w:keepNext/>
              <w:spacing w:line="240" w:lineRule="auto"/>
              <w:jc w:val="center"/>
              <w:rPr>
                <w:rFonts w:cs="Arial"/>
                <w:bCs/>
              </w:rPr>
            </w:pPr>
            <w:r w:rsidRPr="00114531">
              <w:rPr>
                <w:rFonts w:cs="Arial"/>
                <w:bCs/>
              </w:rPr>
              <w:t>Rs. 4.40 / kWh</w:t>
            </w:r>
          </w:p>
        </w:tc>
      </w:tr>
      <w:tr w:rsidR="006349D7" w:rsidRPr="00114531" w:rsidTr="00BB5A5A">
        <w:trPr>
          <w:trHeight w:val="429"/>
        </w:trPr>
        <w:tc>
          <w:tcPr>
            <w:tcW w:w="1428" w:type="dxa"/>
            <w:vMerge/>
            <w:vAlign w:val="center"/>
          </w:tcPr>
          <w:p w:rsidR="006349D7" w:rsidRPr="00114531" w:rsidRDefault="006349D7" w:rsidP="00BB5A5A">
            <w:pPr>
              <w:keepNext/>
              <w:spacing w:line="240" w:lineRule="auto"/>
              <w:jc w:val="center"/>
              <w:rPr>
                <w:rFonts w:cs="Arial"/>
                <w:bCs/>
              </w:rPr>
            </w:pPr>
          </w:p>
        </w:tc>
        <w:tc>
          <w:tcPr>
            <w:tcW w:w="2802" w:type="dxa"/>
            <w:vAlign w:val="center"/>
          </w:tcPr>
          <w:p w:rsidR="006349D7" w:rsidRPr="00136ADD" w:rsidRDefault="006349D7" w:rsidP="00BB5A5A">
            <w:pPr>
              <w:keepNext/>
              <w:spacing w:line="240" w:lineRule="auto"/>
              <w:jc w:val="center"/>
              <w:rPr>
                <w:rFonts w:cs="Arial"/>
                <w:bCs/>
              </w:rPr>
            </w:pPr>
            <w:r>
              <w:rPr>
                <w:rFonts w:cs="Arial"/>
                <w:bCs/>
              </w:rPr>
              <w:t>For next 151 - 300 kWh / month</w:t>
            </w:r>
          </w:p>
        </w:tc>
        <w:tc>
          <w:tcPr>
            <w:tcW w:w="1980" w:type="dxa"/>
            <w:vMerge/>
            <w:vAlign w:val="center"/>
          </w:tcPr>
          <w:p w:rsidR="006349D7" w:rsidRPr="00114531" w:rsidRDefault="006349D7" w:rsidP="00BB5A5A">
            <w:pPr>
              <w:keepNext/>
              <w:spacing w:line="240" w:lineRule="auto"/>
              <w:jc w:val="center"/>
              <w:rPr>
                <w:rFonts w:cs="Arial"/>
                <w:bCs/>
              </w:rPr>
            </w:pPr>
          </w:p>
        </w:tc>
        <w:tc>
          <w:tcPr>
            <w:tcW w:w="2160" w:type="dxa"/>
            <w:vAlign w:val="center"/>
          </w:tcPr>
          <w:p w:rsidR="006349D7" w:rsidRPr="00114531" w:rsidRDefault="006349D7" w:rsidP="00BB5A5A">
            <w:pPr>
              <w:keepNext/>
              <w:spacing w:line="240" w:lineRule="auto"/>
              <w:jc w:val="center"/>
              <w:rPr>
                <w:rFonts w:cs="Arial"/>
                <w:bCs/>
              </w:rPr>
            </w:pPr>
            <w:r w:rsidRPr="00114531">
              <w:rPr>
                <w:rFonts w:cs="Arial"/>
                <w:bCs/>
              </w:rPr>
              <w:t>Rs. 4.95 / kWh</w:t>
            </w:r>
          </w:p>
        </w:tc>
      </w:tr>
      <w:tr w:rsidR="006349D7" w:rsidRPr="00114531" w:rsidTr="00BB5A5A">
        <w:trPr>
          <w:trHeight w:val="438"/>
        </w:trPr>
        <w:tc>
          <w:tcPr>
            <w:tcW w:w="1428" w:type="dxa"/>
            <w:vMerge/>
            <w:vAlign w:val="center"/>
          </w:tcPr>
          <w:p w:rsidR="006349D7" w:rsidRPr="00114531" w:rsidRDefault="006349D7" w:rsidP="00BB5A5A">
            <w:pPr>
              <w:keepNext/>
              <w:spacing w:line="240" w:lineRule="auto"/>
              <w:jc w:val="center"/>
              <w:rPr>
                <w:rFonts w:cs="Arial"/>
                <w:bCs/>
              </w:rPr>
            </w:pPr>
          </w:p>
        </w:tc>
        <w:tc>
          <w:tcPr>
            <w:tcW w:w="2802" w:type="dxa"/>
            <w:vAlign w:val="center"/>
          </w:tcPr>
          <w:p w:rsidR="006349D7" w:rsidRPr="00136ADD" w:rsidRDefault="006349D7" w:rsidP="00BB5A5A">
            <w:pPr>
              <w:keepNext/>
              <w:spacing w:line="240" w:lineRule="auto"/>
              <w:jc w:val="center"/>
              <w:rPr>
                <w:rFonts w:cs="Arial"/>
                <w:bCs/>
              </w:rPr>
            </w:pPr>
            <w:r>
              <w:rPr>
                <w:rFonts w:cs="Arial"/>
                <w:bCs/>
              </w:rPr>
              <w:t>For next 301 – 500 kWh / month</w:t>
            </w:r>
          </w:p>
        </w:tc>
        <w:tc>
          <w:tcPr>
            <w:tcW w:w="1980" w:type="dxa"/>
            <w:vMerge/>
            <w:vAlign w:val="center"/>
          </w:tcPr>
          <w:p w:rsidR="006349D7" w:rsidRPr="00114531" w:rsidRDefault="006349D7" w:rsidP="00BB5A5A">
            <w:pPr>
              <w:keepNext/>
              <w:spacing w:line="240" w:lineRule="auto"/>
              <w:jc w:val="center"/>
              <w:rPr>
                <w:rFonts w:cs="Arial"/>
                <w:b/>
                <w:bCs/>
                <w:caps/>
                <w:kern w:val="32"/>
              </w:rPr>
            </w:pPr>
          </w:p>
        </w:tc>
        <w:tc>
          <w:tcPr>
            <w:tcW w:w="2160" w:type="dxa"/>
            <w:vAlign w:val="center"/>
          </w:tcPr>
          <w:p w:rsidR="006349D7" w:rsidRPr="00114531" w:rsidRDefault="006349D7" w:rsidP="00BB5A5A">
            <w:pPr>
              <w:keepNext/>
              <w:spacing w:line="240" w:lineRule="auto"/>
              <w:jc w:val="center"/>
              <w:rPr>
                <w:rFonts w:cs="Arial"/>
                <w:bCs/>
              </w:rPr>
            </w:pPr>
            <w:r w:rsidRPr="00114531">
              <w:rPr>
                <w:rFonts w:cs="Arial"/>
                <w:bCs/>
              </w:rPr>
              <w:t xml:space="preserve">Rs. </w:t>
            </w:r>
            <w:r w:rsidRPr="00114531">
              <w:t>5.60</w:t>
            </w:r>
            <w:r w:rsidRPr="00114531">
              <w:rPr>
                <w:rFonts w:cs="Arial"/>
                <w:bCs/>
              </w:rPr>
              <w:t xml:space="preserve"> / kWh</w:t>
            </w:r>
          </w:p>
        </w:tc>
      </w:tr>
      <w:tr w:rsidR="006349D7" w:rsidRPr="00114531" w:rsidTr="00BB5A5A">
        <w:trPr>
          <w:trHeight w:val="321"/>
        </w:trPr>
        <w:tc>
          <w:tcPr>
            <w:tcW w:w="1428" w:type="dxa"/>
            <w:vMerge/>
            <w:vAlign w:val="center"/>
          </w:tcPr>
          <w:p w:rsidR="006349D7" w:rsidRPr="00114531" w:rsidRDefault="006349D7" w:rsidP="00BB5A5A">
            <w:pPr>
              <w:keepNext/>
              <w:spacing w:line="240" w:lineRule="auto"/>
              <w:jc w:val="center"/>
              <w:rPr>
                <w:rFonts w:cs="Arial"/>
                <w:bCs/>
              </w:rPr>
            </w:pPr>
          </w:p>
        </w:tc>
        <w:tc>
          <w:tcPr>
            <w:tcW w:w="2802" w:type="dxa"/>
            <w:vAlign w:val="center"/>
          </w:tcPr>
          <w:p w:rsidR="006349D7" w:rsidRPr="00136ADD" w:rsidRDefault="006349D7" w:rsidP="00BB5A5A">
            <w:pPr>
              <w:keepNext/>
              <w:spacing w:line="240" w:lineRule="auto"/>
              <w:jc w:val="center"/>
              <w:rPr>
                <w:rFonts w:cs="Arial"/>
                <w:bCs/>
              </w:rPr>
            </w:pPr>
            <w:r>
              <w:rPr>
                <w:rFonts w:cs="Arial"/>
                <w:bCs/>
              </w:rPr>
              <w:t>For above 500 kWh / month</w:t>
            </w:r>
          </w:p>
          <w:p w:rsidR="006349D7" w:rsidRPr="00136ADD" w:rsidRDefault="006349D7" w:rsidP="00BB5A5A">
            <w:pPr>
              <w:keepNext/>
              <w:spacing w:line="240" w:lineRule="auto"/>
              <w:jc w:val="center"/>
              <w:rPr>
                <w:rFonts w:cs="Arial"/>
                <w:bCs/>
              </w:rPr>
            </w:pPr>
            <w:r>
              <w:rPr>
                <w:rFonts w:cs="Arial"/>
                <w:bCs/>
              </w:rPr>
              <w:t>(Starting from 501</w:t>
            </w:r>
            <w:r>
              <w:rPr>
                <w:rFonts w:cs="Arial"/>
                <w:bCs/>
                <w:vertAlign w:val="superscript"/>
              </w:rPr>
              <w:t>st</w:t>
            </w:r>
            <w:r>
              <w:rPr>
                <w:rFonts w:cs="Arial"/>
                <w:bCs/>
              </w:rPr>
              <w:t xml:space="preserve"> unit)</w:t>
            </w:r>
          </w:p>
        </w:tc>
        <w:tc>
          <w:tcPr>
            <w:tcW w:w="1980" w:type="dxa"/>
            <w:vMerge/>
            <w:vAlign w:val="center"/>
          </w:tcPr>
          <w:p w:rsidR="006349D7" w:rsidRPr="00114531" w:rsidRDefault="006349D7" w:rsidP="00BB5A5A">
            <w:pPr>
              <w:keepNext/>
              <w:spacing w:line="240" w:lineRule="auto"/>
              <w:jc w:val="center"/>
              <w:rPr>
                <w:rFonts w:cs="Arial"/>
                <w:b/>
                <w:bCs/>
                <w:caps/>
                <w:kern w:val="32"/>
              </w:rPr>
            </w:pPr>
          </w:p>
        </w:tc>
        <w:tc>
          <w:tcPr>
            <w:tcW w:w="2160" w:type="dxa"/>
            <w:vAlign w:val="center"/>
          </w:tcPr>
          <w:p w:rsidR="006349D7" w:rsidRPr="00114531" w:rsidRDefault="006349D7" w:rsidP="00BB5A5A">
            <w:pPr>
              <w:keepNext/>
              <w:spacing w:line="240" w:lineRule="auto"/>
              <w:jc w:val="center"/>
              <w:rPr>
                <w:rFonts w:cs="Arial"/>
                <w:bCs/>
              </w:rPr>
            </w:pPr>
            <w:r w:rsidRPr="00114531">
              <w:rPr>
                <w:rFonts w:cs="Arial"/>
                <w:bCs/>
              </w:rPr>
              <w:t xml:space="preserve">Rs. </w:t>
            </w:r>
            <w:r w:rsidRPr="00114531">
              <w:t>6.20</w:t>
            </w:r>
            <w:r w:rsidRPr="00114531">
              <w:rPr>
                <w:rFonts w:cs="Arial"/>
                <w:bCs/>
              </w:rPr>
              <w:t xml:space="preserve"> / kWh</w:t>
            </w:r>
          </w:p>
        </w:tc>
      </w:tr>
    </w:tbl>
    <w:p w:rsidR="006349D7" w:rsidRPr="00114531" w:rsidRDefault="006349D7" w:rsidP="006349D7">
      <w:pPr>
        <w:ind w:firstLine="450"/>
        <w:rPr>
          <w:rFonts w:cs="Arial"/>
          <w:b/>
          <w:bCs/>
        </w:rPr>
      </w:pPr>
      <w:r w:rsidRPr="00114531">
        <w:rPr>
          <w:rFonts w:cs="Arial"/>
          <w:b/>
          <w:bCs/>
        </w:rPr>
        <w:t xml:space="preserve">Note: </w:t>
      </w:r>
    </w:p>
    <w:p w:rsidR="006349D7" w:rsidRDefault="006349D7" w:rsidP="006349D7">
      <w:pPr>
        <w:ind w:left="720"/>
        <w:rPr>
          <w:rFonts w:asciiTheme="minorHAnsi" w:hAnsiTheme="minorHAnsi" w:cs="Arial"/>
          <w:bCs/>
        </w:rPr>
      </w:pPr>
      <w:r w:rsidRPr="00114531">
        <w:rPr>
          <w:rFonts w:asciiTheme="minorHAnsi" w:hAnsiTheme="minorHAnsi"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w:t>
      </w:r>
      <w:r>
        <w:rPr>
          <w:rFonts w:asciiTheme="minorHAnsi" w:hAnsiTheme="minorHAnsi" w:cs="Arial"/>
          <w:bCs/>
        </w:rPr>
        <w:t>data of maximum</w:t>
      </w:r>
      <w:r w:rsidRPr="00114531">
        <w:rPr>
          <w:rFonts w:asciiTheme="minorHAnsi" w:hAnsiTheme="minorHAnsi" w:cs="Arial"/>
          <w:bCs/>
        </w:rPr>
        <w:t xml:space="preserve"> demand</w:t>
      </w:r>
      <w:r>
        <w:rPr>
          <w:rFonts w:asciiTheme="minorHAnsi" w:hAnsiTheme="minorHAnsi" w:cs="Arial"/>
          <w:bCs/>
        </w:rPr>
        <w:t>.</w:t>
      </w:r>
    </w:p>
    <w:p w:rsidR="006349D7" w:rsidRDefault="006349D7" w:rsidP="006349D7">
      <w:pPr>
        <w:ind w:left="720"/>
        <w:rPr>
          <w:rFonts w:cs="Arial"/>
          <w:bCs/>
        </w:rPr>
      </w:pPr>
    </w:p>
    <w:p w:rsidR="006349D7" w:rsidRPr="00C60AD1" w:rsidRDefault="006349D7" w:rsidP="006349D7">
      <w:pPr>
        <w:ind w:left="1080" w:hanging="360"/>
        <w:rPr>
          <w:rFonts w:cs="Arial"/>
          <w:bCs/>
        </w:rPr>
        <w:sectPr w:rsidR="006349D7" w:rsidRPr="00C60AD1" w:rsidSect="006F02AD">
          <w:headerReference w:type="default" r:id="rId17"/>
          <w:footerReference w:type="default" r:id="rId18"/>
          <w:pgSz w:w="11909" w:h="16834" w:code="9"/>
          <w:pgMar w:top="574" w:right="1440" w:bottom="1440" w:left="1729" w:header="426" w:footer="1008" w:gutter="0"/>
          <w:cols w:space="720"/>
        </w:sectPr>
      </w:pPr>
    </w:p>
    <w:p w:rsidR="006349D7" w:rsidRPr="00C60AD1" w:rsidRDefault="006349D7" w:rsidP="006349D7">
      <w:pPr>
        <w:jc w:val="center"/>
        <w:rPr>
          <w:b/>
          <w:u w:val="single"/>
        </w:rPr>
      </w:pPr>
      <w:r w:rsidRPr="00C60AD1">
        <w:rPr>
          <w:b/>
          <w:u w:val="single"/>
        </w:rPr>
        <w:lastRenderedPageBreak/>
        <w:t>RATE SCHEDULE LMV– 2:</w:t>
      </w:r>
    </w:p>
    <w:p w:rsidR="006349D7" w:rsidRPr="00C60AD1" w:rsidRDefault="006349D7" w:rsidP="006349D7">
      <w:pPr>
        <w:jc w:val="center"/>
      </w:pPr>
    </w:p>
    <w:p w:rsidR="006349D7" w:rsidRPr="00C60AD1" w:rsidRDefault="006349D7" w:rsidP="006349D7">
      <w:pPr>
        <w:jc w:val="center"/>
        <w:rPr>
          <w:b/>
        </w:rPr>
      </w:pPr>
      <w:r w:rsidRPr="00C60AD1">
        <w:rPr>
          <w:b/>
        </w:rPr>
        <w:t>NON DOMESTIC LIGHT, FAN AND POWER:</w:t>
      </w:r>
    </w:p>
    <w:p w:rsidR="006349D7" w:rsidRPr="00C60AD1" w:rsidRDefault="006349D7" w:rsidP="006349D7">
      <w:pPr>
        <w:jc w:val="center"/>
        <w:rPr>
          <w:b/>
        </w:rPr>
      </w:pPr>
    </w:p>
    <w:p w:rsidR="006349D7" w:rsidRPr="00C60AD1" w:rsidRDefault="006349D7" w:rsidP="006349D7">
      <w:pPr>
        <w:rPr>
          <w:b/>
        </w:rPr>
      </w:pPr>
      <w:r w:rsidRPr="00C60AD1">
        <w:rPr>
          <w:b/>
        </w:rPr>
        <w:t>1.</w:t>
      </w:r>
      <w:r w:rsidRPr="00C60AD1">
        <w:rPr>
          <w:b/>
        </w:rPr>
        <w:tab/>
        <w:t>APPLICABILITY:</w:t>
      </w:r>
    </w:p>
    <w:p w:rsidR="006349D7" w:rsidRPr="00C60AD1" w:rsidRDefault="006349D7" w:rsidP="006349D7">
      <w:pPr>
        <w:ind w:left="720"/>
      </w:pPr>
      <w:r w:rsidRPr="00C60AD1">
        <w:t xml:space="preserve">This schedule shall apply to all consumers using electric energy for Light, Fan and Power loads for Non-Domestic purposes, like all type of Shops including </w:t>
      </w:r>
      <w:r w:rsidRPr="00C60AD1">
        <w:rPr>
          <w:rFonts w:cs="Arial"/>
        </w:rPr>
        <w:t>Patri Shopkeepers</w:t>
      </w:r>
      <w:r w:rsidRPr="00C60AD1">
        <w:t xml:space="preserve">, Hotels, Restaurants, Private Guest Houses, Private Transit Hostels, Private Students Hostels, Marriage Houses, Show-Rooms, Commercial / Trading Establishments, Cinema and Theatres, Banks, Cable T.V. Operators, Telephone Booths / PCO (STD / ISD), Fax Communication Centres, Photo Copiers, Cyber Café, Private Diagnostic Centres including X-Ray Plants, MRI Centres, CAT Scan Centres, Pathologies and Private Advertising / Sign Posts / Sign Boards, Commercial Institutions / Societies, Automobile Service Centres, Coaching Institutes, Private Museums, Power Looms with less than 5 kW load and for all companies registered under the Companies Act, 1956 with loads less than 75 kW. </w:t>
      </w:r>
    </w:p>
    <w:p w:rsidR="006349D7" w:rsidRPr="00C60AD1" w:rsidRDefault="006349D7" w:rsidP="006349D7">
      <w:pPr>
        <w:ind w:left="720"/>
      </w:pPr>
    </w:p>
    <w:p w:rsidR="006349D7" w:rsidRPr="00C60AD1" w:rsidRDefault="006349D7" w:rsidP="006349D7">
      <w:pPr>
        <w:ind w:left="720" w:hanging="720"/>
        <w:rPr>
          <w:b/>
        </w:rPr>
      </w:pPr>
      <w:r w:rsidRPr="00C60AD1">
        <w:rPr>
          <w:b/>
        </w:rPr>
        <w:t>2</w:t>
      </w:r>
      <w:r w:rsidRPr="00C60AD1">
        <w:t>.</w:t>
      </w:r>
      <w:r w:rsidRPr="00C60AD1">
        <w:tab/>
      </w:r>
      <w:r w:rsidRPr="00C60AD1">
        <w:rPr>
          <w:b/>
        </w:rPr>
        <w:t>Character and Point of Supply:</w:t>
      </w:r>
    </w:p>
    <w:p w:rsidR="006349D7" w:rsidRPr="00C60AD1" w:rsidRDefault="006349D7" w:rsidP="006349D7">
      <w:pPr>
        <w:spacing w:line="240" w:lineRule="auto"/>
        <w:ind w:left="360" w:right="-58" w:firstLine="360"/>
        <w:rPr>
          <w:rFonts w:cs="Arial"/>
        </w:rPr>
      </w:pPr>
      <w:r w:rsidRPr="00C60AD1">
        <w:t>As per the applicable provisions of Electricity Supply Code.</w:t>
      </w:r>
    </w:p>
    <w:p w:rsidR="006349D7" w:rsidRPr="00C60AD1" w:rsidRDefault="006349D7" w:rsidP="006349D7"/>
    <w:p w:rsidR="006349D7" w:rsidRPr="00C60AD1" w:rsidRDefault="006349D7" w:rsidP="006349D7">
      <w:pPr>
        <w:rPr>
          <w:b/>
        </w:rPr>
      </w:pPr>
      <w:r w:rsidRPr="00C60AD1">
        <w:rPr>
          <w:b/>
        </w:rPr>
        <w:t xml:space="preserve">3. </w:t>
      </w:r>
      <w:r w:rsidRPr="00C60AD1">
        <w:rPr>
          <w:b/>
        </w:rPr>
        <w:tab/>
        <w:t>RATE:</w:t>
      </w:r>
    </w:p>
    <w:p w:rsidR="006349D7" w:rsidRPr="00C60AD1" w:rsidRDefault="006349D7" w:rsidP="006349D7">
      <w:pPr>
        <w:spacing w:after="240"/>
        <w:ind w:left="720"/>
      </w:pPr>
      <w:r w:rsidRPr="00C60AD1">
        <w:t xml:space="preserve">Rate, gives the fixed and energy charges at which the consumer shall be billed for his consumption during the billing period applicable to the category: </w:t>
      </w:r>
    </w:p>
    <w:p w:rsidR="006349D7" w:rsidRPr="00C60AD1" w:rsidRDefault="006349D7" w:rsidP="006349D7">
      <w:pPr>
        <w:spacing w:before="100" w:beforeAutospacing="1" w:after="240"/>
        <w:ind w:left="851" w:hanging="567"/>
        <w:rPr>
          <w:rFonts w:cs="Arial"/>
          <w:b/>
          <w:bCs/>
        </w:rPr>
      </w:pPr>
      <w:r w:rsidRPr="00C60AD1">
        <w:rPr>
          <w:rFonts w:cs="Arial"/>
          <w:b/>
          <w:bCs/>
        </w:rPr>
        <w:t xml:space="preserve">  (a) Consumers getting supply as per ‘Rural Schedule’</w:t>
      </w:r>
    </w:p>
    <w:tbl>
      <w:tblPr>
        <w:tblW w:w="778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664"/>
        <w:gridCol w:w="1851"/>
        <w:gridCol w:w="1841"/>
        <w:gridCol w:w="2430"/>
      </w:tblGrid>
      <w:tr w:rsidR="006349D7" w:rsidRPr="00C60AD1" w:rsidTr="00BB5A5A">
        <w:trPr>
          <w:cantSplit/>
          <w:trHeight w:val="282"/>
          <w:tblHeader/>
          <w:jc w:val="center"/>
        </w:trPr>
        <w:tc>
          <w:tcPr>
            <w:tcW w:w="1664" w:type="dxa"/>
            <w:shd w:val="clear" w:color="auto" w:fill="DBE5F1" w:themeFill="accent1" w:themeFillTint="33"/>
          </w:tcPr>
          <w:p w:rsidR="006349D7" w:rsidRPr="00C60AD1" w:rsidRDefault="006349D7" w:rsidP="00BB5A5A">
            <w:pPr>
              <w:spacing w:before="0" w:line="240" w:lineRule="auto"/>
              <w:jc w:val="center"/>
              <w:rPr>
                <w:rFonts w:cs="Arial"/>
                <w:b/>
                <w:color w:val="000000"/>
              </w:rPr>
            </w:pPr>
            <w:r w:rsidRPr="00C60AD1">
              <w:rPr>
                <w:rFonts w:cs="Arial"/>
                <w:b/>
                <w:color w:val="000000"/>
              </w:rPr>
              <w:t>Description</w:t>
            </w:r>
          </w:p>
        </w:tc>
        <w:tc>
          <w:tcPr>
            <w:tcW w:w="1851" w:type="dxa"/>
            <w:shd w:val="clear" w:color="auto" w:fill="DBE5F1" w:themeFill="accent1" w:themeFillTint="33"/>
          </w:tcPr>
          <w:p w:rsidR="006349D7" w:rsidRPr="00C60AD1" w:rsidRDefault="006349D7" w:rsidP="00BB5A5A">
            <w:pPr>
              <w:spacing w:before="0" w:line="240" w:lineRule="auto"/>
              <w:jc w:val="center"/>
              <w:rPr>
                <w:rFonts w:cs="Arial"/>
                <w:b/>
                <w:color w:val="000000"/>
              </w:rPr>
            </w:pPr>
            <w:r w:rsidRPr="00C60AD1">
              <w:rPr>
                <w:rFonts w:cs="Arial"/>
                <w:b/>
                <w:color w:val="000000"/>
              </w:rPr>
              <w:t>Description</w:t>
            </w:r>
          </w:p>
        </w:tc>
        <w:tc>
          <w:tcPr>
            <w:tcW w:w="1841" w:type="dxa"/>
            <w:shd w:val="clear" w:color="auto" w:fill="DBE5F1" w:themeFill="accent1" w:themeFillTint="33"/>
          </w:tcPr>
          <w:p w:rsidR="006349D7" w:rsidRPr="00C60AD1" w:rsidRDefault="006349D7" w:rsidP="00BB5A5A">
            <w:pPr>
              <w:spacing w:before="0" w:line="240" w:lineRule="auto"/>
              <w:jc w:val="center"/>
              <w:rPr>
                <w:rFonts w:cs="Arial"/>
                <w:b/>
                <w:color w:val="000000"/>
              </w:rPr>
            </w:pPr>
            <w:r w:rsidRPr="00C60AD1">
              <w:rPr>
                <w:rFonts w:cs="Arial"/>
                <w:b/>
                <w:color w:val="000000"/>
              </w:rPr>
              <w:t>Fixed charge</w:t>
            </w:r>
          </w:p>
        </w:tc>
        <w:tc>
          <w:tcPr>
            <w:tcW w:w="2430" w:type="dxa"/>
            <w:shd w:val="clear" w:color="auto" w:fill="DBE5F1" w:themeFill="accent1" w:themeFillTint="33"/>
          </w:tcPr>
          <w:p w:rsidR="006349D7" w:rsidRPr="00C60AD1" w:rsidRDefault="006349D7" w:rsidP="00BB5A5A">
            <w:pPr>
              <w:spacing w:before="0" w:line="240" w:lineRule="auto"/>
              <w:jc w:val="center"/>
              <w:rPr>
                <w:rFonts w:cs="Arial"/>
                <w:b/>
                <w:color w:val="000000"/>
              </w:rPr>
            </w:pPr>
            <w:r w:rsidRPr="00C60AD1">
              <w:rPr>
                <w:rFonts w:cs="Arial"/>
                <w:b/>
                <w:color w:val="000000"/>
              </w:rPr>
              <w:t>Energy charge)</w:t>
            </w:r>
          </w:p>
        </w:tc>
      </w:tr>
      <w:tr w:rsidR="006349D7" w:rsidRPr="00C60AD1" w:rsidTr="00BB5A5A">
        <w:trPr>
          <w:cantSplit/>
          <w:trHeight w:val="665"/>
          <w:jc w:val="center"/>
        </w:trPr>
        <w:tc>
          <w:tcPr>
            <w:tcW w:w="1664" w:type="dxa"/>
            <w:vAlign w:val="center"/>
          </w:tcPr>
          <w:p w:rsidR="006349D7" w:rsidRPr="00C60AD1" w:rsidRDefault="006349D7" w:rsidP="00BB5A5A">
            <w:pPr>
              <w:spacing w:before="0" w:line="240" w:lineRule="auto"/>
              <w:jc w:val="center"/>
              <w:rPr>
                <w:rFonts w:cs="Arial"/>
                <w:bCs/>
                <w:color w:val="000000"/>
              </w:rPr>
            </w:pPr>
            <w:r w:rsidRPr="00C60AD1">
              <w:rPr>
                <w:rFonts w:cs="Arial"/>
                <w:bCs/>
                <w:color w:val="000000"/>
              </w:rPr>
              <w:t>i) Un-metered</w:t>
            </w:r>
          </w:p>
        </w:tc>
        <w:tc>
          <w:tcPr>
            <w:tcW w:w="1851" w:type="dxa"/>
            <w:vAlign w:val="center"/>
          </w:tcPr>
          <w:p w:rsidR="006349D7" w:rsidRPr="00C60AD1" w:rsidRDefault="006349D7" w:rsidP="00BB5A5A">
            <w:pPr>
              <w:spacing w:before="0" w:line="240" w:lineRule="auto"/>
              <w:jc w:val="center"/>
              <w:rPr>
                <w:rFonts w:cs="Arial"/>
                <w:color w:val="000000"/>
              </w:rPr>
            </w:pPr>
            <w:r w:rsidRPr="00C60AD1">
              <w:rPr>
                <w:rFonts w:cs="Arial"/>
                <w:color w:val="000000"/>
              </w:rPr>
              <w:t>All Load</w:t>
            </w:r>
          </w:p>
        </w:tc>
        <w:tc>
          <w:tcPr>
            <w:tcW w:w="1841" w:type="dxa"/>
            <w:vAlign w:val="center"/>
          </w:tcPr>
          <w:p w:rsidR="006349D7" w:rsidRPr="001D4C94" w:rsidRDefault="006349D7" w:rsidP="00BB5A5A">
            <w:pPr>
              <w:spacing w:before="0" w:line="240" w:lineRule="auto"/>
              <w:jc w:val="center"/>
              <w:rPr>
                <w:rFonts w:cs="Arial"/>
                <w:color w:val="000000"/>
              </w:rPr>
            </w:pPr>
            <w:r w:rsidRPr="00C60AD1">
              <w:rPr>
                <w:rFonts w:cs="Arial"/>
                <w:color w:val="000000"/>
              </w:rPr>
              <w:t xml:space="preserve">Rs. </w:t>
            </w:r>
            <w:r>
              <w:rPr>
                <w:rFonts w:cs="Arial"/>
                <w:color w:val="000000"/>
              </w:rPr>
              <w:t>600</w:t>
            </w:r>
            <w:r w:rsidRPr="00C60AD1">
              <w:rPr>
                <w:rFonts w:cs="Arial"/>
                <w:color w:val="000000"/>
              </w:rPr>
              <w:t xml:space="preserve"> / kW / month</w:t>
            </w:r>
          </w:p>
        </w:tc>
        <w:tc>
          <w:tcPr>
            <w:tcW w:w="2430" w:type="dxa"/>
            <w:vAlign w:val="center"/>
          </w:tcPr>
          <w:p w:rsidR="006349D7" w:rsidRPr="001D4C94" w:rsidRDefault="006349D7" w:rsidP="00BB5A5A">
            <w:pPr>
              <w:spacing w:before="0" w:line="240" w:lineRule="auto"/>
              <w:jc w:val="center"/>
              <w:rPr>
                <w:rFonts w:cs="Arial"/>
                <w:color w:val="000000"/>
              </w:rPr>
            </w:pPr>
            <w:r w:rsidRPr="00C60AD1">
              <w:rPr>
                <w:rFonts w:cs="Arial"/>
                <w:color w:val="000000"/>
              </w:rPr>
              <w:t>Nil</w:t>
            </w:r>
          </w:p>
        </w:tc>
      </w:tr>
      <w:tr w:rsidR="006349D7" w:rsidRPr="00C60AD1" w:rsidTr="00BB5A5A">
        <w:trPr>
          <w:cantSplit/>
          <w:trHeight w:val="275"/>
          <w:jc w:val="center"/>
        </w:trPr>
        <w:tc>
          <w:tcPr>
            <w:tcW w:w="1664" w:type="dxa"/>
          </w:tcPr>
          <w:p w:rsidR="006349D7" w:rsidRPr="00C60AD1" w:rsidRDefault="006349D7" w:rsidP="00BB5A5A">
            <w:pPr>
              <w:spacing w:before="0" w:line="240" w:lineRule="auto"/>
              <w:rPr>
                <w:rFonts w:cs="Arial"/>
                <w:bCs/>
                <w:color w:val="000000"/>
              </w:rPr>
            </w:pPr>
            <w:r w:rsidRPr="00C60AD1">
              <w:rPr>
                <w:rFonts w:cs="Arial"/>
                <w:bCs/>
              </w:rPr>
              <w:t xml:space="preserve"> ii) Metered </w:t>
            </w:r>
          </w:p>
        </w:tc>
        <w:tc>
          <w:tcPr>
            <w:tcW w:w="1851" w:type="dxa"/>
          </w:tcPr>
          <w:p w:rsidR="006349D7" w:rsidRPr="00C60AD1" w:rsidRDefault="006349D7" w:rsidP="00BB5A5A">
            <w:pPr>
              <w:spacing w:before="0" w:line="240" w:lineRule="auto"/>
              <w:jc w:val="center"/>
              <w:rPr>
                <w:color w:val="000000"/>
              </w:rPr>
            </w:pPr>
            <w:r w:rsidRPr="00C60AD1">
              <w:rPr>
                <w:color w:val="000000"/>
              </w:rPr>
              <w:t>All Load</w:t>
            </w:r>
          </w:p>
        </w:tc>
        <w:tc>
          <w:tcPr>
            <w:tcW w:w="1841" w:type="dxa"/>
          </w:tcPr>
          <w:p w:rsidR="006349D7" w:rsidRPr="00C60AD1" w:rsidRDefault="006349D7" w:rsidP="00BB5A5A">
            <w:pPr>
              <w:spacing w:before="0" w:line="240" w:lineRule="auto"/>
              <w:jc w:val="center"/>
              <w:rPr>
                <w:rFonts w:cs="Arial"/>
                <w:color w:val="000000"/>
              </w:rPr>
            </w:pPr>
            <w:r w:rsidRPr="00C60AD1">
              <w:rPr>
                <w:color w:val="000000"/>
              </w:rPr>
              <w:t>Rs. 6</w:t>
            </w:r>
            <w:r w:rsidRPr="00C60AD1">
              <w:t xml:space="preserve">5 </w:t>
            </w:r>
            <w:r w:rsidRPr="00C60AD1">
              <w:rPr>
                <w:color w:val="000000"/>
              </w:rPr>
              <w:t>/ kW / month</w:t>
            </w:r>
          </w:p>
        </w:tc>
        <w:tc>
          <w:tcPr>
            <w:tcW w:w="2430" w:type="dxa"/>
          </w:tcPr>
          <w:p w:rsidR="006349D7" w:rsidRPr="00C60AD1" w:rsidRDefault="006349D7" w:rsidP="00BB5A5A">
            <w:pPr>
              <w:spacing w:before="0" w:line="240" w:lineRule="auto"/>
              <w:jc w:val="center"/>
              <w:rPr>
                <w:rFonts w:cs="Arial"/>
                <w:color w:val="000000"/>
              </w:rPr>
            </w:pPr>
            <w:r w:rsidRPr="00C60AD1">
              <w:rPr>
                <w:rFonts w:cs="Arial"/>
                <w:color w:val="000000"/>
              </w:rPr>
              <w:t>Rs. 3.</w:t>
            </w:r>
            <w:r>
              <w:rPr>
                <w:rFonts w:cs="Arial"/>
                <w:color w:val="000000"/>
              </w:rPr>
              <w:t>5</w:t>
            </w:r>
            <w:r w:rsidRPr="00C60AD1">
              <w:rPr>
                <w:rFonts w:cs="Arial"/>
                <w:color w:val="000000"/>
              </w:rPr>
              <w:t>0 / kWh</w:t>
            </w:r>
          </w:p>
        </w:tc>
      </w:tr>
    </w:tbl>
    <w:p w:rsidR="006349D7" w:rsidRPr="007B7140" w:rsidRDefault="006349D7" w:rsidP="006349D7">
      <w:pPr>
        <w:spacing w:before="0" w:line="288" w:lineRule="auto"/>
        <w:ind w:left="900"/>
        <w:rPr>
          <w:rFonts w:cs="Arial"/>
          <w:b/>
        </w:rPr>
      </w:pPr>
    </w:p>
    <w:p w:rsidR="006349D7" w:rsidRDefault="006349D7" w:rsidP="006349D7">
      <w:pPr>
        <w:spacing w:before="0" w:line="288" w:lineRule="auto"/>
        <w:ind w:left="900"/>
        <w:rPr>
          <w:rFonts w:cs="Arial"/>
          <w:b/>
        </w:rPr>
      </w:pPr>
    </w:p>
    <w:p w:rsidR="006349D7" w:rsidRPr="007B7140" w:rsidRDefault="006349D7" w:rsidP="006349D7">
      <w:pPr>
        <w:spacing w:before="0" w:line="288" w:lineRule="auto"/>
        <w:ind w:left="900"/>
        <w:rPr>
          <w:rFonts w:cs="Arial"/>
          <w:b/>
        </w:rPr>
      </w:pPr>
    </w:p>
    <w:p w:rsidR="006349D7" w:rsidRDefault="006349D7" w:rsidP="00EC6AAC">
      <w:pPr>
        <w:numPr>
          <w:ilvl w:val="0"/>
          <w:numId w:val="48"/>
        </w:numPr>
        <w:spacing w:before="0" w:line="288" w:lineRule="auto"/>
        <w:rPr>
          <w:rFonts w:cs="Arial"/>
          <w:b/>
        </w:rPr>
      </w:pPr>
      <w:r w:rsidRPr="00C60AD1">
        <w:rPr>
          <w:b/>
        </w:rPr>
        <w:lastRenderedPageBreak/>
        <w:t>Private Advertising / Sign Posts / Sign Boards / Glow Signs / Flex</w:t>
      </w:r>
      <w:r w:rsidRPr="00E421A9">
        <w:rPr>
          <w:b/>
          <w:vertAlign w:val="superscript"/>
        </w:rPr>
        <w:t>*</w:t>
      </w:r>
      <w:r w:rsidRPr="00C60AD1">
        <w:rPr>
          <w:b/>
        </w:rPr>
        <w:t>:</w:t>
      </w:r>
    </w:p>
    <w:p w:rsidR="006349D7" w:rsidRPr="00C60AD1" w:rsidRDefault="006349D7" w:rsidP="006349D7">
      <w:pPr>
        <w:ind w:left="900"/>
      </w:pPr>
      <w:r w:rsidRPr="00C60AD1">
        <w:t>For all commercial (road side / roof tops of buildings) advertisement hoardings such as Private Advertising / Sign Posts / Sign Boards / Glow Signs / Flex, the rate of charge shall be as below:</w:t>
      </w:r>
    </w:p>
    <w:tbl>
      <w:tblPr>
        <w:tblpPr w:leftFromText="180" w:rightFromText="180" w:vertAnchor="text" w:horzAnchor="margin" w:tblpXSpec="center" w:tblpY="174"/>
        <w:tblW w:w="57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845"/>
        <w:gridCol w:w="2043"/>
        <w:gridCol w:w="1818"/>
      </w:tblGrid>
      <w:tr w:rsidR="006349D7" w:rsidRPr="00C60AD1" w:rsidTr="00BB5A5A">
        <w:trPr>
          <w:cantSplit/>
          <w:trHeight w:val="246"/>
        </w:trPr>
        <w:tc>
          <w:tcPr>
            <w:tcW w:w="1845" w:type="dxa"/>
            <w:shd w:val="clear" w:color="auto" w:fill="DBE5F1" w:themeFill="accent1" w:themeFillTint="33"/>
          </w:tcPr>
          <w:p w:rsidR="006349D7" w:rsidRPr="00C60AD1" w:rsidRDefault="006349D7" w:rsidP="00BB5A5A">
            <w:pPr>
              <w:ind w:left="360" w:right="-45"/>
              <w:jc w:val="center"/>
              <w:rPr>
                <w:rFonts w:cs="Arial"/>
                <w:b/>
              </w:rPr>
            </w:pPr>
            <w:r w:rsidRPr="00C60AD1">
              <w:br w:type="page"/>
            </w:r>
            <w:r w:rsidRPr="00C60AD1">
              <w:rPr>
                <w:rFonts w:cs="Arial"/>
                <w:b/>
              </w:rPr>
              <w:t>Description</w:t>
            </w:r>
          </w:p>
        </w:tc>
        <w:tc>
          <w:tcPr>
            <w:tcW w:w="2043" w:type="dxa"/>
            <w:tcBorders>
              <w:top w:val="single" w:sz="4" w:space="0" w:color="auto"/>
              <w:right w:val="single" w:sz="4" w:space="0" w:color="auto"/>
            </w:tcBorders>
            <w:shd w:val="clear" w:color="auto" w:fill="DBE5F1" w:themeFill="accent1" w:themeFillTint="33"/>
          </w:tcPr>
          <w:p w:rsidR="006349D7" w:rsidRPr="00C60AD1" w:rsidRDefault="006349D7" w:rsidP="00BB5A5A">
            <w:pPr>
              <w:ind w:right="-122"/>
              <w:jc w:val="center"/>
              <w:rPr>
                <w:rFonts w:cs="Arial"/>
                <w:b/>
              </w:rPr>
            </w:pPr>
            <w:r w:rsidRPr="00C60AD1">
              <w:rPr>
                <w:rFonts w:cs="Arial"/>
                <w:b/>
              </w:rPr>
              <w:t>Fixed Charge</w:t>
            </w:r>
          </w:p>
        </w:tc>
        <w:tc>
          <w:tcPr>
            <w:tcW w:w="1818" w:type="dxa"/>
            <w:tcBorders>
              <w:top w:val="single" w:sz="4" w:space="0" w:color="auto"/>
              <w:right w:val="single" w:sz="4" w:space="0" w:color="auto"/>
            </w:tcBorders>
            <w:shd w:val="clear" w:color="auto" w:fill="DBE5F1" w:themeFill="accent1" w:themeFillTint="33"/>
          </w:tcPr>
          <w:p w:rsidR="006349D7" w:rsidRPr="00C60AD1" w:rsidRDefault="006349D7" w:rsidP="00BB5A5A">
            <w:pPr>
              <w:ind w:right="-122"/>
              <w:jc w:val="center"/>
              <w:rPr>
                <w:rFonts w:cs="Arial"/>
                <w:b/>
              </w:rPr>
            </w:pPr>
            <w:r w:rsidRPr="00C60AD1">
              <w:rPr>
                <w:rFonts w:cs="Arial"/>
                <w:b/>
              </w:rPr>
              <w:t>Energy Charge</w:t>
            </w:r>
          </w:p>
        </w:tc>
      </w:tr>
      <w:tr w:rsidR="006349D7" w:rsidRPr="00C60AD1" w:rsidTr="00BB5A5A">
        <w:tc>
          <w:tcPr>
            <w:tcW w:w="1845" w:type="dxa"/>
          </w:tcPr>
          <w:p w:rsidR="006349D7" w:rsidRPr="00C60AD1" w:rsidRDefault="006349D7" w:rsidP="00BB5A5A">
            <w:pPr>
              <w:ind w:left="342" w:right="-4"/>
              <w:rPr>
                <w:rFonts w:cs="Arial"/>
              </w:rPr>
            </w:pPr>
            <w:r w:rsidRPr="00C60AD1">
              <w:rPr>
                <w:rFonts w:cs="Arial"/>
              </w:rPr>
              <w:t>Metered</w:t>
            </w:r>
          </w:p>
        </w:tc>
        <w:tc>
          <w:tcPr>
            <w:tcW w:w="2043" w:type="dxa"/>
          </w:tcPr>
          <w:p w:rsidR="006349D7" w:rsidRPr="00C60AD1" w:rsidRDefault="006349D7" w:rsidP="00BB5A5A">
            <w:pPr>
              <w:ind w:right="-108"/>
              <w:jc w:val="center"/>
              <w:rPr>
                <w:rFonts w:cs="Arial"/>
              </w:rPr>
            </w:pPr>
            <w:r w:rsidRPr="00C60AD1">
              <w:rPr>
                <w:rFonts w:cs="Arial"/>
              </w:rPr>
              <w:t>-</w:t>
            </w:r>
          </w:p>
        </w:tc>
        <w:tc>
          <w:tcPr>
            <w:tcW w:w="1818" w:type="dxa"/>
          </w:tcPr>
          <w:p w:rsidR="006349D7" w:rsidRPr="00C60AD1" w:rsidRDefault="006349D7" w:rsidP="00BB5A5A">
            <w:pPr>
              <w:ind w:right="-18"/>
              <w:jc w:val="center"/>
              <w:rPr>
                <w:rFonts w:cs="Arial"/>
              </w:rPr>
            </w:pPr>
            <w:r w:rsidRPr="00C60AD1">
              <w:rPr>
                <w:rFonts w:cs="Arial"/>
              </w:rPr>
              <w:t>Rs. 18.00 / kWh</w:t>
            </w:r>
          </w:p>
        </w:tc>
      </w:tr>
    </w:tbl>
    <w:p w:rsidR="006349D7" w:rsidRPr="00C60AD1" w:rsidRDefault="006349D7" w:rsidP="006349D7">
      <w:pPr>
        <w:rPr>
          <w:rFonts w:cs="Arial"/>
          <w:b/>
        </w:rPr>
      </w:pPr>
    </w:p>
    <w:p w:rsidR="006349D7" w:rsidRPr="00C60AD1" w:rsidRDefault="006349D7" w:rsidP="006349D7">
      <w:pPr>
        <w:rPr>
          <w:rFonts w:cs="Arial"/>
          <w:b/>
        </w:rPr>
      </w:pPr>
    </w:p>
    <w:p w:rsidR="006349D7" w:rsidRPr="00C60AD1" w:rsidRDefault="006349D7" w:rsidP="006349D7">
      <w:pPr>
        <w:rPr>
          <w:rFonts w:cs="Arial"/>
          <w:b/>
        </w:rPr>
      </w:pPr>
    </w:p>
    <w:p w:rsidR="006349D7" w:rsidRDefault="006349D7" w:rsidP="006349D7">
      <w:pPr>
        <w:spacing w:before="0"/>
        <w:ind w:left="720"/>
        <w:rPr>
          <w:rFonts w:cs="Arial"/>
          <w:b/>
        </w:rPr>
      </w:pPr>
      <w:r w:rsidRPr="000873E5">
        <w:rPr>
          <w:i/>
          <w:sz w:val="22"/>
        </w:rPr>
        <w:t xml:space="preserve">*Minimum bill payable by a consumer under the category “(b) Private Advertising / Sign Posts / Sign Boards / Glow Signs / Flex category” shall be Rs. </w:t>
      </w:r>
      <w:r w:rsidRPr="00C60AD1">
        <w:rPr>
          <w:rFonts w:cs="Arial"/>
          <w:i/>
          <w:sz w:val="22"/>
        </w:rPr>
        <w:t>1</w:t>
      </w:r>
      <w:r>
        <w:rPr>
          <w:rFonts w:cs="Arial"/>
          <w:i/>
          <w:sz w:val="22"/>
        </w:rPr>
        <w:t>6</w:t>
      </w:r>
      <w:r w:rsidRPr="00C60AD1">
        <w:rPr>
          <w:rFonts w:cs="Arial"/>
          <w:i/>
          <w:sz w:val="22"/>
        </w:rPr>
        <w:t>00</w:t>
      </w:r>
      <w:r w:rsidRPr="000873E5">
        <w:rPr>
          <w:i/>
          <w:sz w:val="22"/>
        </w:rPr>
        <w:t xml:space="preserve"> / kW / Month.</w:t>
      </w:r>
    </w:p>
    <w:p w:rsidR="006349D7" w:rsidRPr="00C60AD1" w:rsidRDefault="006349D7" w:rsidP="006349D7">
      <w:pPr>
        <w:ind w:left="720" w:firstLine="360"/>
        <w:rPr>
          <w:rFonts w:cs="Arial"/>
          <w:b/>
        </w:rPr>
      </w:pPr>
      <w:r w:rsidRPr="00C60AD1">
        <w:rPr>
          <w:rFonts w:cs="Arial"/>
          <w:b/>
        </w:rPr>
        <w:t xml:space="preserve">Note: </w:t>
      </w:r>
    </w:p>
    <w:p w:rsidR="006349D7" w:rsidRPr="00C60AD1" w:rsidRDefault="006349D7" w:rsidP="00EC6AAC">
      <w:pPr>
        <w:pStyle w:val="ListParagraph"/>
        <w:numPr>
          <w:ilvl w:val="0"/>
          <w:numId w:val="57"/>
        </w:numPr>
        <w:ind w:left="1440"/>
        <w:rPr>
          <w:rFonts w:cs="Arial"/>
        </w:rPr>
      </w:pPr>
      <w:r w:rsidRPr="00C60AD1">
        <w:rPr>
          <w:rFonts w:cs="Arial"/>
        </w:rPr>
        <w:t>For application of these rates Licensee shall ensure that such consumption is separately metered.</w:t>
      </w:r>
    </w:p>
    <w:p w:rsidR="006349D7" w:rsidRPr="00C60AD1" w:rsidRDefault="006349D7" w:rsidP="006349D7">
      <w:pPr>
        <w:rPr>
          <w:rFonts w:cs="Arial"/>
        </w:rPr>
      </w:pPr>
      <w:r w:rsidRPr="00C60AD1">
        <w:rPr>
          <w:rFonts w:cs="Arial"/>
        </w:rPr>
        <w:t xml:space="preserve"> </w:t>
      </w:r>
    </w:p>
    <w:p w:rsidR="006349D7" w:rsidRDefault="006349D7" w:rsidP="00EC6AAC">
      <w:pPr>
        <w:numPr>
          <w:ilvl w:val="0"/>
          <w:numId w:val="48"/>
        </w:numPr>
        <w:spacing w:before="0" w:line="288" w:lineRule="auto"/>
        <w:rPr>
          <w:rFonts w:cs="Arial"/>
        </w:rPr>
      </w:pPr>
      <w:r w:rsidRPr="00C60AD1">
        <w:rPr>
          <w:rFonts w:cs="Arial"/>
          <w:b/>
        </w:rPr>
        <w:t xml:space="preserve">In all other cases, </w:t>
      </w:r>
      <w:r w:rsidRPr="00C60AD1">
        <w:rPr>
          <w:rFonts w:cs="Arial"/>
        </w:rPr>
        <w:t>including urban consumers and consumers getting supply through rural feeders but exempted from scheduled rostering / restrictions or through co-generating radial feeders in villages / towns.</w:t>
      </w:r>
    </w:p>
    <w:p w:rsidR="006349D7" w:rsidRPr="00C60AD1" w:rsidRDefault="006349D7" w:rsidP="006349D7">
      <w:pPr>
        <w:ind w:left="540"/>
        <w:rPr>
          <w:rFonts w:cs="Arial"/>
        </w:rPr>
      </w:pPr>
    </w:p>
    <w:tbl>
      <w:tblPr>
        <w:tblW w:w="6616" w:type="dxa"/>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9"/>
        <w:gridCol w:w="2717"/>
      </w:tblGrid>
      <w:tr w:rsidR="006349D7" w:rsidRPr="00C60AD1" w:rsidTr="00BB5A5A">
        <w:trPr>
          <w:trHeight w:val="499"/>
          <w:tblHeader/>
          <w:jc w:val="center"/>
        </w:trPr>
        <w:tc>
          <w:tcPr>
            <w:tcW w:w="3899" w:type="dxa"/>
            <w:shd w:val="clear" w:color="auto" w:fill="DBE5F1" w:themeFill="accent1" w:themeFillTint="33"/>
          </w:tcPr>
          <w:p w:rsidR="006349D7" w:rsidRPr="00C60AD1" w:rsidRDefault="006349D7" w:rsidP="00BB5A5A">
            <w:pPr>
              <w:spacing w:before="0" w:line="240" w:lineRule="auto"/>
              <w:ind w:left="360" w:right="-45"/>
              <w:jc w:val="center"/>
              <w:rPr>
                <w:b/>
              </w:rPr>
            </w:pPr>
            <w:r>
              <w:rPr>
                <w:b/>
              </w:rPr>
              <w:t>Contracted Load</w:t>
            </w:r>
            <w:r w:rsidRPr="00C60AD1">
              <w:rPr>
                <w:b/>
              </w:rPr>
              <w:t xml:space="preserve"> </w:t>
            </w:r>
          </w:p>
        </w:tc>
        <w:tc>
          <w:tcPr>
            <w:tcW w:w="2717"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sidRPr="00C60AD1">
              <w:rPr>
                <w:rFonts w:cs="Arial"/>
                <w:b/>
                <w:bCs/>
              </w:rPr>
              <w:t>Fixed Charge</w:t>
            </w:r>
          </w:p>
        </w:tc>
      </w:tr>
      <w:tr w:rsidR="006349D7" w:rsidRPr="00C60AD1" w:rsidTr="00BB5A5A">
        <w:trPr>
          <w:trHeight w:val="279"/>
          <w:jc w:val="center"/>
        </w:trPr>
        <w:tc>
          <w:tcPr>
            <w:tcW w:w="3899" w:type="dxa"/>
          </w:tcPr>
          <w:p w:rsidR="006349D7" w:rsidRDefault="006349D7" w:rsidP="00BB5A5A">
            <w:pPr>
              <w:keepNext/>
              <w:spacing w:before="0" w:after="120" w:line="240" w:lineRule="auto"/>
              <w:jc w:val="left"/>
              <w:rPr>
                <w:rFonts w:cs="Arial"/>
                <w:bCs/>
              </w:rPr>
            </w:pPr>
            <w:r w:rsidRPr="00865EE5">
              <w:rPr>
                <w:rFonts w:cs="Arial"/>
                <w:bCs/>
              </w:rPr>
              <w:t>Up</w:t>
            </w:r>
            <w:r>
              <w:rPr>
                <w:rFonts w:cs="Arial"/>
                <w:bCs/>
              </w:rPr>
              <w:t xml:space="preserve"> </w:t>
            </w:r>
            <w:r w:rsidRPr="00865EE5">
              <w:rPr>
                <w:rFonts w:cs="Arial"/>
                <w:bCs/>
              </w:rPr>
              <w:t>to 2 kW</w:t>
            </w:r>
          </w:p>
        </w:tc>
        <w:tc>
          <w:tcPr>
            <w:tcW w:w="2717" w:type="dxa"/>
          </w:tcPr>
          <w:p w:rsidR="006349D7" w:rsidRPr="00C60AD1" w:rsidRDefault="006349D7" w:rsidP="00BB5A5A">
            <w:pPr>
              <w:keepNext/>
              <w:spacing w:before="0" w:after="120" w:line="240" w:lineRule="auto"/>
              <w:jc w:val="center"/>
              <w:rPr>
                <w:rFonts w:cs="Arial"/>
                <w:bCs/>
              </w:rPr>
            </w:pPr>
            <w:r w:rsidRPr="00C60AD1">
              <w:rPr>
                <w:bCs/>
              </w:rPr>
              <w:t>Rs. 225.00 / kW / month</w:t>
            </w:r>
          </w:p>
        </w:tc>
      </w:tr>
      <w:tr w:rsidR="006349D7" w:rsidRPr="00C60AD1" w:rsidTr="00BB5A5A">
        <w:trPr>
          <w:trHeight w:val="402"/>
          <w:jc w:val="center"/>
        </w:trPr>
        <w:tc>
          <w:tcPr>
            <w:tcW w:w="3899" w:type="dxa"/>
          </w:tcPr>
          <w:p w:rsidR="006349D7" w:rsidRDefault="006349D7" w:rsidP="00BB5A5A">
            <w:pPr>
              <w:keepNext/>
              <w:spacing w:before="0" w:after="120" w:line="240" w:lineRule="auto"/>
              <w:jc w:val="left"/>
              <w:rPr>
                <w:rFonts w:cs="Arial"/>
                <w:bCs/>
              </w:rPr>
            </w:pPr>
            <w:r>
              <w:rPr>
                <w:rFonts w:cs="Arial"/>
                <w:bCs/>
              </w:rPr>
              <w:t xml:space="preserve">Above </w:t>
            </w:r>
            <w:r w:rsidRPr="00865EE5">
              <w:rPr>
                <w:rFonts w:cs="Arial"/>
                <w:bCs/>
              </w:rPr>
              <w:t>2 kW to 4 kW</w:t>
            </w:r>
          </w:p>
        </w:tc>
        <w:tc>
          <w:tcPr>
            <w:tcW w:w="2717" w:type="dxa"/>
          </w:tcPr>
          <w:p w:rsidR="006349D7" w:rsidRPr="00C60AD1" w:rsidRDefault="006349D7" w:rsidP="00BB5A5A">
            <w:pPr>
              <w:keepNext/>
              <w:spacing w:before="0" w:after="120" w:line="240" w:lineRule="auto"/>
              <w:jc w:val="center"/>
              <w:rPr>
                <w:bCs/>
              </w:rPr>
            </w:pPr>
            <w:r>
              <w:rPr>
                <w:bCs/>
              </w:rPr>
              <w:t>Rs. 27</w:t>
            </w:r>
            <w:r w:rsidRPr="00C60AD1">
              <w:rPr>
                <w:bCs/>
              </w:rPr>
              <w:t>5.00 / kW / month</w:t>
            </w:r>
          </w:p>
        </w:tc>
      </w:tr>
      <w:tr w:rsidR="006349D7" w:rsidRPr="00C60AD1" w:rsidTr="00BB5A5A">
        <w:trPr>
          <w:trHeight w:val="291"/>
          <w:jc w:val="center"/>
        </w:trPr>
        <w:tc>
          <w:tcPr>
            <w:tcW w:w="3899" w:type="dxa"/>
          </w:tcPr>
          <w:p w:rsidR="006349D7" w:rsidRDefault="006349D7" w:rsidP="00BB5A5A">
            <w:pPr>
              <w:keepNext/>
              <w:spacing w:before="0" w:after="120" w:line="240" w:lineRule="auto"/>
              <w:jc w:val="left"/>
              <w:rPr>
                <w:rFonts w:cs="Arial"/>
                <w:bCs/>
              </w:rPr>
            </w:pPr>
            <w:r w:rsidRPr="00865EE5">
              <w:rPr>
                <w:rFonts w:cs="Arial"/>
                <w:bCs/>
              </w:rPr>
              <w:t>Above 4 kW</w:t>
            </w:r>
          </w:p>
        </w:tc>
        <w:tc>
          <w:tcPr>
            <w:tcW w:w="2717" w:type="dxa"/>
          </w:tcPr>
          <w:p w:rsidR="006349D7" w:rsidRPr="00C60AD1" w:rsidRDefault="006349D7" w:rsidP="00BB5A5A">
            <w:pPr>
              <w:keepNext/>
              <w:spacing w:before="0" w:after="120" w:line="240" w:lineRule="auto"/>
              <w:jc w:val="center"/>
              <w:rPr>
                <w:bCs/>
              </w:rPr>
            </w:pPr>
            <w:r>
              <w:rPr>
                <w:bCs/>
              </w:rPr>
              <w:t>Rs. 35</w:t>
            </w:r>
            <w:r w:rsidRPr="00C60AD1">
              <w:rPr>
                <w:bCs/>
              </w:rPr>
              <w:t>5.00 / kW / month</w:t>
            </w:r>
          </w:p>
        </w:tc>
      </w:tr>
    </w:tbl>
    <w:p w:rsidR="006349D7" w:rsidRDefault="006349D7" w:rsidP="006349D7">
      <w:pPr>
        <w:rPr>
          <w:b/>
          <w:i/>
          <w:sz w:val="22"/>
        </w:rPr>
      </w:pPr>
    </w:p>
    <w:tbl>
      <w:tblPr>
        <w:tblW w:w="6583"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2"/>
        <w:gridCol w:w="2701"/>
      </w:tblGrid>
      <w:tr w:rsidR="006349D7" w:rsidRPr="00C60AD1" w:rsidTr="00BB5A5A">
        <w:trPr>
          <w:trHeight w:val="278"/>
          <w:tblHeader/>
          <w:jc w:val="center"/>
        </w:trPr>
        <w:tc>
          <w:tcPr>
            <w:tcW w:w="3882" w:type="dxa"/>
            <w:shd w:val="clear" w:color="auto" w:fill="DBE5F1" w:themeFill="accent1" w:themeFillTint="33"/>
          </w:tcPr>
          <w:p w:rsidR="006349D7" w:rsidRPr="00C60AD1" w:rsidRDefault="006349D7" w:rsidP="00BB5A5A">
            <w:pPr>
              <w:spacing w:before="0" w:line="240" w:lineRule="auto"/>
              <w:ind w:left="360" w:right="-45"/>
              <w:jc w:val="center"/>
              <w:rPr>
                <w:b/>
              </w:rPr>
            </w:pPr>
            <w:r w:rsidRPr="00C60AD1">
              <w:rPr>
                <w:b/>
              </w:rPr>
              <w:t xml:space="preserve">Consumption Range </w:t>
            </w:r>
          </w:p>
        </w:tc>
        <w:tc>
          <w:tcPr>
            <w:tcW w:w="2701"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sidRPr="00C60AD1">
              <w:rPr>
                <w:rFonts w:cs="Arial"/>
                <w:b/>
                <w:bCs/>
              </w:rPr>
              <w:t>Energy Charge</w:t>
            </w:r>
          </w:p>
        </w:tc>
      </w:tr>
      <w:tr w:rsidR="006349D7" w:rsidRPr="00C60AD1" w:rsidTr="00BB5A5A">
        <w:trPr>
          <w:trHeight w:val="394"/>
          <w:jc w:val="center"/>
        </w:trPr>
        <w:tc>
          <w:tcPr>
            <w:tcW w:w="3882" w:type="dxa"/>
          </w:tcPr>
          <w:p w:rsidR="006349D7" w:rsidRPr="00136ADD" w:rsidRDefault="006349D7" w:rsidP="00BB5A5A">
            <w:pPr>
              <w:keepNext/>
              <w:spacing w:before="0" w:after="120" w:line="240" w:lineRule="auto"/>
              <w:jc w:val="left"/>
              <w:rPr>
                <w:rFonts w:cs="Arial"/>
                <w:bCs/>
                <w:sz w:val="18"/>
                <w:szCs w:val="18"/>
              </w:rPr>
            </w:pPr>
            <w:r>
              <w:rPr>
                <w:rFonts w:cs="Arial"/>
                <w:bCs/>
              </w:rPr>
              <w:t>For first 300 kWh / month</w:t>
            </w:r>
          </w:p>
        </w:tc>
        <w:tc>
          <w:tcPr>
            <w:tcW w:w="2701" w:type="dxa"/>
            <w:vAlign w:val="center"/>
          </w:tcPr>
          <w:p w:rsidR="006349D7" w:rsidRDefault="006349D7" w:rsidP="00BB5A5A">
            <w:pPr>
              <w:keepNext/>
              <w:spacing w:before="0" w:after="120" w:line="240" w:lineRule="auto"/>
              <w:jc w:val="center"/>
              <w:rPr>
                <w:rFonts w:cs="Arial"/>
                <w:b/>
                <w:bCs/>
                <w:caps/>
                <w:kern w:val="32"/>
                <w:sz w:val="18"/>
                <w:szCs w:val="32"/>
              </w:rPr>
            </w:pPr>
            <w:r w:rsidRPr="00C60AD1">
              <w:rPr>
                <w:rFonts w:cs="Arial"/>
                <w:bCs/>
              </w:rPr>
              <w:t>Rs. 6.70</w:t>
            </w:r>
            <w:r>
              <w:rPr>
                <w:rFonts w:cs="Arial"/>
                <w:bCs/>
              </w:rPr>
              <w:t xml:space="preserve"> </w:t>
            </w:r>
            <w:r w:rsidRPr="00C60AD1">
              <w:rPr>
                <w:rFonts w:cs="Arial"/>
                <w:bCs/>
              </w:rPr>
              <w:t>/</w:t>
            </w:r>
            <w:r>
              <w:rPr>
                <w:rFonts w:cs="Arial"/>
                <w:bCs/>
              </w:rPr>
              <w:t xml:space="preserve"> </w:t>
            </w:r>
            <w:r w:rsidRPr="00C60AD1">
              <w:rPr>
                <w:rFonts w:cs="Arial"/>
                <w:bCs/>
              </w:rPr>
              <w:t xml:space="preserve"> kWh</w:t>
            </w:r>
          </w:p>
        </w:tc>
      </w:tr>
      <w:tr w:rsidR="006349D7" w:rsidRPr="00C60AD1" w:rsidTr="00BB5A5A">
        <w:trPr>
          <w:trHeight w:val="387"/>
          <w:jc w:val="center"/>
        </w:trPr>
        <w:tc>
          <w:tcPr>
            <w:tcW w:w="3882" w:type="dxa"/>
          </w:tcPr>
          <w:p w:rsidR="006349D7" w:rsidRPr="00136ADD" w:rsidRDefault="006349D7" w:rsidP="00BB5A5A">
            <w:pPr>
              <w:keepNext/>
              <w:spacing w:before="0" w:after="120" w:line="240" w:lineRule="auto"/>
              <w:jc w:val="left"/>
              <w:rPr>
                <w:rFonts w:cs="Arial"/>
                <w:bCs/>
                <w:sz w:val="18"/>
                <w:szCs w:val="18"/>
              </w:rPr>
            </w:pPr>
            <w:r>
              <w:rPr>
                <w:rFonts w:cs="Arial"/>
                <w:bCs/>
              </w:rPr>
              <w:t>For next 301 – 1000 kWh / month</w:t>
            </w:r>
          </w:p>
        </w:tc>
        <w:tc>
          <w:tcPr>
            <w:tcW w:w="2701" w:type="dxa"/>
            <w:vAlign w:val="center"/>
          </w:tcPr>
          <w:p w:rsidR="006349D7" w:rsidRDefault="006349D7"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75 </w:t>
            </w:r>
            <w:r w:rsidRPr="00C60AD1">
              <w:rPr>
                <w:rFonts w:cs="Arial"/>
                <w:bCs/>
                <w:szCs w:val="22"/>
              </w:rPr>
              <w:t>/ kWh</w:t>
            </w:r>
          </w:p>
        </w:tc>
      </w:tr>
      <w:tr w:rsidR="006349D7" w:rsidRPr="00C60AD1" w:rsidTr="00BB5A5A">
        <w:trPr>
          <w:trHeight w:val="725"/>
          <w:jc w:val="center"/>
        </w:trPr>
        <w:tc>
          <w:tcPr>
            <w:tcW w:w="3882" w:type="dxa"/>
          </w:tcPr>
          <w:p w:rsidR="006349D7" w:rsidRPr="00136ADD" w:rsidRDefault="006349D7" w:rsidP="00BB5A5A">
            <w:pPr>
              <w:keepNext/>
              <w:spacing w:before="0" w:after="120" w:line="240" w:lineRule="auto"/>
              <w:jc w:val="left"/>
              <w:rPr>
                <w:rFonts w:cs="Arial"/>
                <w:bCs/>
                <w:sz w:val="18"/>
                <w:szCs w:val="18"/>
              </w:rPr>
            </w:pPr>
            <w:r>
              <w:rPr>
                <w:rFonts w:cs="Arial"/>
                <w:bCs/>
              </w:rPr>
              <w:t xml:space="preserve">For </w:t>
            </w:r>
            <w:r w:rsidRPr="00D9618C">
              <w:rPr>
                <w:rFonts w:cs="Arial"/>
                <w:bCs/>
              </w:rPr>
              <w:t>a</w:t>
            </w:r>
            <w:r>
              <w:rPr>
                <w:rFonts w:cs="Arial"/>
                <w:bCs/>
              </w:rPr>
              <w:t>bove 1000 kWh / month (Starting from 1001</w:t>
            </w:r>
            <w:r>
              <w:rPr>
                <w:rFonts w:cs="Arial"/>
                <w:bCs/>
                <w:color w:val="000000"/>
                <w:vertAlign w:val="superscript"/>
              </w:rPr>
              <w:t>st</w:t>
            </w:r>
            <w:r>
              <w:rPr>
                <w:rFonts w:cs="Arial"/>
                <w:bCs/>
                <w:color w:val="000000"/>
              </w:rPr>
              <w:t xml:space="preserve"> </w:t>
            </w:r>
            <w:r>
              <w:rPr>
                <w:rFonts w:cs="Arial"/>
                <w:bCs/>
              </w:rPr>
              <w:t>unit)</w:t>
            </w:r>
          </w:p>
        </w:tc>
        <w:tc>
          <w:tcPr>
            <w:tcW w:w="2701" w:type="dxa"/>
            <w:vAlign w:val="center"/>
          </w:tcPr>
          <w:p w:rsidR="006349D7" w:rsidRDefault="006349D7" w:rsidP="00BB5A5A">
            <w:pPr>
              <w:keepNext/>
              <w:spacing w:before="0" w:after="120" w:line="240" w:lineRule="auto"/>
              <w:jc w:val="center"/>
              <w:rPr>
                <w:rFonts w:cs="Arial"/>
                <w:bCs/>
                <w:sz w:val="18"/>
                <w:szCs w:val="18"/>
              </w:rPr>
            </w:pPr>
            <w:r w:rsidRPr="00C60AD1">
              <w:rPr>
                <w:rFonts w:cs="Arial"/>
                <w:bCs/>
                <w:szCs w:val="22"/>
              </w:rPr>
              <w:t>Rs. 7.</w:t>
            </w:r>
            <w:r>
              <w:rPr>
                <w:rFonts w:cs="Arial"/>
                <w:bCs/>
                <w:szCs w:val="22"/>
              </w:rPr>
              <w:t xml:space="preserve">95 </w:t>
            </w:r>
            <w:r w:rsidRPr="00C60AD1">
              <w:rPr>
                <w:rFonts w:cs="Arial"/>
                <w:bCs/>
                <w:szCs w:val="22"/>
              </w:rPr>
              <w:t>/</w:t>
            </w:r>
            <w:r>
              <w:rPr>
                <w:rFonts w:cs="Arial"/>
                <w:bCs/>
                <w:szCs w:val="22"/>
              </w:rPr>
              <w:t xml:space="preserve"> </w:t>
            </w:r>
            <w:r w:rsidRPr="00C60AD1">
              <w:rPr>
                <w:rFonts w:cs="Arial"/>
                <w:bCs/>
                <w:szCs w:val="22"/>
              </w:rPr>
              <w:t xml:space="preserve"> kWh</w:t>
            </w:r>
          </w:p>
        </w:tc>
      </w:tr>
    </w:tbl>
    <w:p w:rsidR="006349D7" w:rsidRDefault="006349D7" w:rsidP="006349D7">
      <w:pPr>
        <w:spacing w:before="0"/>
        <w:rPr>
          <w:b/>
          <w:i/>
          <w:sz w:val="22"/>
        </w:rPr>
      </w:pPr>
    </w:p>
    <w:p w:rsidR="006349D7" w:rsidRDefault="006349D7" w:rsidP="006349D7">
      <w:pPr>
        <w:ind w:left="450"/>
        <w:rPr>
          <w:rFonts w:cs="Arial"/>
          <w:b/>
          <w:bCs/>
          <w:i/>
        </w:rPr>
      </w:pPr>
      <w:r>
        <w:rPr>
          <w:b/>
          <w:i/>
          <w:sz w:val="22"/>
        </w:rPr>
        <w:t>Note:</w:t>
      </w:r>
      <w:r>
        <w:rPr>
          <w:i/>
          <w:sz w:val="22"/>
        </w:rPr>
        <w:t xml:space="preserve"> Minimum charge </w:t>
      </w:r>
      <w:r w:rsidRPr="00D9618C">
        <w:rPr>
          <w:i/>
          <w:sz w:val="22"/>
        </w:rPr>
        <w:t>(as defined under C</w:t>
      </w:r>
      <w:r>
        <w:rPr>
          <w:i/>
          <w:sz w:val="22"/>
        </w:rPr>
        <w:t xml:space="preserve">lause 20 </w:t>
      </w:r>
      <w:r w:rsidRPr="00D9618C">
        <w:rPr>
          <w:i/>
          <w:sz w:val="22"/>
        </w:rPr>
        <w:t>of General Provisions</w:t>
      </w:r>
      <w:r>
        <w:rPr>
          <w:i/>
          <w:sz w:val="22"/>
        </w:rPr>
        <w:t>) payable by a consumer under the category “(c) In all other cases“shall be Rs. 500 / kW / month (From April to September)</w:t>
      </w:r>
      <w:r w:rsidRPr="000873E5">
        <w:rPr>
          <w:i/>
          <w:sz w:val="22"/>
        </w:rPr>
        <w:t xml:space="preserve"> and </w:t>
      </w:r>
      <w:r w:rsidRPr="00201853">
        <w:rPr>
          <w:i/>
          <w:sz w:val="22"/>
        </w:rPr>
        <w:t>Rs. 375 / kW / month</w:t>
      </w:r>
      <w:r w:rsidRPr="000873E5">
        <w:rPr>
          <w:i/>
          <w:sz w:val="22"/>
        </w:rPr>
        <w:t xml:space="preserve"> (From October to March).</w:t>
      </w:r>
    </w:p>
    <w:p w:rsidR="006349D7" w:rsidRDefault="006349D7" w:rsidP="006349D7">
      <w:pPr>
        <w:spacing w:before="0" w:line="240" w:lineRule="auto"/>
        <w:jc w:val="left"/>
        <w:rPr>
          <w:rFonts w:cs="Arial"/>
          <w:b/>
          <w:bCs/>
        </w:rPr>
      </w:pPr>
    </w:p>
    <w:p w:rsidR="006349D7" w:rsidRPr="00C60AD1" w:rsidRDefault="006349D7" w:rsidP="006349D7">
      <w:pPr>
        <w:ind w:firstLine="450"/>
        <w:rPr>
          <w:rFonts w:cs="Arial"/>
          <w:b/>
          <w:bCs/>
        </w:rPr>
      </w:pPr>
      <w:r w:rsidRPr="00C60AD1">
        <w:rPr>
          <w:rFonts w:cs="Arial"/>
          <w:b/>
          <w:bCs/>
        </w:rPr>
        <w:lastRenderedPageBreak/>
        <w:t xml:space="preserve">Note: </w:t>
      </w:r>
    </w:p>
    <w:p w:rsidR="006349D7" w:rsidRPr="00C60AD1" w:rsidRDefault="006349D7" w:rsidP="00EC6AAC">
      <w:pPr>
        <w:pStyle w:val="ListParagraph"/>
        <w:numPr>
          <w:ilvl w:val="0"/>
          <w:numId w:val="58"/>
        </w:numPr>
        <w:rPr>
          <w:rFonts w:cs="Arial"/>
          <w:bCs/>
        </w:rPr>
      </w:pPr>
      <w:r w:rsidRPr="00C60AD1">
        <w:rPr>
          <w:rFonts w:cs="Arial"/>
          <w:bCs/>
        </w:rPr>
        <w:t xml:space="preserve">For all consumers under this category the maximum demand during the month recorded by the meter has to be essentially indicated in their monthly bills. However, this condition would be mandatory only in case meter reading is done by the Licensee. Accordingly, if the bill is being prepared on the basis of reading being submitted by the consumer then the consumer would not be liable to furnish maximum demand during the month and his bill would not be held back for lack of data on maximum demand. </w:t>
      </w:r>
    </w:p>
    <w:p w:rsidR="006349D7" w:rsidRPr="00C60AD1" w:rsidRDefault="006349D7" w:rsidP="006349D7">
      <w:pPr>
        <w:pStyle w:val="ListParagraph"/>
        <w:ind w:left="1080"/>
        <w:rPr>
          <w:rFonts w:cs="Arial"/>
          <w:bCs/>
        </w:rPr>
      </w:pPr>
    </w:p>
    <w:p w:rsidR="006349D7" w:rsidRPr="00C60AD1" w:rsidRDefault="006349D7" w:rsidP="006349D7">
      <w:pPr>
        <w:tabs>
          <w:tab w:val="left" w:pos="360"/>
          <w:tab w:val="left" w:pos="720"/>
        </w:tabs>
        <w:spacing w:before="100"/>
        <w:ind w:left="720" w:right="29" w:hanging="720"/>
        <w:rPr>
          <w:b/>
        </w:rPr>
      </w:pPr>
      <w:r w:rsidRPr="00C60AD1">
        <w:rPr>
          <w:rFonts w:cs="Arial"/>
          <w:bCs/>
        </w:rPr>
        <w:t xml:space="preserve">  </w:t>
      </w:r>
      <w:r w:rsidRPr="00C60AD1">
        <w:rPr>
          <w:b/>
        </w:rPr>
        <w:t>4.</w:t>
      </w:r>
      <w:r w:rsidRPr="00C60AD1">
        <w:rPr>
          <w:b/>
        </w:rPr>
        <w:tab/>
      </w:r>
      <w:r w:rsidRPr="00C60AD1">
        <w:rPr>
          <w:b/>
        </w:rPr>
        <w:tab/>
        <w:t>REBATE TO POWER LOOMS:</w:t>
      </w:r>
    </w:p>
    <w:p w:rsidR="006349D7" w:rsidRPr="00C60AD1" w:rsidRDefault="006349D7" w:rsidP="006349D7">
      <w:pPr>
        <w:ind w:left="720"/>
        <w:rPr>
          <w:b/>
          <w:bCs/>
        </w:rPr>
      </w:pPr>
      <w:r w:rsidRPr="00C60AD1">
        <w:t xml:space="preserve">Rebate to Power Loom consumers shall be applicable in accordance with the Government order dated June 14, 2006 and the Commission’s order dated July 11, 2006 subject to adherence of provision of advance subsidy.  </w:t>
      </w:r>
    </w:p>
    <w:p w:rsidR="006349D7" w:rsidRPr="00C60AD1" w:rsidRDefault="006349D7" w:rsidP="006349D7">
      <w:pPr>
        <w:jc w:val="center"/>
        <w:rPr>
          <w:b/>
          <w:u w:val="single"/>
        </w:rPr>
      </w:pPr>
      <w:r w:rsidRPr="00C60AD1">
        <w:br w:type="page"/>
      </w:r>
      <w:r w:rsidRPr="00C60AD1">
        <w:rPr>
          <w:b/>
          <w:u w:val="single"/>
        </w:rPr>
        <w:lastRenderedPageBreak/>
        <w:t>RATE SCHEDULE LMV -3:</w:t>
      </w:r>
    </w:p>
    <w:p w:rsidR="006349D7" w:rsidRPr="00C60AD1" w:rsidRDefault="006349D7" w:rsidP="006349D7">
      <w:pPr>
        <w:jc w:val="center"/>
      </w:pPr>
    </w:p>
    <w:p w:rsidR="006349D7" w:rsidRPr="00C60AD1" w:rsidRDefault="006349D7" w:rsidP="006349D7">
      <w:pPr>
        <w:jc w:val="center"/>
        <w:rPr>
          <w:b/>
        </w:rPr>
      </w:pPr>
      <w:r w:rsidRPr="00C60AD1">
        <w:rPr>
          <w:b/>
        </w:rPr>
        <w:t>PUBLIC LAMPS:</w:t>
      </w:r>
    </w:p>
    <w:p w:rsidR="006349D7" w:rsidRPr="00C60AD1" w:rsidRDefault="006349D7" w:rsidP="006349D7">
      <w:pPr>
        <w:jc w:val="center"/>
        <w:rPr>
          <w:b/>
        </w:rPr>
      </w:pPr>
    </w:p>
    <w:p w:rsidR="006349D7" w:rsidRPr="00C60AD1" w:rsidRDefault="006349D7" w:rsidP="006349D7">
      <w:pPr>
        <w:rPr>
          <w:b/>
        </w:rPr>
      </w:pPr>
      <w:r w:rsidRPr="00C60AD1">
        <w:rPr>
          <w:b/>
        </w:rPr>
        <w:t>1.</w:t>
      </w:r>
      <w:r w:rsidRPr="00C60AD1">
        <w:rPr>
          <w:b/>
        </w:rPr>
        <w:tab/>
        <w:t>APPLICABILITY:</w:t>
      </w:r>
    </w:p>
    <w:p w:rsidR="006349D7" w:rsidRPr="00C60AD1" w:rsidRDefault="006349D7" w:rsidP="006349D7">
      <w:pPr>
        <w:spacing w:before="100" w:after="120"/>
        <w:ind w:left="720" w:right="29"/>
      </w:pPr>
      <w:r w:rsidRPr="00C60AD1">
        <w:t>This schedule shall apply to Public Lamps including Street Lighting System, Road Traffic Control Signals, Lighting of Public Parks, etc. The street lighting in Harijan Bastis and Rural Areas are also covered by this rate schedule.</w:t>
      </w:r>
    </w:p>
    <w:p w:rsidR="006349D7" w:rsidRPr="00C60AD1" w:rsidRDefault="006349D7" w:rsidP="006349D7">
      <w:pPr>
        <w:spacing w:before="100" w:after="120"/>
        <w:ind w:left="720" w:right="29"/>
      </w:pPr>
    </w:p>
    <w:p w:rsidR="006349D7" w:rsidRPr="00C60AD1" w:rsidRDefault="006349D7" w:rsidP="006349D7">
      <w:pPr>
        <w:ind w:left="720" w:hanging="720"/>
        <w:rPr>
          <w:b/>
        </w:rPr>
      </w:pPr>
      <w:r w:rsidRPr="00C60AD1">
        <w:rPr>
          <w:b/>
        </w:rPr>
        <w:t>2.</w:t>
      </w:r>
      <w:r w:rsidRPr="00C60AD1">
        <w:tab/>
      </w:r>
      <w:r w:rsidRPr="00C60AD1">
        <w:rPr>
          <w:b/>
        </w:rPr>
        <w:t>CHARACTER AND POINT OF SUPPLY:</w:t>
      </w:r>
    </w:p>
    <w:p w:rsidR="006349D7" w:rsidRPr="00C60AD1" w:rsidRDefault="006349D7" w:rsidP="006349D7">
      <w:pPr>
        <w:spacing w:line="240" w:lineRule="auto"/>
        <w:ind w:left="360" w:right="-58" w:firstLine="360"/>
        <w:rPr>
          <w:rFonts w:cs="Arial"/>
        </w:rPr>
      </w:pPr>
      <w:r w:rsidRPr="00C60AD1">
        <w:t>As per the applicable provisions of Electricity Supply Code.</w:t>
      </w:r>
    </w:p>
    <w:p w:rsidR="006349D7" w:rsidRPr="00C60AD1" w:rsidRDefault="006349D7" w:rsidP="006349D7">
      <w:pPr>
        <w:ind w:left="720" w:hanging="720"/>
        <w:rPr>
          <w:b/>
        </w:rPr>
      </w:pPr>
      <w:r w:rsidRPr="00C60AD1">
        <w:t xml:space="preserve">  </w:t>
      </w:r>
    </w:p>
    <w:p w:rsidR="006349D7" w:rsidRPr="00C60AD1" w:rsidRDefault="006349D7" w:rsidP="006349D7">
      <w:pPr>
        <w:rPr>
          <w:b/>
        </w:rPr>
      </w:pPr>
      <w:r w:rsidRPr="00C60AD1">
        <w:rPr>
          <w:b/>
        </w:rPr>
        <w:t>3.</w:t>
      </w:r>
      <w:r w:rsidRPr="00C60AD1">
        <w:tab/>
      </w:r>
      <w:r w:rsidRPr="00C60AD1">
        <w:rPr>
          <w:b/>
        </w:rPr>
        <w:t xml:space="preserve">RATE: </w:t>
      </w:r>
    </w:p>
    <w:p w:rsidR="006349D7" w:rsidRPr="00C60AD1" w:rsidRDefault="006349D7" w:rsidP="006349D7">
      <w:pPr>
        <w:ind w:left="720"/>
      </w:pPr>
      <w:r w:rsidRPr="00C60AD1">
        <w:t xml:space="preserve">Rate gives the fixed and energy charges (including the TOD rates as applicable to the hour of operation) at which the consumer shall be billed for his consumption during the billing period applicable to the category: </w:t>
      </w:r>
    </w:p>
    <w:p w:rsidR="006349D7" w:rsidRDefault="006349D7" w:rsidP="00EC6AAC">
      <w:pPr>
        <w:numPr>
          <w:ilvl w:val="0"/>
          <w:numId w:val="39"/>
        </w:numPr>
        <w:tabs>
          <w:tab w:val="clear" w:pos="720"/>
          <w:tab w:val="num" w:pos="1440"/>
        </w:tabs>
        <w:spacing w:after="120" w:line="288" w:lineRule="auto"/>
        <w:ind w:left="360" w:right="1440" w:firstLine="360"/>
        <w:rPr>
          <w:b/>
        </w:rPr>
      </w:pPr>
      <w:r w:rsidRPr="00C60AD1">
        <w:rPr>
          <w:b/>
        </w:rPr>
        <w:t>Un-metered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41"/>
        <w:gridCol w:w="1890"/>
        <w:gridCol w:w="2099"/>
        <w:gridCol w:w="1620"/>
      </w:tblGrid>
      <w:tr w:rsidR="006349D7" w:rsidRPr="00C60AD1" w:rsidTr="00BB5A5A">
        <w:tc>
          <w:tcPr>
            <w:tcW w:w="2941" w:type="dxa"/>
            <w:shd w:val="clear" w:color="auto" w:fill="DBE5F1" w:themeFill="accent1" w:themeFillTint="33"/>
          </w:tcPr>
          <w:p w:rsidR="006349D7" w:rsidRPr="00C60AD1" w:rsidRDefault="006349D7" w:rsidP="00BB5A5A">
            <w:pPr>
              <w:ind w:right="-116"/>
              <w:jc w:val="center"/>
              <w:rPr>
                <w:b/>
              </w:rPr>
            </w:pPr>
            <w:r w:rsidRPr="00C60AD1">
              <w:rPr>
                <w:b/>
              </w:rPr>
              <w:t>Description</w:t>
            </w:r>
          </w:p>
        </w:tc>
        <w:tc>
          <w:tcPr>
            <w:tcW w:w="1890" w:type="dxa"/>
            <w:shd w:val="clear" w:color="auto" w:fill="DBE5F1" w:themeFill="accent1" w:themeFillTint="33"/>
          </w:tcPr>
          <w:p w:rsidR="006349D7" w:rsidRPr="00C60AD1" w:rsidRDefault="006349D7" w:rsidP="00BB5A5A">
            <w:pPr>
              <w:jc w:val="center"/>
              <w:rPr>
                <w:b/>
              </w:rPr>
            </w:pPr>
            <w:r w:rsidRPr="00C60AD1">
              <w:rPr>
                <w:b/>
              </w:rPr>
              <w:t>Gram Panchayat</w:t>
            </w:r>
          </w:p>
        </w:tc>
        <w:tc>
          <w:tcPr>
            <w:tcW w:w="2099" w:type="dxa"/>
            <w:shd w:val="clear" w:color="auto" w:fill="DBE5F1" w:themeFill="accent1" w:themeFillTint="33"/>
          </w:tcPr>
          <w:p w:rsidR="006349D7" w:rsidRPr="00C60AD1" w:rsidRDefault="006349D7" w:rsidP="00BB5A5A">
            <w:pPr>
              <w:jc w:val="center"/>
              <w:rPr>
                <w:b/>
                <w:lang w:val="sv-SE"/>
              </w:rPr>
            </w:pPr>
            <w:r w:rsidRPr="00C60AD1">
              <w:rPr>
                <w:b/>
                <w:lang w:val="sv-SE"/>
              </w:rPr>
              <w:t>Nagar Palika and Nagar Panchayat</w:t>
            </w:r>
          </w:p>
        </w:tc>
        <w:tc>
          <w:tcPr>
            <w:tcW w:w="1620" w:type="dxa"/>
            <w:shd w:val="clear" w:color="auto" w:fill="DBE5F1" w:themeFill="accent1" w:themeFillTint="33"/>
          </w:tcPr>
          <w:p w:rsidR="006349D7" w:rsidRPr="00C60AD1" w:rsidRDefault="006349D7" w:rsidP="00BB5A5A">
            <w:pPr>
              <w:ind w:right="-122"/>
              <w:jc w:val="center"/>
              <w:rPr>
                <w:b/>
              </w:rPr>
            </w:pPr>
            <w:r w:rsidRPr="00C60AD1">
              <w:rPr>
                <w:b/>
              </w:rPr>
              <w:t>Nagar Nigam</w:t>
            </w:r>
          </w:p>
        </w:tc>
      </w:tr>
      <w:tr w:rsidR="006349D7" w:rsidRPr="00C60AD1" w:rsidTr="00BB5A5A">
        <w:tc>
          <w:tcPr>
            <w:tcW w:w="2941" w:type="dxa"/>
          </w:tcPr>
          <w:p w:rsidR="006349D7" w:rsidRPr="00C60AD1" w:rsidRDefault="006349D7" w:rsidP="00BB5A5A">
            <w:pPr>
              <w:ind w:right="-4"/>
            </w:pPr>
            <w:r w:rsidRPr="00C60AD1">
              <w:t>To be billed on the basis of total connected load calculated as the summation of individual points</w:t>
            </w:r>
          </w:p>
        </w:tc>
        <w:tc>
          <w:tcPr>
            <w:tcW w:w="1890" w:type="dxa"/>
          </w:tcPr>
          <w:p w:rsidR="006349D7" w:rsidRPr="00C60AD1" w:rsidRDefault="006349D7" w:rsidP="00BB5A5A">
            <w:pPr>
              <w:pStyle w:val="BodyText"/>
              <w:spacing w:line="288" w:lineRule="auto"/>
            </w:pPr>
            <w:r w:rsidRPr="00C60AD1">
              <w:t xml:space="preserve">Rs. 1700 per kW or part thereof per month </w:t>
            </w:r>
          </w:p>
        </w:tc>
        <w:tc>
          <w:tcPr>
            <w:tcW w:w="2099" w:type="dxa"/>
          </w:tcPr>
          <w:p w:rsidR="006349D7" w:rsidRDefault="006349D7" w:rsidP="00BB5A5A">
            <w:pPr>
              <w:spacing w:after="120" w:line="288" w:lineRule="auto"/>
            </w:pPr>
            <w:r w:rsidRPr="00C60AD1">
              <w:t>Rs. 2</w:t>
            </w:r>
            <w:r>
              <w:t>6</w:t>
            </w:r>
            <w:r w:rsidRPr="00C60AD1">
              <w:t>00 per kW or part thereof per month</w:t>
            </w:r>
          </w:p>
        </w:tc>
        <w:tc>
          <w:tcPr>
            <w:tcW w:w="1620" w:type="dxa"/>
          </w:tcPr>
          <w:p w:rsidR="006349D7" w:rsidRPr="00C60AD1" w:rsidRDefault="006349D7" w:rsidP="00BB5A5A">
            <w:pPr>
              <w:pStyle w:val="BodyText"/>
              <w:spacing w:line="288" w:lineRule="auto"/>
            </w:pPr>
            <w:r w:rsidRPr="00C60AD1">
              <w:t>Rs. 3</w:t>
            </w:r>
            <w:r>
              <w:t>5</w:t>
            </w:r>
            <w:r w:rsidRPr="00C60AD1">
              <w:t>00 per kW or part thereof per month</w:t>
            </w:r>
          </w:p>
        </w:tc>
      </w:tr>
    </w:tbl>
    <w:p w:rsidR="006349D7" w:rsidRDefault="006349D7" w:rsidP="006349D7">
      <w:pPr>
        <w:spacing w:line="240" w:lineRule="auto"/>
        <w:jc w:val="left"/>
        <w:rPr>
          <w:b/>
        </w:rPr>
      </w:pPr>
      <w:r w:rsidRPr="00C60AD1">
        <w:rPr>
          <w:b/>
        </w:rPr>
        <w:br w:type="page"/>
      </w:r>
    </w:p>
    <w:p w:rsidR="006349D7" w:rsidRDefault="006349D7" w:rsidP="00EC6AAC">
      <w:pPr>
        <w:numPr>
          <w:ilvl w:val="0"/>
          <w:numId w:val="39"/>
        </w:numPr>
        <w:tabs>
          <w:tab w:val="clear" w:pos="720"/>
          <w:tab w:val="num" w:pos="1440"/>
        </w:tabs>
        <w:spacing w:before="240" w:after="120" w:line="288" w:lineRule="auto"/>
        <w:ind w:left="446" w:right="1440" w:firstLine="274"/>
        <w:rPr>
          <w:b/>
        </w:rPr>
      </w:pPr>
      <w:r w:rsidRPr="00C60AD1">
        <w:rPr>
          <w:b/>
        </w:rPr>
        <w:lastRenderedPageBreak/>
        <w:t>Metered Supply:</w:t>
      </w:r>
    </w:p>
    <w:tbl>
      <w:tblPr>
        <w:tblW w:w="8550" w:type="dxa"/>
        <w:tblInd w:w="8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260"/>
        <w:gridCol w:w="1170"/>
        <w:gridCol w:w="1170"/>
        <w:gridCol w:w="1260"/>
        <w:gridCol w:w="1260"/>
        <w:gridCol w:w="1170"/>
        <w:gridCol w:w="1260"/>
      </w:tblGrid>
      <w:tr w:rsidR="006349D7" w:rsidRPr="00C60AD1" w:rsidTr="00BB5A5A">
        <w:trPr>
          <w:tblHeader/>
        </w:trPr>
        <w:tc>
          <w:tcPr>
            <w:tcW w:w="1260" w:type="dxa"/>
            <w:tcBorders>
              <w:bottom w:val="single" w:sz="4" w:space="0" w:color="auto"/>
            </w:tcBorders>
            <w:shd w:val="clear" w:color="auto" w:fill="DBE5F1" w:themeFill="accent1" w:themeFillTint="33"/>
          </w:tcPr>
          <w:p w:rsidR="006349D7" w:rsidRPr="00C60AD1" w:rsidRDefault="006349D7" w:rsidP="00BB5A5A">
            <w:pPr>
              <w:ind w:left="-108" w:right="-116"/>
              <w:jc w:val="center"/>
              <w:rPr>
                <w:b/>
              </w:rPr>
            </w:pPr>
            <w:r w:rsidRPr="00C60AD1">
              <w:rPr>
                <w:b/>
              </w:rPr>
              <w:t>Description</w:t>
            </w:r>
          </w:p>
        </w:tc>
        <w:tc>
          <w:tcPr>
            <w:tcW w:w="2340" w:type="dxa"/>
            <w:gridSpan w:val="2"/>
            <w:shd w:val="clear" w:color="auto" w:fill="DBE5F1" w:themeFill="accent1" w:themeFillTint="33"/>
          </w:tcPr>
          <w:p w:rsidR="006349D7" w:rsidRPr="00C60AD1" w:rsidRDefault="006349D7" w:rsidP="00BB5A5A">
            <w:pPr>
              <w:jc w:val="center"/>
              <w:rPr>
                <w:b/>
              </w:rPr>
            </w:pPr>
            <w:r w:rsidRPr="00C60AD1">
              <w:rPr>
                <w:b/>
              </w:rPr>
              <w:t>Gram Panchayat</w:t>
            </w:r>
          </w:p>
        </w:tc>
        <w:tc>
          <w:tcPr>
            <w:tcW w:w="2520" w:type="dxa"/>
            <w:gridSpan w:val="2"/>
            <w:shd w:val="clear" w:color="auto" w:fill="DBE5F1" w:themeFill="accent1" w:themeFillTint="33"/>
          </w:tcPr>
          <w:p w:rsidR="006349D7" w:rsidRPr="00C60AD1" w:rsidRDefault="006349D7" w:rsidP="00BB5A5A">
            <w:pPr>
              <w:jc w:val="center"/>
              <w:rPr>
                <w:b/>
                <w:lang w:val="sv-SE"/>
              </w:rPr>
            </w:pPr>
            <w:r w:rsidRPr="00C60AD1">
              <w:rPr>
                <w:b/>
                <w:lang w:val="sv-SE"/>
              </w:rPr>
              <w:t>Nagar Palika and Nagar Panchayat</w:t>
            </w:r>
          </w:p>
        </w:tc>
        <w:tc>
          <w:tcPr>
            <w:tcW w:w="2430" w:type="dxa"/>
            <w:gridSpan w:val="2"/>
            <w:shd w:val="clear" w:color="auto" w:fill="DBE5F1" w:themeFill="accent1" w:themeFillTint="33"/>
          </w:tcPr>
          <w:p w:rsidR="006349D7" w:rsidRPr="00C60AD1" w:rsidRDefault="006349D7" w:rsidP="00BB5A5A">
            <w:pPr>
              <w:ind w:right="-122"/>
              <w:jc w:val="center"/>
              <w:rPr>
                <w:b/>
              </w:rPr>
            </w:pPr>
            <w:r w:rsidRPr="00C60AD1">
              <w:rPr>
                <w:b/>
              </w:rPr>
              <w:t>Nagar Nigam</w:t>
            </w:r>
          </w:p>
        </w:tc>
      </w:tr>
      <w:tr w:rsidR="006349D7" w:rsidRPr="00C60AD1" w:rsidTr="00BB5A5A">
        <w:trPr>
          <w:trHeight w:val="462"/>
        </w:trPr>
        <w:tc>
          <w:tcPr>
            <w:tcW w:w="1260" w:type="dxa"/>
            <w:vMerge w:val="restart"/>
            <w:tcBorders>
              <w:top w:val="single" w:sz="4" w:space="0" w:color="auto"/>
            </w:tcBorders>
          </w:tcPr>
          <w:p w:rsidR="006349D7" w:rsidRPr="00C60AD1" w:rsidRDefault="006349D7" w:rsidP="00BB5A5A">
            <w:pPr>
              <w:ind w:right="-4"/>
            </w:pPr>
            <w:r w:rsidRPr="00C60AD1">
              <w:t>All loads</w:t>
            </w:r>
          </w:p>
        </w:tc>
        <w:tc>
          <w:tcPr>
            <w:tcW w:w="1170" w:type="dxa"/>
            <w:tcBorders>
              <w:bottom w:val="single" w:sz="4" w:space="0" w:color="auto"/>
              <w:right w:val="single" w:sz="4" w:space="0" w:color="auto"/>
            </w:tcBorders>
          </w:tcPr>
          <w:p w:rsidR="006349D7" w:rsidRPr="00C60AD1" w:rsidRDefault="006349D7" w:rsidP="00BB5A5A">
            <w:pPr>
              <w:pStyle w:val="BodyText"/>
              <w:spacing w:line="288" w:lineRule="auto"/>
            </w:pPr>
            <w:r w:rsidRPr="00C60AD1">
              <w:t>Fixed Charges</w:t>
            </w:r>
          </w:p>
        </w:tc>
        <w:tc>
          <w:tcPr>
            <w:tcW w:w="1170" w:type="dxa"/>
            <w:tcBorders>
              <w:left w:val="single" w:sz="4" w:space="0" w:color="auto"/>
              <w:bottom w:val="single" w:sz="4" w:space="0" w:color="auto"/>
            </w:tcBorders>
          </w:tcPr>
          <w:p w:rsidR="006349D7" w:rsidRPr="00C60AD1" w:rsidRDefault="006349D7" w:rsidP="00BB5A5A">
            <w:pPr>
              <w:pStyle w:val="BodyText"/>
              <w:spacing w:line="288" w:lineRule="auto"/>
            </w:pPr>
            <w:r w:rsidRPr="00C60AD1">
              <w:t>Energy Charges</w:t>
            </w:r>
          </w:p>
        </w:tc>
        <w:tc>
          <w:tcPr>
            <w:tcW w:w="1260" w:type="dxa"/>
            <w:tcBorders>
              <w:bottom w:val="single" w:sz="4" w:space="0" w:color="auto"/>
              <w:right w:val="single" w:sz="4" w:space="0" w:color="auto"/>
            </w:tcBorders>
          </w:tcPr>
          <w:p w:rsidR="006349D7" w:rsidRPr="00C60AD1" w:rsidRDefault="006349D7"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6349D7" w:rsidRPr="00C60AD1" w:rsidRDefault="006349D7" w:rsidP="00BB5A5A">
            <w:pPr>
              <w:pStyle w:val="BodyText"/>
              <w:spacing w:line="288" w:lineRule="auto"/>
            </w:pPr>
            <w:r w:rsidRPr="00C60AD1">
              <w:t>Energy Charges</w:t>
            </w:r>
          </w:p>
        </w:tc>
        <w:tc>
          <w:tcPr>
            <w:tcW w:w="1170" w:type="dxa"/>
            <w:tcBorders>
              <w:bottom w:val="single" w:sz="4" w:space="0" w:color="auto"/>
              <w:right w:val="single" w:sz="4" w:space="0" w:color="auto"/>
            </w:tcBorders>
          </w:tcPr>
          <w:p w:rsidR="006349D7" w:rsidRPr="00C60AD1" w:rsidRDefault="006349D7" w:rsidP="00BB5A5A">
            <w:pPr>
              <w:pStyle w:val="BodyText"/>
              <w:spacing w:line="288" w:lineRule="auto"/>
            </w:pPr>
            <w:r w:rsidRPr="00C60AD1">
              <w:t>Fixed Charges</w:t>
            </w:r>
          </w:p>
        </w:tc>
        <w:tc>
          <w:tcPr>
            <w:tcW w:w="1260" w:type="dxa"/>
            <w:tcBorders>
              <w:left w:val="single" w:sz="4" w:space="0" w:color="auto"/>
              <w:bottom w:val="single" w:sz="4" w:space="0" w:color="auto"/>
            </w:tcBorders>
          </w:tcPr>
          <w:p w:rsidR="006349D7" w:rsidRPr="00C60AD1" w:rsidRDefault="006349D7" w:rsidP="00BB5A5A">
            <w:pPr>
              <w:pStyle w:val="BodyText"/>
              <w:spacing w:line="288" w:lineRule="auto"/>
            </w:pPr>
            <w:r w:rsidRPr="00C60AD1">
              <w:t>Energy Charges</w:t>
            </w:r>
          </w:p>
        </w:tc>
      </w:tr>
      <w:tr w:rsidR="006349D7" w:rsidRPr="00C60AD1" w:rsidTr="00BB5A5A">
        <w:trPr>
          <w:trHeight w:val="570"/>
        </w:trPr>
        <w:tc>
          <w:tcPr>
            <w:tcW w:w="1260" w:type="dxa"/>
            <w:vMerge/>
          </w:tcPr>
          <w:p w:rsidR="006349D7" w:rsidRPr="00C60AD1" w:rsidRDefault="006349D7" w:rsidP="00BB5A5A">
            <w:pPr>
              <w:ind w:right="-4"/>
            </w:pPr>
          </w:p>
        </w:tc>
        <w:tc>
          <w:tcPr>
            <w:tcW w:w="1170" w:type="dxa"/>
            <w:tcBorders>
              <w:top w:val="single" w:sz="4" w:space="0" w:color="auto"/>
              <w:bottom w:val="single" w:sz="4" w:space="0" w:color="auto"/>
              <w:right w:val="single" w:sz="4" w:space="0" w:color="auto"/>
            </w:tcBorders>
          </w:tcPr>
          <w:p w:rsidR="006349D7" w:rsidRPr="00C60AD1" w:rsidRDefault="006349D7" w:rsidP="00BB5A5A">
            <w:pPr>
              <w:pStyle w:val="BodyText"/>
              <w:spacing w:line="288" w:lineRule="auto"/>
              <w:jc w:val="left"/>
            </w:pPr>
            <w:r w:rsidRPr="00C60AD1">
              <w:t>Rs. 120 / kW / month</w:t>
            </w:r>
          </w:p>
        </w:tc>
        <w:tc>
          <w:tcPr>
            <w:tcW w:w="1170" w:type="dxa"/>
            <w:tcBorders>
              <w:top w:val="single" w:sz="4" w:space="0" w:color="auto"/>
              <w:left w:val="single" w:sz="4" w:space="0" w:color="auto"/>
              <w:bottom w:val="single" w:sz="4" w:space="0" w:color="auto"/>
            </w:tcBorders>
          </w:tcPr>
          <w:p w:rsidR="006349D7" w:rsidRPr="00C60AD1" w:rsidRDefault="006349D7" w:rsidP="00BB5A5A">
            <w:pPr>
              <w:pStyle w:val="BodyText"/>
              <w:spacing w:line="288" w:lineRule="auto"/>
              <w:jc w:val="left"/>
            </w:pPr>
            <w:r w:rsidRPr="00C60AD1">
              <w:t>Rs.  5.75 / kWh</w:t>
            </w:r>
          </w:p>
        </w:tc>
        <w:tc>
          <w:tcPr>
            <w:tcW w:w="1260" w:type="dxa"/>
            <w:tcBorders>
              <w:top w:val="single" w:sz="4" w:space="0" w:color="auto"/>
              <w:bottom w:val="single" w:sz="4" w:space="0" w:color="auto"/>
              <w:right w:val="single" w:sz="4" w:space="0" w:color="auto"/>
            </w:tcBorders>
          </w:tcPr>
          <w:p w:rsidR="006349D7" w:rsidRPr="00C60AD1" w:rsidRDefault="006349D7" w:rsidP="00BB5A5A">
            <w:pPr>
              <w:pStyle w:val="BodyText"/>
              <w:spacing w:line="288" w:lineRule="auto"/>
              <w:jc w:val="left"/>
            </w:pPr>
            <w:r w:rsidRPr="00C60AD1">
              <w:t>Rs. 150 / kW / month</w:t>
            </w:r>
          </w:p>
        </w:tc>
        <w:tc>
          <w:tcPr>
            <w:tcW w:w="1260" w:type="dxa"/>
            <w:tcBorders>
              <w:top w:val="single" w:sz="4" w:space="0" w:color="auto"/>
              <w:left w:val="single" w:sz="4" w:space="0" w:color="auto"/>
              <w:bottom w:val="single" w:sz="4" w:space="0" w:color="auto"/>
            </w:tcBorders>
          </w:tcPr>
          <w:p w:rsidR="006349D7" w:rsidRPr="00C60AD1" w:rsidRDefault="006349D7" w:rsidP="00BB5A5A">
            <w:pPr>
              <w:pStyle w:val="BodyText"/>
              <w:spacing w:line="288" w:lineRule="auto"/>
              <w:jc w:val="left"/>
            </w:pPr>
            <w:r w:rsidRPr="00C60AD1">
              <w:t>Rs. 6.00  /</w:t>
            </w:r>
          </w:p>
          <w:p w:rsidR="006349D7" w:rsidRPr="00C60AD1" w:rsidRDefault="006349D7" w:rsidP="00BB5A5A">
            <w:pPr>
              <w:pStyle w:val="BodyText"/>
              <w:spacing w:line="288" w:lineRule="auto"/>
              <w:jc w:val="left"/>
            </w:pPr>
            <w:r w:rsidRPr="00C60AD1">
              <w:t>kWh</w:t>
            </w:r>
          </w:p>
        </w:tc>
        <w:tc>
          <w:tcPr>
            <w:tcW w:w="1170" w:type="dxa"/>
            <w:tcBorders>
              <w:top w:val="single" w:sz="4" w:space="0" w:color="auto"/>
              <w:bottom w:val="single" w:sz="4" w:space="0" w:color="auto"/>
              <w:right w:val="single" w:sz="4" w:space="0" w:color="auto"/>
            </w:tcBorders>
          </w:tcPr>
          <w:p w:rsidR="006349D7" w:rsidRPr="00C60AD1" w:rsidRDefault="006349D7" w:rsidP="00BB5A5A">
            <w:pPr>
              <w:pStyle w:val="BodyText"/>
              <w:spacing w:line="288" w:lineRule="auto"/>
              <w:jc w:val="left"/>
            </w:pPr>
            <w:r w:rsidRPr="00C60AD1">
              <w:t>Rs. 160 / kW / month</w:t>
            </w:r>
          </w:p>
        </w:tc>
        <w:tc>
          <w:tcPr>
            <w:tcW w:w="1260" w:type="dxa"/>
            <w:tcBorders>
              <w:top w:val="single" w:sz="4" w:space="0" w:color="auto"/>
              <w:left w:val="single" w:sz="4" w:space="0" w:color="auto"/>
              <w:bottom w:val="single" w:sz="4" w:space="0" w:color="auto"/>
            </w:tcBorders>
          </w:tcPr>
          <w:p w:rsidR="006349D7" w:rsidRPr="00C60AD1" w:rsidRDefault="006349D7" w:rsidP="00BB5A5A">
            <w:pPr>
              <w:pStyle w:val="BodyText"/>
              <w:spacing w:line="288" w:lineRule="auto"/>
              <w:jc w:val="left"/>
            </w:pPr>
            <w:r w:rsidRPr="00C60AD1">
              <w:t>Rs. 6.25 / kWh</w:t>
            </w:r>
          </w:p>
        </w:tc>
      </w:tr>
    </w:tbl>
    <w:p w:rsidR="006349D7" w:rsidRPr="00C60AD1" w:rsidRDefault="006349D7" w:rsidP="006349D7">
      <w:pPr>
        <w:tabs>
          <w:tab w:val="left" w:pos="360"/>
        </w:tabs>
        <w:spacing w:before="60" w:after="120"/>
        <w:ind w:right="29"/>
      </w:pPr>
      <w:r w:rsidRPr="00C60AD1">
        <w:rPr>
          <w:b/>
        </w:rPr>
        <w:tab/>
      </w:r>
      <w:r w:rsidRPr="00C60AD1">
        <w:t xml:space="preserve"> </w:t>
      </w:r>
    </w:p>
    <w:p w:rsidR="006349D7" w:rsidRPr="00C60AD1" w:rsidRDefault="006349D7" w:rsidP="006349D7">
      <w:pPr>
        <w:tabs>
          <w:tab w:val="left" w:pos="360"/>
        </w:tabs>
        <w:spacing w:before="60" w:after="120"/>
        <w:ind w:right="29"/>
        <w:jc w:val="center"/>
        <w:rPr>
          <w:b/>
        </w:rPr>
      </w:pPr>
      <w:r w:rsidRPr="00C60AD1">
        <w:rPr>
          <w:b/>
        </w:rPr>
        <w:t>TOD Rates applicable for the metered supply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6349D7" w:rsidRPr="00C60AD1" w:rsidTr="00BB5A5A">
        <w:trPr>
          <w:jc w:val="center"/>
        </w:trPr>
        <w:tc>
          <w:tcPr>
            <w:tcW w:w="2947" w:type="dxa"/>
          </w:tcPr>
          <w:p w:rsidR="006349D7" w:rsidRPr="00C60AD1" w:rsidRDefault="006349D7" w:rsidP="00BB5A5A">
            <w:pPr>
              <w:tabs>
                <w:tab w:val="left" w:pos="360"/>
              </w:tabs>
              <w:spacing w:before="60" w:after="120"/>
              <w:ind w:right="29"/>
            </w:pPr>
            <w:r w:rsidRPr="00C60AD1">
              <w:t>18:00 hrs – 06:00 hrs</w:t>
            </w:r>
          </w:p>
        </w:tc>
        <w:tc>
          <w:tcPr>
            <w:tcW w:w="2976" w:type="dxa"/>
          </w:tcPr>
          <w:p w:rsidR="006349D7" w:rsidRPr="00C60AD1" w:rsidRDefault="006349D7" w:rsidP="00BB5A5A">
            <w:pPr>
              <w:tabs>
                <w:tab w:val="left" w:pos="360"/>
              </w:tabs>
              <w:spacing w:before="60" w:after="120"/>
              <w:ind w:right="29"/>
            </w:pPr>
            <w:r w:rsidRPr="00C60AD1">
              <w:t xml:space="preserve">0% </w:t>
            </w:r>
          </w:p>
        </w:tc>
      </w:tr>
      <w:tr w:rsidR="006349D7" w:rsidRPr="00C60AD1" w:rsidTr="00BB5A5A">
        <w:trPr>
          <w:jc w:val="center"/>
        </w:trPr>
        <w:tc>
          <w:tcPr>
            <w:tcW w:w="2947" w:type="dxa"/>
          </w:tcPr>
          <w:p w:rsidR="006349D7" w:rsidRPr="00C60AD1" w:rsidRDefault="006349D7" w:rsidP="00BB5A5A">
            <w:pPr>
              <w:tabs>
                <w:tab w:val="left" w:pos="360"/>
              </w:tabs>
              <w:spacing w:before="60" w:after="120"/>
              <w:ind w:right="29"/>
            </w:pPr>
            <w:r w:rsidRPr="00C60AD1">
              <w:t>06:00 hrs – 18:00 hrs</w:t>
            </w:r>
          </w:p>
        </w:tc>
        <w:tc>
          <w:tcPr>
            <w:tcW w:w="2976" w:type="dxa"/>
          </w:tcPr>
          <w:p w:rsidR="006349D7" w:rsidRPr="00C60AD1" w:rsidRDefault="006349D7" w:rsidP="00BB5A5A">
            <w:pPr>
              <w:tabs>
                <w:tab w:val="left" w:pos="360"/>
              </w:tabs>
              <w:spacing w:before="60" w:after="120"/>
              <w:ind w:right="29"/>
            </w:pPr>
            <w:r w:rsidRPr="00C60AD1">
              <w:t xml:space="preserve">(+) 20% </w:t>
            </w:r>
          </w:p>
        </w:tc>
      </w:tr>
    </w:tbl>
    <w:p w:rsidR="006349D7" w:rsidRPr="00C60AD1" w:rsidRDefault="006349D7" w:rsidP="006349D7">
      <w:pPr>
        <w:tabs>
          <w:tab w:val="left" w:pos="360"/>
        </w:tabs>
        <w:spacing w:before="60" w:after="120"/>
        <w:ind w:right="29"/>
      </w:pPr>
    </w:p>
    <w:p w:rsidR="006349D7" w:rsidRPr="00C60AD1" w:rsidRDefault="006349D7" w:rsidP="006349D7">
      <w:pPr>
        <w:tabs>
          <w:tab w:val="left" w:pos="360"/>
        </w:tabs>
        <w:spacing w:before="60" w:after="120"/>
        <w:ind w:left="360" w:right="29" w:hanging="360"/>
        <w:rPr>
          <w:b/>
          <w:bCs/>
          <w:u w:val="single"/>
        </w:rPr>
      </w:pPr>
      <w:r w:rsidRPr="00C60AD1">
        <w:rPr>
          <w:b/>
        </w:rPr>
        <w:t>4.</w:t>
      </w:r>
      <w:r w:rsidRPr="00C60AD1">
        <w:rPr>
          <w:b/>
        </w:rPr>
        <w:tab/>
      </w:r>
      <w:r w:rsidRPr="00C60AD1">
        <w:t>For ‘Maintenance Charges’, ‘Provision of Lamps’ and ‘Verification of Load’ refer ANNEXURE</w:t>
      </w:r>
      <w:r>
        <w:t xml:space="preserve"> 11.2.1</w:t>
      </w:r>
      <w:r>
        <w:rPr>
          <w:szCs w:val="22"/>
        </w:rPr>
        <w:t>.</w:t>
      </w:r>
    </w:p>
    <w:p w:rsidR="006349D7" w:rsidRPr="00C60AD1" w:rsidRDefault="006349D7" w:rsidP="006349D7">
      <w:pPr>
        <w:tabs>
          <w:tab w:val="left" w:pos="8280"/>
        </w:tabs>
        <w:spacing w:before="60" w:after="120"/>
        <w:ind w:right="29"/>
        <w:jc w:val="center"/>
        <w:rPr>
          <w:b/>
          <w:u w:val="single"/>
        </w:rPr>
      </w:pPr>
      <w:r w:rsidRPr="00C60AD1">
        <w:rPr>
          <w:b/>
          <w:bCs/>
          <w:u w:val="single"/>
        </w:rPr>
        <w:br w:type="page"/>
      </w:r>
      <w:r w:rsidRPr="00C60AD1">
        <w:rPr>
          <w:b/>
          <w:u w:val="single"/>
        </w:rPr>
        <w:lastRenderedPageBreak/>
        <w:t>RATE SCHEDULE LMV– 4:</w:t>
      </w:r>
    </w:p>
    <w:p w:rsidR="006349D7" w:rsidRPr="00C60AD1" w:rsidRDefault="006349D7" w:rsidP="006349D7">
      <w:pPr>
        <w:jc w:val="center"/>
        <w:rPr>
          <w:b/>
        </w:rPr>
      </w:pPr>
    </w:p>
    <w:p w:rsidR="006349D7" w:rsidRPr="00C60AD1" w:rsidRDefault="006349D7" w:rsidP="006349D7">
      <w:pPr>
        <w:jc w:val="center"/>
        <w:rPr>
          <w:b/>
        </w:rPr>
      </w:pPr>
      <w:r w:rsidRPr="00C60AD1">
        <w:rPr>
          <w:b/>
        </w:rPr>
        <w:t>LIGHT, FAN &amp; POWER FOR PUBLIC INSTITUTIONS AND PRIVATE INSTITUTIONS:</w:t>
      </w:r>
    </w:p>
    <w:p w:rsidR="006349D7" w:rsidRPr="00C60AD1" w:rsidRDefault="006349D7" w:rsidP="006349D7">
      <w:pPr>
        <w:jc w:val="center"/>
        <w:rPr>
          <w:b/>
        </w:rPr>
      </w:pPr>
    </w:p>
    <w:p w:rsidR="006349D7" w:rsidRPr="00C60AD1" w:rsidRDefault="006349D7" w:rsidP="006349D7">
      <w:pPr>
        <w:rPr>
          <w:b/>
        </w:rPr>
      </w:pPr>
      <w:r w:rsidRPr="00C60AD1">
        <w:rPr>
          <w:b/>
        </w:rPr>
        <w:t>1.</w:t>
      </w:r>
      <w:r w:rsidRPr="00C60AD1">
        <w:rPr>
          <w:b/>
        </w:rPr>
        <w:tab/>
        <w:t>APPLICABILITY:</w:t>
      </w:r>
    </w:p>
    <w:p w:rsidR="006349D7" w:rsidRPr="00C60AD1" w:rsidRDefault="006349D7" w:rsidP="006349D7">
      <w:pPr>
        <w:tabs>
          <w:tab w:val="left" w:pos="540"/>
        </w:tabs>
        <w:spacing w:before="60" w:after="120"/>
        <w:ind w:right="-61"/>
      </w:pPr>
      <w:r w:rsidRPr="00C60AD1">
        <w:rPr>
          <w:b/>
        </w:rPr>
        <w:tab/>
      </w:r>
      <w:r w:rsidRPr="00C60AD1">
        <w:rPr>
          <w:b/>
        </w:rPr>
        <w:tab/>
        <w:t>LMV- 4 (A) - PUBLIC INSTITUTIONS:</w:t>
      </w:r>
    </w:p>
    <w:p w:rsidR="006349D7" w:rsidRPr="00C60AD1" w:rsidRDefault="006349D7" w:rsidP="006349D7">
      <w:pPr>
        <w:spacing w:before="60" w:after="120"/>
        <w:ind w:left="540" w:right="-61"/>
      </w:pPr>
      <w:r w:rsidRPr="00C60AD1">
        <w:tab/>
        <w:t>This schedule shall apply to:</w:t>
      </w:r>
    </w:p>
    <w:p w:rsidR="006349D7" w:rsidRPr="00C60AD1" w:rsidRDefault="006349D7" w:rsidP="006349D7">
      <w:pPr>
        <w:spacing w:before="60" w:after="120"/>
        <w:ind w:left="1440" w:right="-58" w:hanging="720"/>
      </w:pPr>
      <w:r w:rsidRPr="00C60AD1">
        <w:t xml:space="preserve">(a) </w:t>
      </w:r>
      <w:r w:rsidRPr="00C60AD1">
        <w:tab/>
      </w:r>
      <w:smartTag w:uri="urn:schemas-microsoft-com:office:smarttags" w:element="place">
        <w:smartTag w:uri="urn:schemas-microsoft-com:office:smarttags" w:element="PlaceName">
          <w:r w:rsidRPr="00C60AD1">
            <w:t>Government</w:t>
          </w:r>
        </w:smartTag>
        <w:r w:rsidRPr="00C60AD1">
          <w:t xml:space="preserve"> </w:t>
        </w:r>
        <w:smartTag w:uri="urn:schemas-microsoft-com:office:smarttags" w:element="PlaceType">
          <w:r w:rsidRPr="00C60AD1">
            <w:t>Hospitals</w:t>
          </w:r>
        </w:smartTag>
      </w:smartTag>
      <w:r w:rsidRPr="00C60AD1">
        <w:t xml:space="preserve"> / Government Research Institutions / Offices of the Government Organizations other than companies registered under Companies Act 1956.</w:t>
      </w:r>
    </w:p>
    <w:p w:rsidR="006349D7" w:rsidRPr="00C60AD1" w:rsidRDefault="006349D7" w:rsidP="006349D7">
      <w:pPr>
        <w:spacing w:before="60" w:after="120"/>
        <w:ind w:left="1440" w:right="-58" w:hanging="720"/>
      </w:pPr>
      <w:r w:rsidRPr="00C60AD1">
        <w:t xml:space="preserve">(b) </w:t>
      </w:r>
      <w:r w:rsidRPr="00C60AD1">
        <w:tab/>
        <w:t>Government &amp; Government aided (i) Educational Institutions (ii) Hostels (iii) Libraries</w:t>
      </w:r>
    </w:p>
    <w:p w:rsidR="006349D7" w:rsidRDefault="006349D7" w:rsidP="00EC6AAC">
      <w:pPr>
        <w:numPr>
          <w:ilvl w:val="0"/>
          <w:numId w:val="39"/>
        </w:numPr>
        <w:tabs>
          <w:tab w:val="clear" w:pos="720"/>
          <w:tab w:val="num" w:pos="900"/>
          <w:tab w:val="num" w:pos="1440"/>
        </w:tabs>
        <w:spacing w:before="60" w:after="120" w:line="288" w:lineRule="auto"/>
        <w:ind w:left="1440" w:right="-58" w:hanging="720"/>
      </w:pPr>
      <w:r w:rsidRPr="00C60AD1">
        <w:t xml:space="preserve">Religious and charitable </w:t>
      </w:r>
      <w:r w:rsidRPr="00201853">
        <w:t>trusts</w:t>
      </w:r>
      <w:r>
        <w:t xml:space="preserve"> &amp; </w:t>
      </w:r>
      <w:r w:rsidRPr="00C60AD1">
        <w:t xml:space="preserve">Institutions </w:t>
      </w:r>
      <w:r w:rsidRPr="00201853">
        <w:rPr>
          <w:rFonts w:cstheme="minorHAnsi"/>
        </w:rPr>
        <w:t>having a valid registration under Section 12 AA &amp; 30G issued by the Income Tax department</w:t>
      </w:r>
      <w:r w:rsidRPr="00C60AD1">
        <w:t xml:space="preserve"> including orphanage homes, old age homes, hospitals, colleges and those providing services free of cost or at the charges / structure of charges not exceeding those in similar Government operated institutions. </w:t>
      </w:r>
    </w:p>
    <w:p w:rsidR="006349D7" w:rsidRDefault="006349D7" w:rsidP="00EC6AAC">
      <w:pPr>
        <w:numPr>
          <w:ilvl w:val="0"/>
          <w:numId w:val="39"/>
        </w:numPr>
        <w:tabs>
          <w:tab w:val="clear" w:pos="720"/>
          <w:tab w:val="num" w:pos="900"/>
          <w:tab w:val="num" w:pos="1440"/>
        </w:tabs>
        <w:spacing w:before="60" w:after="120" w:line="288" w:lineRule="auto"/>
        <w:ind w:left="1440" w:right="-58" w:hanging="720"/>
      </w:pPr>
      <w:r w:rsidRPr="00C60AD1">
        <w:t xml:space="preserve">Railway Establishments (excluding railway traction, industrial premises &amp; Metro) such as Booking Centres, Railway Stations &amp; Railway Research and Development Organization, Railway rest houses, Railway holiday homes, Railway inspection houses. </w:t>
      </w:r>
    </w:p>
    <w:p w:rsidR="006349D7" w:rsidRDefault="006349D7" w:rsidP="00EC6AAC">
      <w:pPr>
        <w:numPr>
          <w:ilvl w:val="0"/>
          <w:numId w:val="39"/>
        </w:numPr>
        <w:tabs>
          <w:tab w:val="clear" w:pos="720"/>
          <w:tab w:val="num" w:pos="900"/>
          <w:tab w:val="num" w:pos="1440"/>
        </w:tabs>
        <w:spacing w:before="60" w:after="120" w:line="288" w:lineRule="auto"/>
        <w:ind w:left="1440" w:right="-58" w:hanging="720"/>
      </w:pPr>
      <w:r w:rsidRPr="00C60AD1">
        <w:t>All India Radio and Doordarshan</w:t>
      </w:r>
    </w:p>
    <w:p w:rsidR="006349D7" w:rsidRDefault="006349D7" w:rsidP="00EC6AAC">
      <w:pPr>
        <w:numPr>
          <w:ilvl w:val="0"/>
          <w:numId w:val="39"/>
        </w:numPr>
        <w:tabs>
          <w:tab w:val="clear" w:pos="720"/>
          <w:tab w:val="num" w:pos="900"/>
          <w:tab w:val="num" w:pos="1440"/>
        </w:tabs>
        <w:spacing w:before="60" w:after="120" w:line="288" w:lineRule="auto"/>
        <w:ind w:left="1440" w:right="-58" w:hanging="720"/>
        <w:rPr>
          <w:lang w:val="en-IN"/>
        </w:rPr>
      </w:pPr>
      <w:r w:rsidRPr="000873E5">
        <w:rPr>
          <w:lang w:val="en-US"/>
        </w:rPr>
        <w:t xml:space="preserve">Guest houses of Government., Semi-Government, Public Sector Undertaking Organisations </w:t>
      </w:r>
    </w:p>
    <w:p w:rsidR="006349D7" w:rsidRPr="00C60AD1" w:rsidRDefault="006349D7" w:rsidP="006349D7">
      <w:pPr>
        <w:tabs>
          <w:tab w:val="num" w:pos="1440"/>
        </w:tabs>
        <w:spacing w:before="60" w:after="120"/>
        <w:ind w:left="720" w:right="-58"/>
      </w:pPr>
    </w:p>
    <w:p w:rsidR="006349D7" w:rsidRPr="00C60AD1" w:rsidRDefault="006349D7" w:rsidP="006349D7">
      <w:pPr>
        <w:tabs>
          <w:tab w:val="left" w:pos="720"/>
        </w:tabs>
        <w:spacing w:before="60" w:after="120"/>
        <w:ind w:right="-61"/>
        <w:rPr>
          <w:b/>
        </w:rPr>
      </w:pPr>
      <w:r w:rsidRPr="00C60AD1">
        <w:rPr>
          <w:b/>
        </w:rPr>
        <w:tab/>
        <w:t>LMV-4 (B) - PRIVATE INSTITUTIONS:</w:t>
      </w:r>
    </w:p>
    <w:p w:rsidR="006349D7" w:rsidRDefault="006349D7" w:rsidP="006349D7">
      <w:pPr>
        <w:tabs>
          <w:tab w:val="left" w:pos="360"/>
        </w:tabs>
        <w:spacing w:before="60" w:after="120"/>
        <w:ind w:left="720" w:right="-61"/>
        <w:rPr>
          <w:b/>
        </w:rPr>
      </w:pPr>
      <w:r w:rsidRPr="00C60AD1">
        <w:t xml:space="preserve">This schedule shall apply to non-Government hospitals, nursing homes / dispensaries / clinics, private research institutes, and schools / colleges / educational institutes &amp; charitable institutions / trusts not covered under </w:t>
      </w:r>
      <w:r w:rsidRPr="00C60AD1">
        <w:rPr>
          <w:b/>
        </w:rPr>
        <w:t>(A)</w:t>
      </w:r>
      <w:r w:rsidRPr="00C60AD1">
        <w:t xml:space="preserve"> above</w:t>
      </w:r>
      <w:r w:rsidRPr="00C60AD1">
        <w:rPr>
          <w:b/>
        </w:rPr>
        <w:t>.</w:t>
      </w:r>
    </w:p>
    <w:p w:rsidR="001571A2" w:rsidRPr="00C60AD1" w:rsidRDefault="001571A2" w:rsidP="006349D7">
      <w:pPr>
        <w:tabs>
          <w:tab w:val="left" w:pos="360"/>
        </w:tabs>
        <w:spacing w:before="60" w:after="120"/>
        <w:ind w:left="720" w:right="-61"/>
        <w:rPr>
          <w:b/>
        </w:rPr>
      </w:pPr>
    </w:p>
    <w:p w:rsidR="006349D7" w:rsidRPr="00C60AD1" w:rsidRDefault="006349D7" w:rsidP="006349D7">
      <w:pPr>
        <w:ind w:left="720" w:hanging="720"/>
      </w:pPr>
      <w:r w:rsidRPr="00C60AD1">
        <w:rPr>
          <w:b/>
        </w:rPr>
        <w:lastRenderedPageBreak/>
        <w:t>2</w:t>
      </w:r>
      <w:r w:rsidRPr="00C60AD1">
        <w:t xml:space="preserve">. </w:t>
      </w:r>
      <w:r w:rsidRPr="00C60AD1">
        <w:rPr>
          <w:b/>
        </w:rPr>
        <w:t xml:space="preserve"> </w:t>
      </w:r>
      <w:r w:rsidRPr="00C60AD1">
        <w:rPr>
          <w:b/>
        </w:rPr>
        <w:tab/>
        <w:t>CHARACTER AND POINT OF SUPPLY</w:t>
      </w:r>
      <w:r w:rsidRPr="00C60AD1">
        <w:t xml:space="preserve">: </w:t>
      </w:r>
    </w:p>
    <w:p w:rsidR="006349D7" w:rsidRPr="00C60AD1" w:rsidRDefault="006349D7" w:rsidP="006349D7">
      <w:pPr>
        <w:spacing w:line="240" w:lineRule="auto"/>
        <w:ind w:left="360" w:right="-58" w:firstLine="360"/>
        <w:rPr>
          <w:rFonts w:cs="Arial"/>
        </w:rPr>
      </w:pPr>
      <w:r w:rsidRPr="00C60AD1">
        <w:t>As per the applicable provisions of Electricity Supply Code.</w:t>
      </w:r>
    </w:p>
    <w:p w:rsidR="006349D7" w:rsidRPr="00C60AD1" w:rsidRDefault="006349D7" w:rsidP="006349D7">
      <w:pPr>
        <w:ind w:left="720" w:hanging="360"/>
      </w:pPr>
    </w:p>
    <w:p w:rsidR="006349D7" w:rsidRPr="00C60AD1" w:rsidRDefault="006349D7" w:rsidP="006349D7">
      <w:pPr>
        <w:rPr>
          <w:b/>
        </w:rPr>
      </w:pPr>
      <w:r w:rsidRPr="00C60AD1">
        <w:rPr>
          <w:b/>
        </w:rPr>
        <w:t>3.</w:t>
      </w:r>
      <w:r w:rsidRPr="00C60AD1">
        <w:rPr>
          <w:b/>
        </w:rPr>
        <w:tab/>
        <w:t>RATE:</w:t>
      </w:r>
    </w:p>
    <w:p w:rsidR="006349D7" w:rsidRPr="00C60AD1" w:rsidRDefault="006349D7" w:rsidP="006349D7">
      <w:pPr>
        <w:spacing w:after="240"/>
        <w:ind w:left="720"/>
      </w:pPr>
      <w:r w:rsidRPr="00C60AD1">
        <w:t>Rate, gives the fixed and energy charges at which the consumer shall be billed for his consumption during the billing period applicable to the category:</w:t>
      </w:r>
    </w:p>
    <w:tbl>
      <w:tblPr>
        <w:tblW w:w="8283" w:type="dxa"/>
        <w:jc w:val="right"/>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6349D7" w:rsidRPr="00C60AD1" w:rsidTr="00BB5A5A">
        <w:trPr>
          <w:jc w:val="right"/>
        </w:trPr>
        <w:tc>
          <w:tcPr>
            <w:tcW w:w="2977" w:type="dxa"/>
            <w:shd w:val="clear" w:color="auto" w:fill="DBE5F1" w:themeFill="accent1" w:themeFillTint="33"/>
          </w:tcPr>
          <w:p w:rsidR="006349D7" w:rsidRPr="00C60AD1" w:rsidRDefault="006349D7"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6349D7" w:rsidRDefault="006349D7" w:rsidP="00BB5A5A">
            <w:pPr>
              <w:pStyle w:val="Header"/>
              <w:tabs>
                <w:tab w:val="clear" w:pos="4320"/>
                <w:tab w:val="clear" w:pos="8640"/>
                <w:tab w:val="left" w:pos="360"/>
              </w:tabs>
              <w:jc w:val="center"/>
              <w:rPr>
                <w:rFonts w:cs="Arial"/>
                <w:b/>
              </w:rPr>
            </w:pPr>
            <w:r>
              <w:rPr>
                <w:rFonts w:cs="Arial"/>
                <w:b/>
              </w:rPr>
              <w:t>Contracted Load</w:t>
            </w:r>
          </w:p>
        </w:tc>
        <w:tc>
          <w:tcPr>
            <w:tcW w:w="2471" w:type="dxa"/>
            <w:shd w:val="clear" w:color="auto" w:fill="DBE5F1" w:themeFill="accent1" w:themeFillTint="33"/>
          </w:tcPr>
          <w:p w:rsidR="006349D7" w:rsidRPr="00C60AD1" w:rsidRDefault="006349D7" w:rsidP="00BB5A5A">
            <w:pPr>
              <w:pStyle w:val="Header"/>
              <w:tabs>
                <w:tab w:val="clear" w:pos="4320"/>
                <w:tab w:val="clear" w:pos="8640"/>
                <w:tab w:val="left" w:pos="360"/>
              </w:tabs>
              <w:jc w:val="center"/>
              <w:rPr>
                <w:b/>
              </w:rPr>
            </w:pPr>
            <w:r w:rsidRPr="00C60AD1">
              <w:rPr>
                <w:rFonts w:cs="Arial"/>
                <w:b/>
              </w:rPr>
              <w:t>Fixed</w:t>
            </w:r>
            <w:r w:rsidRPr="00C60AD1">
              <w:rPr>
                <w:rFonts w:cs="Arial"/>
                <w:b/>
                <w:szCs w:val="22"/>
              </w:rPr>
              <w:t xml:space="preserve"> Charge</w:t>
            </w:r>
          </w:p>
        </w:tc>
      </w:tr>
      <w:tr w:rsidR="006349D7" w:rsidRPr="00C60AD1" w:rsidTr="00BB5A5A">
        <w:trPr>
          <w:jc w:val="right"/>
        </w:trPr>
        <w:tc>
          <w:tcPr>
            <w:tcW w:w="2977" w:type="dxa"/>
            <w:vMerge w:val="restart"/>
            <w:vAlign w:val="center"/>
          </w:tcPr>
          <w:p w:rsidR="006349D7" w:rsidRPr="00C60AD1" w:rsidRDefault="006349D7"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6349D7" w:rsidRPr="00C60AD1" w:rsidRDefault="006349D7" w:rsidP="00BB5A5A">
            <w:pPr>
              <w:pStyle w:val="Header"/>
              <w:tabs>
                <w:tab w:val="left" w:pos="360"/>
              </w:tabs>
              <w:jc w:val="left"/>
              <w:rPr>
                <w:rFonts w:cs="Arial"/>
                <w:bCs/>
              </w:rPr>
            </w:pPr>
          </w:p>
        </w:tc>
        <w:tc>
          <w:tcPr>
            <w:tcW w:w="2835" w:type="dxa"/>
          </w:tcPr>
          <w:p w:rsidR="006349D7" w:rsidRDefault="006349D7" w:rsidP="00BB5A5A">
            <w:pPr>
              <w:tabs>
                <w:tab w:val="left" w:pos="360"/>
              </w:tabs>
              <w:rPr>
                <w:rFonts w:cs="Arial"/>
                <w:bCs/>
              </w:rPr>
            </w:pPr>
            <w:r>
              <w:rPr>
                <w:rFonts w:cs="Arial"/>
                <w:bCs/>
              </w:rPr>
              <w:t>Up to 2 kW</w:t>
            </w:r>
          </w:p>
        </w:tc>
        <w:tc>
          <w:tcPr>
            <w:tcW w:w="2471" w:type="dxa"/>
          </w:tcPr>
          <w:p w:rsidR="006349D7" w:rsidRDefault="006349D7" w:rsidP="00BB5A5A">
            <w:pPr>
              <w:tabs>
                <w:tab w:val="left" w:pos="360"/>
              </w:tabs>
              <w:jc w:val="center"/>
              <w:rPr>
                <w:rFonts w:cs="Arial"/>
                <w:bCs/>
              </w:rPr>
            </w:pPr>
            <w:r w:rsidRPr="00C60AD1">
              <w:rPr>
                <w:rFonts w:cs="Arial"/>
                <w:bCs/>
                <w:szCs w:val="22"/>
              </w:rPr>
              <w:t>Rs. 2</w:t>
            </w:r>
            <w:r>
              <w:rPr>
                <w:rFonts w:cs="Arial"/>
                <w:bCs/>
                <w:szCs w:val="22"/>
              </w:rPr>
              <w:t>2</w:t>
            </w:r>
            <w:r w:rsidRPr="00C60AD1">
              <w:rPr>
                <w:rFonts w:cs="Arial"/>
                <w:bCs/>
                <w:szCs w:val="22"/>
              </w:rPr>
              <w:t>0 / kW</w:t>
            </w:r>
            <w:r w:rsidRPr="00C60AD1">
              <w:rPr>
                <w:rFonts w:cs="Arial"/>
                <w:bCs/>
              </w:rPr>
              <w:t xml:space="preserve"> / month</w:t>
            </w:r>
          </w:p>
        </w:tc>
      </w:tr>
      <w:tr w:rsidR="006349D7" w:rsidRPr="00C60AD1" w:rsidTr="00BB5A5A">
        <w:trPr>
          <w:jc w:val="right"/>
        </w:trPr>
        <w:tc>
          <w:tcPr>
            <w:tcW w:w="2977" w:type="dxa"/>
            <w:vMerge/>
            <w:vAlign w:val="center"/>
          </w:tcPr>
          <w:p w:rsidR="006349D7" w:rsidRPr="00C60AD1" w:rsidRDefault="006349D7" w:rsidP="00BB5A5A">
            <w:pPr>
              <w:pStyle w:val="Header"/>
              <w:tabs>
                <w:tab w:val="left" w:pos="360"/>
              </w:tabs>
              <w:jc w:val="left"/>
              <w:rPr>
                <w:b/>
              </w:rPr>
            </w:pPr>
          </w:p>
        </w:tc>
        <w:tc>
          <w:tcPr>
            <w:tcW w:w="2835" w:type="dxa"/>
          </w:tcPr>
          <w:p w:rsidR="006349D7" w:rsidRDefault="006349D7" w:rsidP="00BB5A5A">
            <w:pPr>
              <w:tabs>
                <w:tab w:val="left" w:pos="360"/>
              </w:tabs>
              <w:rPr>
                <w:rFonts w:cs="Arial"/>
                <w:bCs/>
              </w:rPr>
            </w:pPr>
            <w:r>
              <w:rPr>
                <w:rFonts w:cs="Arial"/>
                <w:bCs/>
              </w:rPr>
              <w:t>Above 2 kW to 4 kW</w:t>
            </w:r>
          </w:p>
        </w:tc>
        <w:tc>
          <w:tcPr>
            <w:tcW w:w="2471" w:type="dxa"/>
          </w:tcPr>
          <w:p w:rsidR="006349D7" w:rsidRDefault="006349D7" w:rsidP="00BB5A5A">
            <w:pPr>
              <w:tabs>
                <w:tab w:val="left" w:pos="360"/>
              </w:tabs>
              <w:jc w:val="center"/>
              <w:rPr>
                <w:rFonts w:cs="Arial"/>
                <w:bCs/>
              </w:rPr>
            </w:pPr>
            <w:r>
              <w:rPr>
                <w:rFonts w:cs="Arial"/>
                <w:bCs/>
                <w:szCs w:val="22"/>
              </w:rPr>
              <w:t>Rs. 23</w:t>
            </w:r>
            <w:r w:rsidRPr="00C60AD1">
              <w:rPr>
                <w:rFonts w:cs="Arial"/>
                <w:bCs/>
                <w:szCs w:val="22"/>
              </w:rPr>
              <w:t>0 / kW</w:t>
            </w:r>
            <w:r w:rsidRPr="00C60AD1">
              <w:rPr>
                <w:rFonts w:cs="Arial"/>
                <w:bCs/>
              </w:rPr>
              <w:t xml:space="preserve"> / month</w:t>
            </w:r>
          </w:p>
        </w:tc>
      </w:tr>
      <w:tr w:rsidR="006349D7" w:rsidRPr="00C60AD1" w:rsidTr="00BB5A5A">
        <w:trPr>
          <w:jc w:val="right"/>
        </w:trPr>
        <w:tc>
          <w:tcPr>
            <w:tcW w:w="2977" w:type="dxa"/>
            <w:vMerge/>
            <w:vAlign w:val="center"/>
          </w:tcPr>
          <w:p w:rsidR="006349D7" w:rsidRPr="000873E5" w:rsidRDefault="006349D7" w:rsidP="00BB5A5A">
            <w:pPr>
              <w:pStyle w:val="Header"/>
              <w:tabs>
                <w:tab w:val="clear" w:pos="4320"/>
                <w:tab w:val="clear" w:pos="8640"/>
                <w:tab w:val="left" w:pos="360"/>
              </w:tabs>
              <w:jc w:val="left"/>
              <w:rPr>
                <w:b/>
              </w:rPr>
            </w:pPr>
          </w:p>
        </w:tc>
        <w:tc>
          <w:tcPr>
            <w:tcW w:w="2835" w:type="dxa"/>
          </w:tcPr>
          <w:p w:rsidR="006349D7" w:rsidRDefault="006349D7" w:rsidP="00BB5A5A">
            <w:pPr>
              <w:tabs>
                <w:tab w:val="left" w:pos="360"/>
              </w:tabs>
              <w:rPr>
                <w:rFonts w:cs="Arial"/>
                <w:bCs/>
              </w:rPr>
            </w:pPr>
            <w:r>
              <w:rPr>
                <w:rFonts w:cs="Arial"/>
                <w:bCs/>
              </w:rPr>
              <w:t>Above 4 kW</w:t>
            </w:r>
          </w:p>
        </w:tc>
        <w:tc>
          <w:tcPr>
            <w:tcW w:w="2471" w:type="dxa"/>
          </w:tcPr>
          <w:p w:rsidR="006349D7" w:rsidRDefault="006349D7" w:rsidP="00BB5A5A">
            <w:pPr>
              <w:tabs>
                <w:tab w:val="left" w:pos="360"/>
              </w:tabs>
              <w:jc w:val="center"/>
              <w:rPr>
                <w:rFonts w:cs="Arial"/>
                <w:bCs/>
              </w:rPr>
            </w:pPr>
            <w:r>
              <w:rPr>
                <w:rFonts w:cs="Arial"/>
                <w:bCs/>
                <w:szCs w:val="22"/>
              </w:rPr>
              <w:t>Rs. 24</w:t>
            </w:r>
            <w:r w:rsidRPr="00C60AD1">
              <w:rPr>
                <w:rFonts w:cs="Arial"/>
                <w:bCs/>
                <w:szCs w:val="22"/>
              </w:rPr>
              <w:t>0 / kW</w:t>
            </w:r>
            <w:r w:rsidRPr="00C60AD1">
              <w:rPr>
                <w:rFonts w:cs="Arial"/>
                <w:bCs/>
              </w:rPr>
              <w:t xml:space="preserve"> / month</w:t>
            </w:r>
          </w:p>
        </w:tc>
      </w:tr>
      <w:tr w:rsidR="006349D7" w:rsidRPr="00C60AD1" w:rsidTr="00BB5A5A">
        <w:trPr>
          <w:jc w:val="right"/>
        </w:trPr>
        <w:tc>
          <w:tcPr>
            <w:tcW w:w="2977" w:type="dxa"/>
            <w:vAlign w:val="center"/>
          </w:tcPr>
          <w:p w:rsidR="006349D7" w:rsidRPr="00C60AD1" w:rsidRDefault="006349D7" w:rsidP="00BB5A5A">
            <w:pPr>
              <w:tabs>
                <w:tab w:val="left" w:pos="360"/>
              </w:tabs>
              <w:ind w:right="6"/>
              <w:jc w:val="left"/>
              <w:rPr>
                <w:strike/>
              </w:rPr>
            </w:pPr>
            <w:r w:rsidRPr="00C60AD1">
              <w:rPr>
                <w:rFonts w:cs="Arial"/>
                <w:b/>
                <w:bCs/>
                <w:szCs w:val="22"/>
              </w:rPr>
              <w:t>(B) For Private Institutions</w:t>
            </w:r>
          </w:p>
        </w:tc>
        <w:tc>
          <w:tcPr>
            <w:tcW w:w="2835" w:type="dxa"/>
          </w:tcPr>
          <w:p w:rsidR="006349D7" w:rsidRDefault="006349D7" w:rsidP="00BB5A5A">
            <w:pPr>
              <w:pStyle w:val="Header"/>
              <w:tabs>
                <w:tab w:val="clear" w:pos="4320"/>
                <w:tab w:val="clear" w:pos="8640"/>
                <w:tab w:val="left" w:pos="360"/>
              </w:tabs>
              <w:rPr>
                <w:rFonts w:cs="Arial"/>
                <w:bCs/>
              </w:rPr>
            </w:pPr>
            <w:r>
              <w:rPr>
                <w:rFonts w:cs="Arial"/>
                <w:bCs/>
              </w:rPr>
              <w:t>Up to 3 kW</w:t>
            </w:r>
          </w:p>
        </w:tc>
        <w:tc>
          <w:tcPr>
            <w:tcW w:w="2471" w:type="dxa"/>
          </w:tcPr>
          <w:p w:rsidR="006349D7" w:rsidRDefault="006349D7" w:rsidP="00BB5A5A">
            <w:pPr>
              <w:tabs>
                <w:tab w:val="left" w:pos="360"/>
              </w:tabs>
              <w:jc w:val="center"/>
              <w:rPr>
                <w:rFonts w:cs="Arial"/>
                <w:bCs/>
              </w:rPr>
            </w:pPr>
            <w:r>
              <w:rPr>
                <w:rFonts w:cs="Arial"/>
                <w:bCs/>
                <w:szCs w:val="22"/>
              </w:rPr>
              <w:t>Rs. 25</w:t>
            </w:r>
            <w:r w:rsidRPr="00C60AD1">
              <w:rPr>
                <w:rFonts w:cs="Arial"/>
                <w:bCs/>
                <w:szCs w:val="22"/>
              </w:rPr>
              <w:t>0 / kW</w:t>
            </w:r>
            <w:r w:rsidRPr="00C60AD1">
              <w:rPr>
                <w:rFonts w:cs="Arial"/>
                <w:bCs/>
              </w:rPr>
              <w:t xml:space="preserve"> / month</w:t>
            </w:r>
          </w:p>
        </w:tc>
      </w:tr>
      <w:tr w:rsidR="006349D7" w:rsidRPr="00C60AD1" w:rsidTr="00BB5A5A">
        <w:trPr>
          <w:jc w:val="right"/>
        </w:trPr>
        <w:tc>
          <w:tcPr>
            <w:tcW w:w="2977" w:type="dxa"/>
          </w:tcPr>
          <w:p w:rsidR="006349D7" w:rsidRPr="00C60AD1" w:rsidRDefault="006349D7" w:rsidP="00BB5A5A">
            <w:pPr>
              <w:tabs>
                <w:tab w:val="left" w:pos="360"/>
              </w:tabs>
              <w:ind w:right="6"/>
              <w:rPr>
                <w:rFonts w:cs="Arial"/>
                <w:b/>
                <w:bCs/>
              </w:rPr>
            </w:pPr>
          </w:p>
        </w:tc>
        <w:tc>
          <w:tcPr>
            <w:tcW w:w="2835" w:type="dxa"/>
          </w:tcPr>
          <w:p w:rsidR="006349D7" w:rsidRDefault="006349D7" w:rsidP="00BB5A5A">
            <w:pPr>
              <w:pStyle w:val="Header"/>
              <w:tabs>
                <w:tab w:val="clear" w:pos="4320"/>
                <w:tab w:val="clear" w:pos="8640"/>
                <w:tab w:val="left" w:pos="360"/>
              </w:tabs>
              <w:rPr>
                <w:rFonts w:cs="Arial"/>
                <w:bCs/>
              </w:rPr>
            </w:pPr>
            <w:r>
              <w:rPr>
                <w:rFonts w:cs="Arial"/>
                <w:bCs/>
              </w:rPr>
              <w:t>Above 3 kW</w:t>
            </w:r>
          </w:p>
        </w:tc>
        <w:tc>
          <w:tcPr>
            <w:tcW w:w="2471" w:type="dxa"/>
          </w:tcPr>
          <w:p w:rsidR="006349D7" w:rsidRDefault="006349D7" w:rsidP="00BB5A5A">
            <w:pPr>
              <w:pStyle w:val="Header"/>
              <w:tabs>
                <w:tab w:val="clear" w:pos="4320"/>
                <w:tab w:val="clear" w:pos="8640"/>
                <w:tab w:val="left" w:pos="360"/>
              </w:tabs>
              <w:jc w:val="center"/>
              <w:rPr>
                <w:rFonts w:cs="Arial"/>
                <w:bCs/>
              </w:rPr>
            </w:pPr>
            <w:r>
              <w:rPr>
                <w:rFonts w:cs="Arial"/>
                <w:bCs/>
                <w:szCs w:val="22"/>
              </w:rPr>
              <w:t>Rs. 33</w:t>
            </w:r>
            <w:r w:rsidRPr="00C60AD1">
              <w:rPr>
                <w:rFonts w:cs="Arial"/>
                <w:bCs/>
                <w:szCs w:val="22"/>
              </w:rPr>
              <w:t>0 / kW / month</w:t>
            </w:r>
          </w:p>
        </w:tc>
      </w:tr>
    </w:tbl>
    <w:p w:rsidR="006349D7" w:rsidRDefault="006349D7" w:rsidP="006349D7">
      <w:pPr>
        <w:spacing w:before="60" w:after="120"/>
        <w:ind w:right="-61"/>
        <w:rPr>
          <w:b/>
          <w:bCs/>
          <w:u w:val="single"/>
        </w:rPr>
      </w:pPr>
    </w:p>
    <w:tbl>
      <w:tblPr>
        <w:tblW w:w="8283" w:type="dxa"/>
        <w:jc w:val="right"/>
        <w:tblInd w:w="-3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2835"/>
        <w:gridCol w:w="2471"/>
      </w:tblGrid>
      <w:tr w:rsidR="006349D7" w:rsidRPr="00C60AD1" w:rsidTr="00BB5A5A">
        <w:trPr>
          <w:jc w:val="right"/>
        </w:trPr>
        <w:tc>
          <w:tcPr>
            <w:tcW w:w="2977" w:type="dxa"/>
            <w:shd w:val="clear" w:color="auto" w:fill="DBE5F1" w:themeFill="accent1" w:themeFillTint="33"/>
          </w:tcPr>
          <w:p w:rsidR="006349D7" w:rsidRPr="00C60AD1" w:rsidRDefault="006349D7" w:rsidP="00BB5A5A">
            <w:pPr>
              <w:tabs>
                <w:tab w:val="left" w:pos="360"/>
              </w:tabs>
              <w:ind w:right="612"/>
              <w:jc w:val="center"/>
              <w:rPr>
                <w:rFonts w:cs="Arial"/>
                <w:b/>
              </w:rPr>
            </w:pPr>
            <w:r w:rsidRPr="00C60AD1">
              <w:rPr>
                <w:rFonts w:cs="Arial"/>
                <w:b/>
              </w:rPr>
              <w:t>Description</w:t>
            </w:r>
          </w:p>
        </w:tc>
        <w:tc>
          <w:tcPr>
            <w:tcW w:w="2835" w:type="dxa"/>
            <w:shd w:val="clear" w:color="auto" w:fill="DBE5F1" w:themeFill="accent1" w:themeFillTint="33"/>
          </w:tcPr>
          <w:p w:rsidR="006349D7" w:rsidRDefault="006349D7" w:rsidP="00BB5A5A">
            <w:pPr>
              <w:pStyle w:val="Header"/>
              <w:tabs>
                <w:tab w:val="clear" w:pos="4320"/>
                <w:tab w:val="clear" w:pos="8640"/>
                <w:tab w:val="left" w:pos="360"/>
              </w:tabs>
              <w:jc w:val="center"/>
              <w:rPr>
                <w:rFonts w:cs="Arial"/>
                <w:b/>
              </w:rPr>
            </w:pPr>
            <w:r>
              <w:rPr>
                <w:rFonts w:cs="Arial"/>
                <w:b/>
              </w:rPr>
              <w:t>Consumption Range</w:t>
            </w:r>
          </w:p>
        </w:tc>
        <w:tc>
          <w:tcPr>
            <w:tcW w:w="2471" w:type="dxa"/>
            <w:shd w:val="clear" w:color="auto" w:fill="DBE5F1" w:themeFill="accent1" w:themeFillTint="33"/>
          </w:tcPr>
          <w:p w:rsidR="006349D7" w:rsidRPr="00C60AD1" w:rsidRDefault="006349D7" w:rsidP="00BB5A5A">
            <w:pPr>
              <w:pStyle w:val="Header"/>
              <w:tabs>
                <w:tab w:val="clear" w:pos="4320"/>
                <w:tab w:val="clear" w:pos="8640"/>
                <w:tab w:val="left" w:pos="360"/>
              </w:tabs>
              <w:jc w:val="center"/>
              <w:rPr>
                <w:rFonts w:cs="Arial"/>
                <w:b/>
              </w:rPr>
            </w:pPr>
            <w:r w:rsidRPr="00C60AD1">
              <w:rPr>
                <w:rFonts w:cs="Arial"/>
                <w:b/>
                <w:szCs w:val="22"/>
              </w:rPr>
              <w:t>Energy Charge</w:t>
            </w:r>
          </w:p>
        </w:tc>
      </w:tr>
      <w:tr w:rsidR="006349D7" w:rsidRPr="00C60AD1" w:rsidTr="00BB5A5A">
        <w:trPr>
          <w:jc w:val="right"/>
        </w:trPr>
        <w:tc>
          <w:tcPr>
            <w:tcW w:w="2977" w:type="dxa"/>
            <w:vMerge w:val="restart"/>
            <w:vAlign w:val="center"/>
          </w:tcPr>
          <w:p w:rsidR="006349D7" w:rsidRPr="00C60AD1" w:rsidRDefault="006349D7" w:rsidP="00BB5A5A">
            <w:pPr>
              <w:pStyle w:val="Header"/>
              <w:tabs>
                <w:tab w:val="clear" w:pos="4320"/>
                <w:tab w:val="clear" w:pos="8640"/>
                <w:tab w:val="left" w:pos="360"/>
              </w:tabs>
              <w:jc w:val="left"/>
              <w:rPr>
                <w:rFonts w:cs="Arial"/>
                <w:bCs/>
              </w:rPr>
            </w:pPr>
            <w:r w:rsidRPr="00C60AD1">
              <w:rPr>
                <w:rFonts w:cs="Arial"/>
                <w:b/>
                <w:bCs/>
                <w:szCs w:val="22"/>
              </w:rPr>
              <w:t>(A) For Public Institutions</w:t>
            </w:r>
          </w:p>
          <w:p w:rsidR="006349D7" w:rsidRPr="00C60AD1" w:rsidRDefault="006349D7" w:rsidP="00BB5A5A">
            <w:pPr>
              <w:pStyle w:val="Header"/>
              <w:tabs>
                <w:tab w:val="left" w:pos="360"/>
              </w:tabs>
              <w:jc w:val="left"/>
              <w:rPr>
                <w:rFonts w:cs="Arial"/>
                <w:bCs/>
              </w:rPr>
            </w:pPr>
          </w:p>
        </w:tc>
        <w:tc>
          <w:tcPr>
            <w:tcW w:w="2835" w:type="dxa"/>
          </w:tcPr>
          <w:p w:rsidR="006349D7" w:rsidRPr="00136ADD" w:rsidRDefault="006349D7" w:rsidP="00BB5A5A">
            <w:pPr>
              <w:tabs>
                <w:tab w:val="left" w:pos="360"/>
              </w:tabs>
              <w:jc w:val="left"/>
              <w:rPr>
                <w:rFonts w:cs="Arial"/>
                <w:bCs/>
              </w:rPr>
            </w:pPr>
            <w:r>
              <w:rPr>
                <w:rFonts w:cs="Arial"/>
                <w:bCs/>
              </w:rPr>
              <w:t>For first 1000 kWh</w:t>
            </w:r>
            <w:r>
              <w:rPr>
                <w:rFonts w:cs="Arial"/>
                <w:bCs/>
                <w:szCs w:val="22"/>
              </w:rPr>
              <w:t xml:space="preserve"> / month</w:t>
            </w:r>
          </w:p>
        </w:tc>
        <w:tc>
          <w:tcPr>
            <w:tcW w:w="2471" w:type="dxa"/>
            <w:vAlign w:val="center"/>
          </w:tcPr>
          <w:p w:rsidR="006349D7" w:rsidRPr="00C60AD1" w:rsidRDefault="006349D7" w:rsidP="00BB5A5A">
            <w:pPr>
              <w:tabs>
                <w:tab w:val="left" w:pos="360"/>
              </w:tabs>
              <w:jc w:val="center"/>
              <w:rPr>
                <w:rFonts w:cs="Arial"/>
                <w:bCs/>
              </w:rPr>
            </w:pPr>
            <w:r w:rsidRPr="00C60AD1">
              <w:rPr>
                <w:rFonts w:cs="Arial"/>
                <w:bCs/>
                <w:szCs w:val="22"/>
              </w:rPr>
              <w:t xml:space="preserve">Rs. </w:t>
            </w:r>
            <w:r>
              <w:rPr>
                <w:rFonts w:cs="Arial"/>
                <w:bCs/>
                <w:szCs w:val="22"/>
              </w:rPr>
              <w:t>7</w:t>
            </w:r>
            <w:r w:rsidRPr="00C60AD1">
              <w:rPr>
                <w:rFonts w:cs="Arial"/>
                <w:bCs/>
                <w:szCs w:val="22"/>
              </w:rPr>
              <w:t>.</w:t>
            </w:r>
            <w:r>
              <w:t>00</w:t>
            </w:r>
            <w:r w:rsidRPr="00C60AD1">
              <w:rPr>
                <w:rFonts w:cs="Arial"/>
                <w:bCs/>
                <w:szCs w:val="22"/>
              </w:rPr>
              <w:t>/ kWh</w:t>
            </w:r>
          </w:p>
        </w:tc>
      </w:tr>
      <w:tr w:rsidR="006349D7" w:rsidRPr="00C60AD1" w:rsidTr="00BB5A5A">
        <w:trPr>
          <w:jc w:val="right"/>
        </w:trPr>
        <w:tc>
          <w:tcPr>
            <w:tcW w:w="2977" w:type="dxa"/>
            <w:vMerge/>
            <w:vAlign w:val="center"/>
          </w:tcPr>
          <w:p w:rsidR="006349D7" w:rsidRPr="00C60AD1" w:rsidRDefault="006349D7" w:rsidP="00BB5A5A">
            <w:pPr>
              <w:pStyle w:val="Header"/>
              <w:tabs>
                <w:tab w:val="left" w:pos="360"/>
              </w:tabs>
              <w:jc w:val="left"/>
              <w:rPr>
                <w:b/>
              </w:rPr>
            </w:pPr>
          </w:p>
        </w:tc>
        <w:tc>
          <w:tcPr>
            <w:tcW w:w="2835" w:type="dxa"/>
          </w:tcPr>
          <w:p w:rsidR="006349D7" w:rsidRPr="00136ADD" w:rsidRDefault="006349D7" w:rsidP="00BB5A5A">
            <w:pPr>
              <w:tabs>
                <w:tab w:val="left" w:pos="360"/>
              </w:tabs>
              <w:rPr>
                <w:rFonts w:cs="Arial"/>
                <w:bCs/>
              </w:rPr>
            </w:pPr>
            <w:r>
              <w:rPr>
                <w:rFonts w:cs="Arial"/>
                <w:bCs/>
              </w:rPr>
              <w:t>For next 1001 – 2000 kWh / month</w:t>
            </w:r>
          </w:p>
        </w:tc>
        <w:tc>
          <w:tcPr>
            <w:tcW w:w="2471" w:type="dxa"/>
            <w:vAlign w:val="center"/>
          </w:tcPr>
          <w:p w:rsidR="006349D7" w:rsidRDefault="006349D7" w:rsidP="00BB5A5A">
            <w:pPr>
              <w:pStyle w:val="Header"/>
              <w:tabs>
                <w:tab w:val="clear" w:pos="4320"/>
                <w:tab w:val="clear" w:pos="8640"/>
                <w:tab w:val="left" w:pos="360"/>
              </w:tabs>
              <w:jc w:val="center"/>
              <w:rPr>
                <w:rFonts w:cs="Arial"/>
                <w:bCs/>
              </w:rPr>
            </w:pPr>
            <w:r>
              <w:rPr>
                <w:rFonts w:cs="Arial"/>
                <w:bCs/>
                <w:szCs w:val="22"/>
              </w:rPr>
              <w:t>Rs. 7</w:t>
            </w:r>
            <w:r w:rsidRPr="00C60AD1">
              <w:rPr>
                <w:rFonts w:cs="Arial"/>
                <w:bCs/>
                <w:szCs w:val="22"/>
              </w:rPr>
              <w:t>.</w:t>
            </w:r>
            <w:r>
              <w:t>20</w:t>
            </w:r>
            <w:r w:rsidRPr="00C60AD1">
              <w:rPr>
                <w:rFonts w:cs="Arial"/>
                <w:bCs/>
                <w:szCs w:val="22"/>
              </w:rPr>
              <w:t>/ kWh</w:t>
            </w:r>
          </w:p>
        </w:tc>
      </w:tr>
      <w:tr w:rsidR="006349D7" w:rsidRPr="00C60AD1" w:rsidTr="00BB5A5A">
        <w:trPr>
          <w:jc w:val="right"/>
        </w:trPr>
        <w:tc>
          <w:tcPr>
            <w:tcW w:w="2977" w:type="dxa"/>
            <w:vMerge/>
            <w:vAlign w:val="center"/>
          </w:tcPr>
          <w:p w:rsidR="006349D7" w:rsidRDefault="006349D7" w:rsidP="00BB5A5A">
            <w:pPr>
              <w:pStyle w:val="Header"/>
              <w:tabs>
                <w:tab w:val="clear" w:pos="4320"/>
                <w:tab w:val="clear" w:pos="8640"/>
                <w:tab w:val="left" w:pos="360"/>
              </w:tabs>
              <w:jc w:val="left"/>
              <w:rPr>
                <w:b/>
              </w:rPr>
            </w:pPr>
          </w:p>
        </w:tc>
        <w:tc>
          <w:tcPr>
            <w:tcW w:w="2835" w:type="dxa"/>
          </w:tcPr>
          <w:p w:rsidR="006349D7" w:rsidRPr="00136ADD" w:rsidRDefault="006349D7" w:rsidP="00BB5A5A">
            <w:pPr>
              <w:tabs>
                <w:tab w:val="left" w:pos="360"/>
              </w:tabs>
              <w:rPr>
                <w:rFonts w:cs="Arial"/>
                <w:bCs/>
              </w:rPr>
            </w:pPr>
            <w:r>
              <w:rPr>
                <w:rFonts w:cs="Arial"/>
                <w:bCs/>
              </w:rPr>
              <w:t xml:space="preserve">For </w:t>
            </w:r>
            <w:r w:rsidRPr="00D9618C">
              <w:rPr>
                <w:rFonts w:cs="Arial"/>
                <w:bCs/>
              </w:rPr>
              <w:t>a</w:t>
            </w:r>
            <w:r>
              <w:rPr>
                <w:rFonts w:cs="Arial"/>
                <w:bCs/>
              </w:rPr>
              <w:t>bove 2000 kWh</w:t>
            </w:r>
            <w:r>
              <w:rPr>
                <w:rFonts w:cs="Arial"/>
                <w:bCs/>
                <w:szCs w:val="22"/>
              </w:rPr>
              <w:t xml:space="preserve"> / month </w:t>
            </w:r>
            <w:r>
              <w:rPr>
                <w:rFonts w:asciiTheme="minorHAnsi" w:hAnsiTheme="minorHAnsi"/>
              </w:rPr>
              <w:t>(Starting from 2001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6349D7" w:rsidRDefault="006349D7" w:rsidP="00BB5A5A">
            <w:pPr>
              <w:tabs>
                <w:tab w:val="left" w:pos="360"/>
              </w:tabs>
              <w:jc w:val="center"/>
              <w:rPr>
                <w:rFonts w:cs="Arial"/>
                <w:bCs/>
              </w:rPr>
            </w:pPr>
            <w:r>
              <w:rPr>
                <w:rFonts w:cs="Arial"/>
                <w:bCs/>
                <w:szCs w:val="22"/>
              </w:rPr>
              <w:t>Rs. 7</w:t>
            </w:r>
            <w:r w:rsidRPr="00C60AD1">
              <w:rPr>
                <w:rFonts w:cs="Arial"/>
                <w:bCs/>
                <w:szCs w:val="22"/>
              </w:rPr>
              <w:t>.</w:t>
            </w:r>
            <w:r>
              <w:rPr>
                <w:rFonts w:cs="Arial"/>
                <w:bCs/>
                <w:szCs w:val="22"/>
              </w:rPr>
              <w:t>40</w:t>
            </w:r>
            <w:r w:rsidRPr="00C60AD1">
              <w:rPr>
                <w:rFonts w:cs="Arial"/>
                <w:bCs/>
                <w:szCs w:val="22"/>
              </w:rPr>
              <w:t>/ kWh</w:t>
            </w:r>
          </w:p>
        </w:tc>
      </w:tr>
      <w:tr w:rsidR="006349D7" w:rsidRPr="00C60AD1" w:rsidTr="00BB5A5A">
        <w:trPr>
          <w:jc w:val="right"/>
        </w:trPr>
        <w:tc>
          <w:tcPr>
            <w:tcW w:w="2977" w:type="dxa"/>
            <w:vMerge w:val="restart"/>
            <w:vAlign w:val="center"/>
          </w:tcPr>
          <w:p w:rsidR="006349D7" w:rsidRPr="00C60AD1" w:rsidRDefault="006349D7" w:rsidP="00BB5A5A">
            <w:pPr>
              <w:tabs>
                <w:tab w:val="left" w:pos="360"/>
              </w:tabs>
              <w:ind w:right="6"/>
              <w:jc w:val="left"/>
              <w:rPr>
                <w:strike/>
              </w:rPr>
            </w:pPr>
            <w:r w:rsidRPr="00C60AD1">
              <w:rPr>
                <w:rFonts w:cs="Arial"/>
                <w:b/>
                <w:bCs/>
                <w:szCs w:val="22"/>
              </w:rPr>
              <w:t>(B) For Private Institutions</w:t>
            </w:r>
          </w:p>
        </w:tc>
        <w:tc>
          <w:tcPr>
            <w:tcW w:w="2835" w:type="dxa"/>
          </w:tcPr>
          <w:p w:rsidR="006349D7" w:rsidRPr="00136ADD" w:rsidRDefault="006349D7" w:rsidP="00BB5A5A">
            <w:pPr>
              <w:pStyle w:val="Header"/>
              <w:tabs>
                <w:tab w:val="clear" w:pos="4320"/>
                <w:tab w:val="clear" w:pos="8640"/>
                <w:tab w:val="left" w:pos="360"/>
              </w:tabs>
              <w:rPr>
                <w:rFonts w:cs="Arial"/>
                <w:bCs/>
              </w:rPr>
            </w:pPr>
            <w:r>
              <w:rPr>
                <w:rFonts w:cs="Arial"/>
                <w:bCs/>
              </w:rPr>
              <w:t>For first 1000 kWh / month</w:t>
            </w:r>
          </w:p>
        </w:tc>
        <w:tc>
          <w:tcPr>
            <w:tcW w:w="2471" w:type="dxa"/>
            <w:vAlign w:val="center"/>
          </w:tcPr>
          <w:p w:rsidR="006349D7" w:rsidRPr="00C60AD1" w:rsidRDefault="006349D7" w:rsidP="00BB5A5A">
            <w:pPr>
              <w:pStyle w:val="Header"/>
              <w:tabs>
                <w:tab w:val="clear" w:pos="4320"/>
                <w:tab w:val="clear" w:pos="8640"/>
                <w:tab w:val="left" w:pos="360"/>
              </w:tabs>
              <w:jc w:val="center"/>
              <w:rPr>
                <w:rFonts w:cs="Arial"/>
                <w:bCs/>
              </w:rPr>
            </w:pPr>
            <w:r w:rsidRPr="00C60AD1">
              <w:rPr>
                <w:rFonts w:cs="Arial"/>
                <w:bCs/>
              </w:rPr>
              <w:t>Rs. 7.</w:t>
            </w:r>
            <w:r>
              <w:rPr>
                <w:rFonts w:cs="Arial"/>
                <w:bCs/>
              </w:rPr>
              <w:t>75</w:t>
            </w:r>
            <w:r w:rsidRPr="00C60AD1">
              <w:rPr>
                <w:rFonts w:cs="Arial"/>
                <w:bCs/>
              </w:rPr>
              <w:t xml:space="preserve"> / kWh</w:t>
            </w:r>
          </w:p>
        </w:tc>
      </w:tr>
      <w:tr w:rsidR="006349D7" w:rsidRPr="00C60AD1" w:rsidTr="00BB5A5A">
        <w:trPr>
          <w:jc w:val="right"/>
        </w:trPr>
        <w:tc>
          <w:tcPr>
            <w:tcW w:w="2977" w:type="dxa"/>
            <w:vMerge/>
          </w:tcPr>
          <w:p w:rsidR="006349D7" w:rsidRPr="00C60AD1" w:rsidRDefault="006349D7" w:rsidP="00BB5A5A">
            <w:pPr>
              <w:tabs>
                <w:tab w:val="left" w:pos="360"/>
              </w:tabs>
              <w:ind w:right="6"/>
              <w:rPr>
                <w:rFonts w:cs="Arial"/>
                <w:b/>
                <w:bCs/>
              </w:rPr>
            </w:pPr>
          </w:p>
        </w:tc>
        <w:tc>
          <w:tcPr>
            <w:tcW w:w="2835" w:type="dxa"/>
          </w:tcPr>
          <w:p w:rsidR="006349D7" w:rsidRPr="00136ADD" w:rsidRDefault="006349D7" w:rsidP="00BB5A5A">
            <w:pPr>
              <w:pStyle w:val="Header"/>
              <w:tabs>
                <w:tab w:val="clear" w:pos="4320"/>
                <w:tab w:val="clear" w:pos="8640"/>
                <w:tab w:val="left" w:pos="360"/>
              </w:tabs>
              <w:rPr>
                <w:rFonts w:cs="Arial"/>
                <w:bCs/>
              </w:rPr>
            </w:pPr>
            <w:r>
              <w:rPr>
                <w:rFonts w:cs="Arial"/>
                <w:bCs/>
              </w:rPr>
              <w:t xml:space="preserve">For above 1000 kWh / month </w:t>
            </w:r>
            <w:r>
              <w:rPr>
                <w:rFonts w:asciiTheme="minorHAnsi" w:hAnsiTheme="minorHAnsi"/>
              </w:rPr>
              <w:t>(Starting from 1001</w:t>
            </w:r>
            <w:r>
              <w:rPr>
                <w:rFonts w:asciiTheme="minorHAnsi" w:hAnsiTheme="minorHAnsi"/>
                <w:vertAlign w:val="superscript"/>
              </w:rPr>
              <w:t>st</w:t>
            </w:r>
            <w:r>
              <w:rPr>
                <w:rFonts w:asciiTheme="minorHAnsi" w:hAnsiTheme="minorHAnsi"/>
              </w:rPr>
              <w:t xml:space="preserve"> unit)</w:t>
            </w:r>
          </w:p>
        </w:tc>
        <w:tc>
          <w:tcPr>
            <w:tcW w:w="2471" w:type="dxa"/>
            <w:vAlign w:val="center"/>
          </w:tcPr>
          <w:p w:rsidR="006349D7" w:rsidRDefault="006349D7" w:rsidP="00BB5A5A">
            <w:pPr>
              <w:pStyle w:val="Header"/>
              <w:tabs>
                <w:tab w:val="clear" w:pos="4320"/>
                <w:tab w:val="clear" w:pos="8640"/>
                <w:tab w:val="left" w:pos="360"/>
              </w:tabs>
              <w:jc w:val="center"/>
              <w:rPr>
                <w:rFonts w:cs="Arial"/>
                <w:bCs/>
              </w:rPr>
            </w:pPr>
            <w:r w:rsidRPr="00C60AD1">
              <w:rPr>
                <w:rFonts w:cs="Arial"/>
                <w:bCs/>
              </w:rPr>
              <w:t>Rs. 7.</w:t>
            </w:r>
            <w:r>
              <w:rPr>
                <w:rFonts w:cs="Arial"/>
                <w:bCs/>
              </w:rPr>
              <w:t>95</w:t>
            </w:r>
            <w:r w:rsidRPr="00C60AD1">
              <w:rPr>
                <w:rFonts w:cs="Arial"/>
                <w:bCs/>
              </w:rPr>
              <w:t xml:space="preserve"> / kWh</w:t>
            </w:r>
          </w:p>
        </w:tc>
      </w:tr>
    </w:tbl>
    <w:p w:rsidR="006349D7" w:rsidRPr="00C60AD1" w:rsidRDefault="006349D7" w:rsidP="006349D7">
      <w:pPr>
        <w:spacing w:before="60" w:after="120"/>
        <w:ind w:right="-61"/>
        <w:jc w:val="center"/>
        <w:rPr>
          <w:b/>
          <w:u w:val="single"/>
        </w:rPr>
      </w:pPr>
      <w:r w:rsidRPr="00C60AD1">
        <w:rPr>
          <w:b/>
          <w:bCs/>
          <w:u w:val="single"/>
        </w:rPr>
        <w:br w:type="page"/>
      </w:r>
      <w:r w:rsidRPr="00C60AD1">
        <w:rPr>
          <w:b/>
          <w:u w:val="single"/>
        </w:rPr>
        <w:lastRenderedPageBreak/>
        <w:t>RATE SCHEDULE LMV– 5:</w:t>
      </w:r>
    </w:p>
    <w:p w:rsidR="006349D7" w:rsidRPr="00C60AD1" w:rsidRDefault="006349D7" w:rsidP="006349D7">
      <w:pPr>
        <w:jc w:val="center"/>
        <w:rPr>
          <w:b/>
        </w:rPr>
      </w:pPr>
    </w:p>
    <w:p w:rsidR="006349D7" w:rsidRPr="00C60AD1" w:rsidRDefault="006349D7" w:rsidP="006349D7">
      <w:pPr>
        <w:jc w:val="center"/>
        <w:rPr>
          <w:b/>
        </w:rPr>
      </w:pPr>
      <w:r w:rsidRPr="00C60AD1">
        <w:rPr>
          <w:b/>
        </w:rPr>
        <w:t>SMALL POWER FOR PRIVATE TUBE WELLS / PUMPING SETS FOR IRRIGATION PURPOSES:</w:t>
      </w:r>
    </w:p>
    <w:p w:rsidR="006349D7" w:rsidRPr="00C60AD1" w:rsidRDefault="006349D7" w:rsidP="006349D7">
      <w:pPr>
        <w:jc w:val="center"/>
        <w:rPr>
          <w:b/>
        </w:rPr>
      </w:pPr>
    </w:p>
    <w:p w:rsidR="006349D7" w:rsidRPr="00C60AD1" w:rsidRDefault="006349D7" w:rsidP="006349D7">
      <w:pPr>
        <w:rPr>
          <w:b/>
        </w:rPr>
      </w:pPr>
      <w:r w:rsidRPr="00C60AD1">
        <w:rPr>
          <w:b/>
        </w:rPr>
        <w:t>1.</w:t>
      </w:r>
      <w:r w:rsidRPr="00C60AD1">
        <w:rPr>
          <w:b/>
        </w:rPr>
        <w:tab/>
        <w:t xml:space="preserve"> APPLICABILITY:</w:t>
      </w:r>
      <w:r>
        <w:rPr>
          <w:b/>
        </w:rPr>
        <w:tab/>
      </w:r>
    </w:p>
    <w:p w:rsidR="006349D7" w:rsidRDefault="006349D7" w:rsidP="006349D7">
      <w:pPr>
        <w:ind w:left="720"/>
        <w:rPr>
          <w:rFonts w:cstheme="minorHAnsi"/>
        </w:rPr>
      </w:pPr>
      <w:r w:rsidRPr="00B62091">
        <w:rPr>
          <w:rFonts w:cstheme="minorHAnsi"/>
        </w:rPr>
        <w:t xml:space="preserve">This schedule shall apply to all power consumers getting supply as per Rural / Urban Schedule for Private Tube-wells / Pumping Sets for irrigation purposes having a contracted load up to 25 BHP and for additional agricultural processes confined to Chaff-Cutter, Thresher, Cane Crusher and Rice Huller. All new connections under this category shall necessarily have the ISI marked energy efficient mono-bloc pump sets with power factor compensation capacitors of adequate rating to qualify for the supply. All existing pump sets shall be required to install power factor compensation capacitors. </w:t>
      </w:r>
    </w:p>
    <w:p w:rsidR="006349D7" w:rsidRPr="00F3337B" w:rsidRDefault="006349D7" w:rsidP="006349D7">
      <w:pPr>
        <w:ind w:left="720"/>
        <w:rPr>
          <w:rFonts w:cstheme="minorHAnsi"/>
        </w:rPr>
      </w:pPr>
    </w:p>
    <w:p w:rsidR="006349D7" w:rsidRPr="00F3337B" w:rsidRDefault="006349D7" w:rsidP="006349D7">
      <w:pPr>
        <w:rPr>
          <w:rFonts w:cstheme="minorHAnsi"/>
          <w:b/>
        </w:rPr>
      </w:pPr>
      <w:r w:rsidRPr="00B62091">
        <w:rPr>
          <w:rFonts w:cstheme="minorHAnsi"/>
          <w:b/>
        </w:rPr>
        <w:t xml:space="preserve">2. </w:t>
      </w:r>
      <w:r w:rsidRPr="00B62091">
        <w:rPr>
          <w:rFonts w:cstheme="minorHAnsi"/>
          <w:b/>
        </w:rPr>
        <w:tab/>
        <w:t xml:space="preserve">CHARACTER AND POINT OF SUPPLY: </w:t>
      </w:r>
    </w:p>
    <w:p w:rsidR="006349D7" w:rsidRPr="00F3337B" w:rsidRDefault="006349D7" w:rsidP="006349D7">
      <w:pPr>
        <w:spacing w:line="240" w:lineRule="auto"/>
        <w:ind w:left="-360" w:right="-58" w:firstLine="1080"/>
        <w:rPr>
          <w:rFonts w:cstheme="minorHAnsi"/>
        </w:rPr>
      </w:pPr>
      <w:r w:rsidRPr="00B62091">
        <w:rPr>
          <w:rFonts w:cstheme="minorHAnsi"/>
        </w:rPr>
        <w:t>As per the applicable provisions of Electricity Supply Code.</w:t>
      </w:r>
    </w:p>
    <w:p w:rsidR="006349D7" w:rsidRPr="00F3337B" w:rsidRDefault="006349D7" w:rsidP="006349D7">
      <w:pPr>
        <w:rPr>
          <w:rFonts w:cstheme="minorHAnsi"/>
          <w:b/>
          <w:color w:val="000000"/>
        </w:rPr>
      </w:pPr>
    </w:p>
    <w:p w:rsidR="006349D7" w:rsidRPr="00F3337B" w:rsidRDefault="006349D7" w:rsidP="006349D7">
      <w:pPr>
        <w:rPr>
          <w:rFonts w:cstheme="minorHAnsi"/>
          <w:b/>
        </w:rPr>
      </w:pPr>
      <w:r w:rsidRPr="00B62091">
        <w:rPr>
          <w:rFonts w:cstheme="minorHAnsi"/>
          <w:b/>
          <w:color w:val="000000"/>
        </w:rPr>
        <w:t>3.</w:t>
      </w:r>
      <w:r w:rsidRPr="00B62091">
        <w:rPr>
          <w:rFonts w:cstheme="minorHAnsi"/>
          <w:b/>
        </w:rPr>
        <w:t xml:space="preserve"> </w:t>
      </w:r>
      <w:r w:rsidRPr="00B62091">
        <w:rPr>
          <w:rFonts w:cstheme="minorHAnsi"/>
          <w:b/>
        </w:rPr>
        <w:tab/>
        <w:t>RATE:</w:t>
      </w:r>
    </w:p>
    <w:p w:rsidR="006349D7" w:rsidRPr="00F3337B" w:rsidRDefault="006349D7" w:rsidP="006349D7">
      <w:pPr>
        <w:spacing w:after="240"/>
        <w:ind w:left="720"/>
        <w:rPr>
          <w:rFonts w:cstheme="minorHAnsi"/>
        </w:rPr>
      </w:pPr>
      <w:r w:rsidRPr="00B62091">
        <w:rPr>
          <w:rFonts w:cstheme="minorHAnsi"/>
        </w:rPr>
        <w:t>Rate gives the fixed and energy charges at which the consumer shall be billed for his consumption during the billing period applicable to the category:</w:t>
      </w:r>
    </w:p>
    <w:p w:rsidR="006349D7" w:rsidRDefault="006349D7" w:rsidP="00EC6AAC">
      <w:pPr>
        <w:numPr>
          <w:ilvl w:val="1"/>
          <w:numId w:val="40"/>
        </w:numPr>
        <w:spacing w:before="0" w:after="240" w:line="288" w:lineRule="auto"/>
        <w:jc w:val="left"/>
        <w:rPr>
          <w:rFonts w:cstheme="minorHAnsi"/>
        </w:rPr>
      </w:pPr>
      <w:r w:rsidRPr="00B62091">
        <w:rPr>
          <w:rFonts w:cstheme="minorHAnsi"/>
        </w:rPr>
        <w:t>For consumers getting supply as per</w:t>
      </w:r>
      <w:r w:rsidRPr="00B62091">
        <w:rPr>
          <w:rFonts w:cstheme="minorHAnsi"/>
          <w:b/>
        </w:rPr>
        <w:t xml:space="preserve"> Rural Schedule</w:t>
      </w:r>
      <w:r w:rsidRPr="00B62091">
        <w:rPr>
          <w:rFonts w:cstheme="minorHAnsi"/>
        </w:rPr>
        <w:t xml:space="preserve">: </w:t>
      </w:r>
    </w:p>
    <w:p w:rsidR="006349D7" w:rsidRPr="00F3337B" w:rsidRDefault="006349D7" w:rsidP="006349D7">
      <w:pPr>
        <w:spacing w:before="100" w:beforeAutospacing="1" w:after="240"/>
        <w:ind w:left="360"/>
        <w:rPr>
          <w:rFonts w:cstheme="minorHAnsi"/>
        </w:rPr>
      </w:pPr>
      <w:r w:rsidRPr="00B62091">
        <w:rPr>
          <w:rFonts w:cstheme="minorHAnsi"/>
          <w:b/>
          <w:bCs/>
        </w:rPr>
        <w:t>(i)</w:t>
      </w:r>
      <w:r w:rsidRPr="00B62091">
        <w:rPr>
          <w:rFonts w:cstheme="minorHAnsi"/>
        </w:rPr>
        <w:tab/>
      </w:r>
      <w:r w:rsidRPr="00B62091">
        <w:rPr>
          <w:rFonts w:cstheme="minorHAnsi"/>
          <w:b/>
          <w:bCs/>
        </w:rPr>
        <w:t>Un-metered Supply</w:t>
      </w:r>
    </w:p>
    <w:tbl>
      <w:tblPr>
        <w:tblW w:w="5423"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60"/>
        <w:gridCol w:w="2363"/>
      </w:tblGrid>
      <w:tr w:rsidR="006349D7" w:rsidRPr="00F3337B" w:rsidTr="00BB5A5A">
        <w:trPr>
          <w:cantSplit/>
          <w:jc w:val="center"/>
        </w:trPr>
        <w:tc>
          <w:tcPr>
            <w:tcW w:w="3060"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363"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6349D7" w:rsidRPr="00F3337B" w:rsidTr="00BB5A5A">
        <w:trPr>
          <w:jc w:val="center"/>
        </w:trPr>
        <w:tc>
          <w:tcPr>
            <w:tcW w:w="3060" w:type="dxa"/>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100 / BHP / month</w:t>
            </w:r>
          </w:p>
        </w:tc>
        <w:tc>
          <w:tcPr>
            <w:tcW w:w="2363" w:type="dxa"/>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Nil</w:t>
            </w:r>
          </w:p>
        </w:tc>
      </w:tr>
      <w:tr w:rsidR="006349D7" w:rsidRPr="00F3337B" w:rsidTr="00BB5A5A">
        <w:trPr>
          <w:cantSplit/>
          <w:jc w:val="center"/>
        </w:trPr>
        <w:tc>
          <w:tcPr>
            <w:tcW w:w="5423" w:type="dxa"/>
            <w:gridSpan w:val="2"/>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Cs w:val="0"/>
              </w:rPr>
            </w:pPr>
            <w:r w:rsidRPr="00B62091">
              <w:rPr>
                <w:rFonts w:asciiTheme="minorHAnsi" w:hAnsiTheme="minorHAnsi" w:cstheme="minorHAnsi"/>
                <w:bCs w:val="0"/>
              </w:rPr>
              <w:t>Consumer under this category will be allowed a maximum lighting load of 120 Watts.</w:t>
            </w:r>
          </w:p>
        </w:tc>
      </w:tr>
    </w:tbl>
    <w:p w:rsidR="006349D7" w:rsidRPr="00F3337B" w:rsidRDefault="006349D7" w:rsidP="006349D7">
      <w:pPr>
        <w:spacing w:line="240" w:lineRule="auto"/>
        <w:rPr>
          <w:rFonts w:cstheme="minorHAnsi"/>
        </w:rPr>
      </w:pPr>
    </w:p>
    <w:p w:rsidR="006349D7" w:rsidRDefault="006349D7" w:rsidP="006349D7">
      <w:pPr>
        <w:ind w:firstLine="360"/>
        <w:rPr>
          <w:rFonts w:cstheme="minorHAnsi"/>
          <w:b/>
          <w:bCs/>
        </w:rPr>
      </w:pPr>
      <w:r w:rsidRPr="00B62091">
        <w:rPr>
          <w:rFonts w:cstheme="minorHAnsi"/>
          <w:b/>
          <w:bCs/>
        </w:rPr>
        <w:t>(ii)</w:t>
      </w:r>
      <w:r w:rsidRPr="00B62091">
        <w:rPr>
          <w:rFonts w:cstheme="minorHAnsi"/>
        </w:rPr>
        <w:tab/>
      </w:r>
      <w:r w:rsidRPr="00B62091">
        <w:rPr>
          <w:rFonts w:cstheme="minorHAnsi"/>
          <w:b/>
          <w:bCs/>
        </w:rPr>
        <w:t>Metered Supply</w:t>
      </w:r>
    </w:p>
    <w:p w:rsidR="006349D7" w:rsidRPr="00F3337B" w:rsidRDefault="006349D7" w:rsidP="006349D7">
      <w:pPr>
        <w:ind w:firstLine="360"/>
        <w:rPr>
          <w:rFonts w:cstheme="minorHAnsi"/>
          <w:b/>
          <w:bCs/>
        </w:rPr>
      </w:pPr>
    </w:p>
    <w:tbl>
      <w:tblPr>
        <w:tblW w:w="7787" w:type="dxa"/>
        <w:jc w:val="center"/>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6349D7" w:rsidRPr="00F3337B" w:rsidTr="00BB5A5A">
        <w:trPr>
          <w:trHeight w:val="197"/>
          <w:jc w:val="center"/>
        </w:trPr>
        <w:tc>
          <w:tcPr>
            <w:tcW w:w="2595"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6349D7" w:rsidRPr="00F3337B" w:rsidTr="00BB5A5A">
        <w:trPr>
          <w:trHeight w:val="260"/>
          <w:jc w:val="center"/>
        </w:trPr>
        <w:tc>
          <w:tcPr>
            <w:tcW w:w="2595" w:type="dxa"/>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30.00 / BHP / month</w:t>
            </w:r>
          </w:p>
        </w:tc>
        <w:tc>
          <w:tcPr>
            <w:tcW w:w="2596" w:type="dxa"/>
          </w:tcPr>
          <w:p w:rsidR="006349D7" w:rsidRPr="00F3337B" w:rsidRDefault="006349D7"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75 / BHP / month</w:t>
            </w:r>
          </w:p>
        </w:tc>
        <w:tc>
          <w:tcPr>
            <w:tcW w:w="2596" w:type="dxa"/>
          </w:tcPr>
          <w:p w:rsidR="006349D7" w:rsidRPr="00F3337B" w:rsidRDefault="006349D7"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1.00 / kWh</w:t>
            </w:r>
          </w:p>
        </w:tc>
      </w:tr>
    </w:tbl>
    <w:p w:rsidR="006349D7" w:rsidRDefault="006349D7" w:rsidP="006349D7">
      <w:pPr>
        <w:ind w:left="720"/>
        <w:rPr>
          <w:rFonts w:cstheme="minorHAnsi"/>
          <w:i/>
        </w:rPr>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Rural Schedule</w:t>
      </w:r>
      <w:r w:rsidRPr="00B62091">
        <w:rPr>
          <w:rFonts w:cstheme="minorHAnsi"/>
          <w:i/>
        </w:rPr>
        <w:t xml:space="preserve"> (Metered Supply) shall be Rs. 75 per BHP per month, till the installation of the meter.</w:t>
      </w:r>
      <w:r w:rsidRPr="00544443">
        <w:t xml:space="preserve"> </w:t>
      </w:r>
    </w:p>
    <w:p w:rsidR="006349D7" w:rsidRPr="00F3337B" w:rsidRDefault="006349D7" w:rsidP="006349D7">
      <w:pPr>
        <w:rPr>
          <w:rFonts w:cstheme="minorHAnsi"/>
        </w:rPr>
      </w:pPr>
    </w:p>
    <w:p w:rsidR="006349D7" w:rsidRDefault="006349D7" w:rsidP="006349D7">
      <w:pPr>
        <w:ind w:left="720" w:hanging="360"/>
        <w:rPr>
          <w:rFonts w:cstheme="minorHAnsi"/>
        </w:rPr>
      </w:pPr>
      <w:r w:rsidRPr="00B62091">
        <w:rPr>
          <w:rFonts w:cstheme="minorHAnsi"/>
          <w:b/>
        </w:rPr>
        <w:t>(B)</w:t>
      </w:r>
      <w:r w:rsidRPr="00B62091">
        <w:rPr>
          <w:rFonts w:cstheme="minorHAnsi"/>
          <w:b/>
        </w:rPr>
        <w:tab/>
      </w:r>
      <w:r w:rsidRPr="00B62091">
        <w:rPr>
          <w:rFonts w:cstheme="minorHAnsi"/>
        </w:rPr>
        <w:t xml:space="preserve">For consumers getting supply as per </w:t>
      </w:r>
      <w:r w:rsidRPr="00B62091">
        <w:rPr>
          <w:rFonts w:cstheme="minorHAnsi"/>
          <w:b/>
          <w:bCs/>
        </w:rPr>
        <w:t>Urban Schedule</w:t>
      </w:r>
      <w:r w:rsidRPr="00B62091">
        <w:rPr>
          <w:rFonts w:cstheme="minorHAnsi"/>
        </w:rPr>
        <w:t xml:space="preserve"> (Metered Supply) including consumers getting supply through rural feeders exempted from scheduled rostering or through co-generating radial feeders in villages and towns.</w:t>
      </w:r>
    </w:p>
    <w:p w:rsidR="006349D7" w:rsidRDefault="006349D7" w:rsidP="006349D7">
      <w:pPr>
        <w:rPr>
          <w:rFonts w:cstheme="minorHAnsi"/>
        </w:rPr>
      </w:pPr>
    </w:p>
    <w:tbl>
      <w:tblPr>
        <w:tblW w:w="7787" w:type="dxa"/>
        <w:jc w:val="righ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95"/>
        <w:gridCol w:w="2596"/>
        <w:gridCol w:w="2596"/>
      </w:tblGrid>
      <w:tr w:rsidR="006349D7" w:rsidRPr="00F3337B" w:rsidTr="00BB5A5A">
        <w:trPr>
          <w:cantSplit/>
          <w:trHeight w:val="375"/>
          <w:jc w:val="right"/>
        </w:trPr>
        <w:tc>
          <w:tcPr>
            <w:tcW w:w="2595" w:type="dxa"/>
            <w:shd w:val="clear" w:color="auto" w:fill="DBE5F1" w:themeFill="accent1" w:themeFillTint="33"/>
            <w:vAlign w:val="center"/>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Fixed Charge</w:t>
            </w:r>
          </w:p>
        </w:tc>
        <w:tc>
          <w:tcPr>
            <w:tcW w:w="2596" w:type="dxa"/>
            <w:shd w:val="clear" w:color="auto" w:fill="DBE5F1" w:themeFill="accent1" w:themeFillTint="33"/>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Minimum Charges</w:t>
            </w:r>
          </w:p>
        </w:tc>
        <w:tc>
          <w:tcPr>
            <w:tcW w:w="2596" w:type="dxa"/>
            <w:shd w:val="clear" w:color="auto" w:fill="DBE5F1" w:themeFill="accent1" w:themeFillTint="33"/>
            <w:vAlign w:val="center"/>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b/>
                <w:bCs w:val="0"/>
              </w:rPr>
            </w:pPr>
            <w:r w:rsidRPr="00B62091">
              <w:rPr>
                <w:rFonts w:asciiTheme="minorHAnsi" w:hAnsiTheme="minorHAnsi" w:cstheme="minorHAnsi"/>
                <w:b/>
                <w:bCs w:val="0"/>
              </w:rPr>
              <w:t>Energy Charge</w:t>
            </w:r>
          </w:p>
        </w:tc>
      </w:tr>
      <w:tr w:rsidR="006349D7" w:rsidRPr="00F3337B" w:rsidTr="00BB5A5A">
        <w:trPr>
          <w:cantSplit/>
          <w:trHeight w:val="420"/>
          <w:jc w:val="right"/>
        </w:trPr>
        <w:tc>
          <w:tcPr>
            <w:tcW w:w="2595" w:type="dxa"/>
            <w:vAlign w:val="center"/>
          </w:tcPr>
          <w:p w:rsidR="006349D7" w:rsidRPr="00F3337B" w:rsidRDefault="006349D7" w:rsidP="00BB5A5A">
            <w:pPr>
              <w:pStyle w:val="BodyTextIndent"/>
              <w:tabs>
                <w:tab w:val="left" w:pos="360"/>
              </w:tabs>
              <w:spacing w:line="288" w:lineRule="auto"/>
              <w:ind w:left="0" w:right="29"/>
              <w:jc w:val="center"/>
              <w:rPr>
                <w:rFonts w:asciiTheme="minorHAnsi" w:hAnsiTheme="minorHAnsi" w:cstheme="minorHAnsi"/>
              </w:rPr>
            </w:pPr>
            <w:r w:rsidRPr="00B62091">
              <w:rPr>
                <w:rFonts w:asciiTheme="minorHAnsi" w:hAnsiTheme="minorHAnsi" w:cstheme="minorHAnsi"/>
              </w:rPr>
              <w:t>Rs. 75.00 / BHP / month</w:t>
            </w:r>
          </w:p>
        </w:tc>
        <w:tc>
          <w:tcPr>
            <w:tcW w:w="2596" w:type="dxa"/>
          </w:tcPr>
          <w:p w:rsidR="006349D7" w:rsidRPr="00F3337B" w:rsidRDefault="006349D7"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160 / BHP / month</w:t>
            </w:r>
          </w:p>
        </w:tc>
        <w:tc>
          <w:tcPr>
            <w:tcW w:w="2596" w:type="dxa"/>
            <w:vAlign w:val="center"/>
          </w:tcPr>
          <w:p w:rsidR="006349D7" w:rsidRPr="00F3337B" w:rsidRDefault="006349D7" w:rsidP="00BB5A5A">
            <w:pPr>
              <w:pStyle w:val="BodyTextIndent"/>
              <w:spacing w:line="288" w:lineRule="auto"/>
              <w:ind w:left="0" w:right="-61"/>
              <w:jc w:val="center"/>
              <w:rPr>
                <w:rFonts w:asciiTheme="minorHAnsi" w:hAnsiTheme="minorHAnsi" w:cstheme="minorHAnsi"/>
              </w:rPr>
            </w:pPr>
            <w:r w:rsidRPr="00B62091">
              <w:rPr>
                <w:rFonts w:asciiTheme="minorHAnsi" w:hAnsiTheme="minorHAnsi" w:cstheme="minorHAnsi"/>
              </w:rPr>
              <w:t>Rs. 5.20 / kWh</w:t>
            </w:r>
          </w:p>
        </w:tc>
      </w:tr>
    </w:tbl>
    <w:p w:rsidR="006349D7" w:rsidRPr="00544443" w:rsidRDefault="006349D7" w:rsidP="006349D7">
      <w:pPr>
        <w:ind w:left="720"/>
      </w:pPr>
      <w:r w:rsidRPr="00B62091">
        <w:rPr>
          <w:rFonts w:cstheme="minorHAnsi"/>
          <w:b/>
          <w:i/>
        </w:rPr>
        <w:t>Note:</w:t>
      </w:r>
      <w:r w:rsidRPr="00B62091">
        <w:rPr>
          <w:rFonts w:cstheme="minorHAnsi"/>
          <w:i/>
        </w:rPr>
        <w:t xml:space="preserve"> Minimum bill payable by a consumer under the category “</w:t>
      </w:r>
      <w:r w:rsidRPr="00B62091">
        <w:rPr>
          <w:rFonts w:cstheme="minorHAnsi"/>
          <w:bCs/>
          <w:i/>
        </w:rPr>
        <w:t>Urban Schedule</w:t>
      </w:r>
      <w:r w:rsidRPr="00B62091">
        <w:rPr>
          <w:rFonts w:cstheme="minorHAnsi"/>
          <w:i/>
        </w:rPr>
        <w:t xml:space="preserve"> (Metered Supply) shall be Rs. 160.00 per BHP per month, till the installation of the meter.</w:t>
      </w:r>
      <w:r w:rsidRPr="00544443">
        <w:t xml:space="preserve"> </w:t>
      </w:r>
    </w:p>
    <w:p w:rsidR="006349D7" w:rsidRPr="00F3337B" w:rsidRDefault="006349D7" w:rsidP="006349D7">
      <w:pPr>
        <w:ind w:left="720"/>
        <w:rPr>
          <w:rFonts w:cstheme="minorHAnsi"/>
          <w:i/>
        </w:rPr>
      </w:pPr>
    </w:p>
    <w:p w:rsidR="006349D7" w:rsidRDefault="006349D7" w:rsidP="006349D7">
      <w:pPr>
        <w:ind w:left="720"/>
        <w:rPr>
          <w:rFonts w:cstheme="minorHAnsi"/>
          <w:b/>
        </w:rPr>
      </w:pPr>
      <w:r w:rsidRPr="00B62091">
        <w:rPr>
          <w:rFonts w:cstheme="minorHAnsi"/>
          <w:b/>
        </w:rPr>
        <w:t>For PTW consumers of Bundelkhand Area located in Gram Sabha, the minimum bill payable by a consumer shall be Rs. 100.00 per BHP per month, till the installation of the meter</w:t>
      </w:r>
      <w:r>
        <w:rPr>
          <w:rFonts w:cstheme="minorHAnsi"/>
          <w:b/>
        </w:rPr>
        <w:t>.</w:t>
      </w:r>
    </w:p>
    <w:p w:rsidR="006349D7" w:rsidRPr="008212C4" w:rsidRDefault="006349D7" w:rsidP="006349D7">
      <w:pPr>
        <w:ind w:left="720" w:hanging="360"/>
        <w:rPr>
          <w:b/>
          <w:i/>
        </w:rPr>
      </w:pPr>
    </w:p>
    <w:p w:rsidR="006349D7" w:rsidRDefault="006349D7" w:rsidP="006349D7">
      <w:pPr>
        <w:spacing w:before="60" w:after="120"/>
        <w:ind w:right="29"/>
        <w:jc w:val="center"/>
        <w:rPr>
          <w:b/>
          <w:bCs/>
          <w:u w:val="single"/>
        </w:rPr>
      </w:pPr>
      <w:r w:rsidRPr="00C60AD1">
        <w:br w:type="page"/>
      </w:r>
      <w:r w:rsidRPr="00C60AD1">
        <w:rPr>
          <w:b/>
          <w:bCs/>
          <w:u w:val="single"/>
        </w:rPr>
        <w:lastRenderedPageBreak/>
        <w:t>RATE SCHEDULE LMV– 6:</w:t>
      </w:r>
    </w:p>
    <w:p w:rsidR="006349D7" w:rsidRPr="00C60AD1" w:rsidRDefault="006349D7" w:rsidP="006349D7">
      <w:pPr>
        <w:spacing w:before="60" w:after="120"/>
        <w:ind w:right="29"/>
        <w:jc w:val="center"/>
        <w:rPr>
          <w:b/>
          <w:bCs/>
          <w:u w:val="single"/>
        </w:rPr>
      </w:pPr>
    </w:p>
    <w:p w:rsidR="006349D7" w:rsidRDefault="006349D7" w:rsidP="001571A2">
      <w:pPr>
        <w:spacing w:before="60" w:after="120"/>
        <w:ind w:right="-58"/>
        <w:jc w:val="center"/>
        <w:rPr>
          <w:rFonts w:cs="Arial"/>
          <w:b/>
        </w:rPr>
      </w:pPr>
      <w:r w:rsidRPr="00C60AD1">
        <w:rPr>
          <w:rFonts w:cs="Arial"/>
          <w:b/>
        </w:rPr>
        <w:t>SMALL AND MEDIUM POWER:</w:t>
      </w:r>
    </w:p>
    <w:p w:rsidR="001571A2" w:rsidRPr="00C60AD1" w:rsidRDefault="001571A2" w:rsidP="001571A2">
      <w:pPr>
        <w:spacing w:before="0"/>
        <w:ind w:right="-58"/>
        <w:jc w:val="center"/>
        <w:rPr>
          <w:rFonts w:cs="Arial"/>
          <w:b/>
        </w:rPr>
      </w:pPr>
    </w:p>
    <w:p w:rsidR="006349D7" w:rsidRPr="00C60AD1" w:rsidRDefault="006349D7" w:rsidP="001571A2">
      <w:pPr>
        <w:tabs>
          <w:tab w:val="left" w:pos="360"/>
        </w:tabs>
        <w:spacing w:before="0" w:after="120"/>
        <w:ind w:right="29"/>
        <w:rPr>
          <w:b/>
        </w:rPr>
      </w:pPr>
      <w:r w:rsidRPr="00C60AD1">
        <w:rPr>
          <w:rFonts w:cs="Arial"/>
          <w:b/>
        </w:rPr>
        <w:t>1.</w:t>
      </w:r>
      <w:r w:rsidRPr="00C60AD1">
        <w:rPr>
          <w:rFonts w:cs="Arial"/>
          <w:b/>
        </w:rPr>
        <w:tab/>
      </w:r>
      <w:r w:rsidRPr="00C60AD1">
        <w:rPr>
          <w:b/>
        </w:rPr>
        <w:t>APPLICABILITY:</w:t>
      </w:r>
    </w:p>
    <w:p w:rsidR="006349D7" w:rsidRDefault="006349D7" w:rsidP="006349D7">
      <w:pPr>
        <w:tabs>
          <w:tab w:val="left" w:pos="360"/>
        </w:tabs>
        <w:spacing w:before="100" w:after="120"/>
        <w:ind w:left="360"/>
      </w:pPr>
      <w:r w:rsidRPr="00C60AD1">
        <w:t>This schedule shall apply to all consumers of electrical energy having a contracted load up to 100 HP (75 kW) for industrial / processing or agro-industrial purposes, power loom (load of 5 kW and above) and to other power consumers, not covered under any other rate schedule.  Floriculture / Mushroom farming units having loads up-to 100 BHP (75kW) shall also be covered under this rate schedule.  This schedule shall also apply to pumping sets above 25 BHP.</w:t>
      </w:r>
    </w:p>
    <w:p w:rsidR="006349D7" w:rsidRPr="00C60AD1" w:rsidRDefault="006349D7" w:rsidP="006349D7">
      <w:pPr>
        <w:tabs>
          <w:tab w:val="left" w:pos="360"/>
        </w:tabs>
        <w:spacing w:before="100" w:after="120"/>
        <w:ind w:left="360"/>
      </w:pPr>
    </w:p>
    <w:p w:rsidR="006349D7" w:rsidRPr="00C60AD1" w:rsidRDefault="006349D7" w:rsidP="006349D7">
      <w:pPr>
        <w:rPr>
          <w:b/>
        </w:rPr>
      </w:pPr>
      <w:r w:rsidRPr="00C60AD1">
        <w:rPr>
          <w:b/>
        </w:rPr>
        <w:t>2.   CHARACTER AND POINT OF SUPPLY:</w:t>
      </w:r>
    </w:p>
    <w:p w:rsidR="006349D7" w:rsidRPr="00C60AD1" w:rsidRDefault="006349D7" w:rsidP="006349D7">
      <w:pPr>
        <w:spacing w:line="240" w:lineRule="auto"/>
        <w:ind w:left="360" w:right="-58"/>
        <w:rPr>
          <w:rFonts w:cs="Arial"/>
        </w:rPr>
      </w:pPr>
      <w:r w:rsidRPr="00C60AD1">
        <w:t>As per the applicable provisions of Electricity Supply Code.</w:t>
      </w:r>
    </w:p>
    <w:p w:rsidR="006349D7" w:rsidRDefault="006349D7" w:rsidP="006349D7">
      <w:pPr>
        <w:tabs>
          <w:tab w:val="left" w:pos="360"/>
        </w:tabs>
        <w:spacing w:before="240" w:after="120"/>
        <w:ind w:right="1440"/>
        <w:rPr>
          <w:rFonts w:cs="Arial"/>
          <w:b/>
        </w:rPr>
      </w:pPr>
    </w:p>
    <w:p w:rsidR="006349D7" w:rsidRPr="00C60AD1" w:rsidRDefault="006349D7" w:rsidP="006349D7">
      <w:pPr>
        <w:tabs>
          <w:tab w:val="left" w:pos="360"/>
        </w:tabs>
        <w:spacing w:before="240" w:after="120"/>
        <w:ind w:right="1440"/>
        <w:rPr>
          <w:rFonts w:cs="Arial"/>
          <w:b/>
        </w:rPr>
      </w:pPr>
      <w:r w:rsidRPr="00C60AD1">
        <w:rPr>
          <w:rFonts w:cs="Arial"/>
          <w:b/>
        </w:rPr>
        <w:t>3.</w:t>
      </w:r>
      <w:r w:rsidRPr="00C60AD1">
        <w:rPr>
          <w:rFonts w:cs="Arial"/>
          <w:b/>
        </w:rPr>
        <w:tab/>
        <w:t>RATE:</w:t>
      </w:r>
    </w:p>
    <w:p w:rsidR="006349D7" w:rsidRPr="00C60AD1" w:rsidRDefault="006349D7" w:rsidP="006349D7">
      <w:pPr>
        <w:ind w:left="360"/>
      </w:pPr>
      <w:r w:rsidRPr="00C60AD1">
        <w:t>Rate, gives the fixed and energy charges (including the TOD rates as applicable to the hour of operation) at which the consumer shall be billed for his consumption during the billing period applicable to the category:</w:t>
      </w:r>
    </w:p>
    <w:p w:rsidR="006349D7" w:rsidRPr="00C60AD1" w:rsidRDefault="006349D7" w:rsidP="006349D7">
      <w:pPr>
        <w:ind w:left="360"/>
      </w:pPr>
    </w:p>
    <w:p w:rsidR="006349D7" w:rsidRDefault="006349D7" w:rsidP="00EC6AAC">
      <w:pPr>
        <w:numPr>
          <w:ilvl w:val="0"/>
          <w:numId w:val="54"/>
        </w:numPr>
        <w:spacing w:before="0"/>
        <w:rPr>
          <w:rFonts w:cs="Arial"/>
        </w:rPr>
      </w:pPr>
      <w:r w:rsidRPr="00C60AD1">
        <w:rPr>
          <w:rFonts w:cs="Arial"/>
          <w:b/>
        </w:rPr>
        <w:t>Consumers getting supply</w:t>
      </w:r>
      <w:r w:rsidRPr="00C60AD1">
        <w:rPr>
          <w:rFonts w:cs="Arial"/>
        </w:rPr>
        <w:t xml:space="preserve"> </w:t>
      </w:r>
      <w:r w:rsidRPr="00C60AD1">
        <w:rPr>
          <w:rFonts w:cs="Arial"/>
          <w:b/>
        </w:rPr>
        <w:t>other than Rural Schedule</w:t>
      </w:r>
      <w:r w:rsidRPr="00C60AD1">
        <w:rPr>
          <w:rFonts w:cs="Arial"/>
        </w:rPr>
        <w:t>:</w:t>
      </w:r>
    </w:p>
    <w:p w:rsidR="006349D7" w:rsidRPr="00C60AD1" w:rsidRDefault="006349D7" w:rsidP="006349D7">
      <w:pPr>
        <w:rPr>
          <w:rFonts w:cs="Arial"/>
        </w:rPr>
      </w:pPr>
    </w:p>
    <w:tbl>
      <w:tblPr>
        <w:tblW w:w="6633" w:type="dxa"/>
        <w:jc w:val="center"/>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2"/>
        <w:gridCol w:w="3381"/>
      </w:tblGrid>
      <w:tr w:rsidR="006349D7" w:rsidRPr="00C60AD1" w:rsidTr="00BB5A5A">
        <w:trPr>
          <w:jc w:val="center"/>
        </w:trPr>
        <w:tc>
          <w:tcPr>
            <w:tcW w:w="3252"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Pr>
                <w:rFonts w:cs="Arial"/>
                <w:b/>
                <w:bCs/>
              </w:rPr>
              <w:t>Contracted Load</w:t>
            </w:r>
            <w:r w:rsidRPr="00C60AD1">
              <w:rPr>
                <w:rFonts w:cs="Arial"/>
                <w:b/>
                <w:bCs/>
              </w:rPr>
              <w:t xml:space="preserve"> </w:t>
            </w:r>
          </w:p>
        </w:tc>
        <w:tc>
          <w:tcPr>
            <w:tcW w:w="3381"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sidRPr="00C60AD1">
              <w:rPr>
                <w:rFonts w:cs="Arial"/>
                <w:b/>
                <w:bCs/>
              </w:rPr>
              <w:t>Fixed Charge</w:t>
            </w:r>
          </w:p>
        </w:tc>
      </w:tr>
      <w:tr w:rsidR="006349D7" w:rsidRPr="00C60AD1" w:rsidTr="00BB5A5A">
        <w:trPr>
          <w:jc w:val="center"/>
        </w:trPr>
        <w:tc>
          <w:tcPr>
            <w:tcW w:w="3252" w:type="dxa"/>
            <w:vAlign w:val="center"/>
          </w:tcPr>
          <w:p w:rsidR="006349D7" w:rsidRPr="00C60AD1" w:rsidRDefault="006349D7" w:rsidP="00BB5A5A">
            <w:pPr>
              <w:keepNext/>
              <w:spacing w:before="0" w:after="120" w:line="240" w:lineRule="auto"/>
              <w:jc w:val="left"/>
              <w:rPr>
                <w:rFonts w:cs="Arial"/>
                <w:bCs/>
              </w:rPr>
            </w:pPr>
            <w:r>
              <w:rPr>
                <w:rFonts w:cs="Arial"/>
                <w:bCs/>
              </w:rPr>
              <w:t>Up to 4 kW</w:t>
            </w:r>
          </w:p>
        </w:tc>
        <w:tc>
          <w:tcPr>
            <w:tcW w:w="3381" w:type="dxa"/>
            <w:vAlign w:val="center"/>
          </w:tcPr>
          <w:p w:rsidR="006349D7" w:rsidRPr="00C60AD1" w:rsidRDefault="006349D7" w:rsidP="00BB5A5A">
            <w:pPr>
              <w:keepNext/>
              <w:spacing w:before="0" w:after="120" w:line="240" w:lineRule="auto"/>
              <w:jc w:val="center"/>
              <w:rPr>
                <w:rFonts w:cs="Arial"/>
                <w:bCs/>
              </w:rPr>
            </w:pPr>
            <w:r w:rsidRPr="00C60AD1">
              <w:rPr>
                <w:bCs/>
              </w:rPr>
              <w:t>Rs. 2</w:t>
            </w:r>
            <w:r>
              <w:rPr>
                <w:bCs/>
              </w:rPr>
              <w:t>4</w:t>
            </w:r>
            <w:r w:rsidRPr="00C60AD1">
              <w:t>5</w:t>
            </w:r>
            <w:r w:rsidRPr="00C60AD1">
              <w:rPr>
                <w:bCs/>
              </w:rPr>
              <w:t xml:space="preserve"> / kW / month</w:t>
            </w:r>
          </w:p>
        </w:tc>
      </w:tr>
      <w:tr w:rsidR="006349D7" w:rsidRPr="00C60AD1" w:rsidTr="00BB5A5A">
        <w:trPr>
          <w:jc w:val="center"/>
        </w:trPr>
        <w:tc>
          <w:tcPr>
            <w:tcW w:w="3252" w:type="dxa"/>
            <w:vAlign w:val="center"/>
          </w:tcPr>
          <w:p w:rsidR="006349D7" w:rsidRPr="00C60AD1" w:rsidRDefault="006349D7" w:rsidP="00BB5A5A">
            <w:pPr>
              <w:keepNext/>
              <w:spacing w:before="0" w:after="120" w:line="240" w:lineRule="auto"/>
              <w:jc w:val="left"/>
              <w:rPr>
                <w:rFonts w:cs="Arial"/>
                <w:bCs/>
              </w:rPr>
            </w:pPr>
            <w:r>
              <w:rPr>
                <w:rFonts w:cs="Arial"/>
                <w:bCs/>
              </w:rPr>
              <w:t>Above 4 kW to 9 kW</w:t>
            </w:r>
          </w:p>
        </w:tc>
        <w:tc>
          <w:tcPr>
            <w:tcW w:w="3381" w:type="dxa"/>
            <w:vAlign w:val="center"/>
          </w:tcPr>
          <w:p w:rsidR="006349D7" w:rsidRPr="00C60AD1" w:rsidRDefault="006349D7" w:rsidP="00BB5A5A">
            <w:pPr>
              <w:keepNext/>
              <w:spacing w:before="0" w:after="120" w:line="240" w:lineRule="auto"/>
              <w:jc w:val="center"/>
              <w:rPr>
                <w:bCs/>
              </w:rPr>
            </w:pPr>
            <w:r w:rsidRPr="00C60AD1">
              <w:rPr>
                <w:bCs/>
              </w:rPr>
              <w:t>Rs. 2</w:t>
            </w:r>
            <w:r>
              <w:rPr>
                <w:bCs/>
              </w:rPr>
              <w:t>5</w:t>
            </w:r>
            <w:r w:rsidRPr="00C60AD1">
              <w:t>5</w:t>
            </w:r>
            <w:r w:rsidRPr="00C60AD1">
              <w:rPr>
                <w:bCs/>
              </w:rPr>
              <w:t xml:space="preserve"> / kW / month</w:t>
            </w:r>
          </w:p>
        </w:tc>
      </w:tr>
      <w:tr w:rsidR="006349D7" w:rsidRPr="00C60AD1" w:rsidTr="00BB5A5A">
        <w:trPr>
          <w:jc w:val="center"/>
        </w:trPr>
        <w:tc>
          <w:tcPr>
            <w:tcW w:w="3252" w:type="dxa"/>
            <w:vAlign w:val="center"/>
          </w:tcPr>
          <w:p w:rsidR="006349D7" w:rsidRPr="00C60AD1" w:rsidRDefault="006349D7" w:rsidP="00BB5A5A">
            <w:pPr>
              <w:keepNext/>
              <w:spacing w:before="0" w:after="120" w:line="240" w:lineRule="auto"/>
              <w:jc w:val="left"/>
              <w:rPr>
                <w:rFonts w:cs="Arial"/>
                <w:bCs/>
              </w:rPr>
            </w:pPr>
            <w:r>
              <w:rPr>
                <w:rFonts w:cs="Arial"/>
                <w:bCs/>
              </w:rPr>
              <w:t>Above 9 kW</w:t>
            </w:r>
          </w:p>
        </w:tc>
        <w:tc>
          <w:tcPr>
            <w:tcW w:w="3381" w:type="dxa"/>
            <w:vAlign w:val="center"/>
          </w:tcPr>
          <w:p w:rsidR="006349D7" w:rsidRPr="00C60AD1" w:rsidRDefault="006349D7" w:rsidP="00BB5A5A">
            <w:pPr>
              <w:keepNext/>
              <w:spacing w:before="0" w:after="120" w:line="240" w:lineRule="auto"/>
              <w:jc w:val="center"/>
              <w:rPr>
                <w:bCs/>
              </w:rPr>
            </w:pPr>
            <w:r>
              <w:rPr>
                <w:bCs/>
              </w:rPr>
              <w:t>Rs. 27</w:t>
            </w:r>
            <w:r w:rsidRPr="00C60AD1">
              <w:t>5</w:t>
            </w:r>
            <w:r w:rsidRPr="00C60AD1">
              <w:rPr>
                <w:bCs/>
              </w:rPr>
              <w:t xml:space="preserve"> / kW / month</w:t>
            </w:r>
          </w:p>
        </w:tc>
      </w:tr>
    </w:tbl>
    <w:p w:rsidR="006349D7" w:rsidRDefault="006349D7" w:rsidP="006349D7">
      <w:pPr>
        <w:spacing w:before="0"/>
        <w:ind w:left="1440"/>
        <w:jc w:val="center"/>
        <w:rPr>
          <w:rFonts w:cs="Calibri"/>
          <w:b/>
        </w:rPr>
      </w:pPr>
    </w:p>
    <w:tbl>
      <w:tblPr>
        <w:tblW w:w="6778"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4"/>
        <w:gridCol w:w="3354"/>
      </w:tblGrid>
      <w:tr w:rsidR="006349D7" w:rsidRPr="00C60AD1" w:rsidTr="00BB5A5A">
        <w:trPr>
          <w:jc w:val="center"/>
        </w:trPr>
        <w:tc>
          <w:tcPr>
            <w:tcW w:w="3424"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sidRPr="00C60AD1">
              <w:rPr>
                <w:rFonts w:cs="Arial"/>
                <w:b/>
                <w:bCs/>
              </w:rPr>
              <w:lastRenderedPageBreak/>
              <w:t xml:space="preserve">Consumption Range </w:t>
            </w:r>
          </w:p>
        </w:tc>
        <w:tc>
          <w:tcPr>
            <w:tcW w:w="3354" w:type="dxa"/>
            <w:shd w:val="clear" w:color="auto" w:fill="DBE5F1" w:themeFill="accent1" w:themeFillTint="33"/>
          </w:tcPr>
          <w:p w:rsidR="006349D7" w:rsidRPr="00C60AD1" w:rsidRDefault="006349D7" w:rsidP="00BB5A5A">
            <w:pPr>
              <w:keepNext/>
              <w:spacing w:before="0" w:after="120" w:line="240" w:lineRule="auto"/>
              <w:jc w:val="center"/>
              <w:rPr>
                <w:rFonts w:cs="Arial"/>
                <w:b/>
                <w:bCs/>
              </w:rPr>
            </w:pPr>
            <w:r w:rsidRPr="00C60AD1">
              <w:rPr>
                <w:rFonts w:cs="Arial"/>
                <w:b/>
                <w:bCs/>
              </w:rPr>
              <w:t>Energy Charge</w:t>
            </w:r>
          </w:p>
        </w:tc>
      </w:tr>
      <w:tr w:rsidR="006349D7" w:rsidRPr="00C60AD1" w:rsidTr="00BB5A5A">
        <w:trPr>
          <w:jc w:val="center"/>
        </w:trPr>
        <w:tc>
          <w:tcPr>
            <w:tcW w:w="3424" w:type="dxa"/>
            <w:vAlign w:val="center"/>
          </w:tcPr>
          <w:p w:rsidR="006349D7" w:rsidRDefault="006349D7" w:rsidP="00BB5A5A">
            <w:pPr>
              <w:keepNext/>
              <w:spacing w:before="0" w:after="120" w:line="240" w:lineRule="auto"/>
              <w:jc w:val="left"/>
              <w:rPr>
                <w:rFonts w:cs="Arial"/>
                <w:bCs/>
              </w:rPr>
            </w:pPr>
            <w:r w:rsidRPr="00201853">
              <w:rPr>
                <w:rFonts w:cs="Arial"/>
                <w:bCs/>
              </w:rPr>
              <w:t>Up to</w:t>
            </w:r>
            <w:r>
              <w:rPr>
                <w:rFonts w:cs="Arial"/>
                <w:bCs/>
              </w:rPr>
              <w:t xml:space="preserve"> </w:t>
            </w:r>
            <w:r w:rsidRPr="00C60AD1">
              <w:rPr>
                <w:rFonts w:cs="Arial"/>
                <w:bCs/>
              </w:rPr>
              <w:t>1000 kWh / month</w:t>
            </w:r>
          </w:p>
        </w:tc>
        <w:tc>
          <w:tcPr>
            <w:tcW w:w="3354" w:type="dxa"/>
            <w:vAlign w:val="center"/>
          </w:tcPr>
          <w:p w:rsidR="006349D7" w:rsidRPr="00C60AD1" w:rsidRDefault="006349D7" w:rsidP="00BB5A5A">
            <w:pPr>
              <w:keepNext/>
              <w:spacing w:before="0" w:after="120" w:line="240" w:lineRule="auto"/>
              <w:jc w:val="center"/>
              <w:rPr>
                <w:rFonts w:cs="Arial"/>
                <w:bCs/>
              </w:rPr>
            </w:pPr>
            <w:r w:rsidRPr="00C60AD1">
              <w:rPr>
                <w:rFonts w:cs="Arial"/>
                <w:bCs/>
              </w:rPr>
              <w:t xml:space="preserve">Rs. </w:t>
            </w:r>
            <w:r>
              <w:rPr>
                <w:rFonts w:cs="Arial"/>
                <w:bCs/>
              </w:rPr>
              <w:t>7</w:t>
            </w:r>
            <w:r w:rsidRPr="00C60AD1">
              <w:rPr>
                <w:rFonts w:cs="Arial"/>
                <w:bCs/>
              </w:rPr>
              <w:t>.</w:t>
            </w:r>
            <w:r>
              <w:rPr>
                <w:rFonts w:cs="Arial"/>
                <w:bCs/>
              </w:rPr>
              <w:t>0</w:t>
            </w:r>
            <w:r w:rsidRPr="00C60AD1">
              <w:rPr>
                <w:rFonts w:cs="Arial"/>
                <w:bCs/>
              </w:rPr>
              <w:t>0 / kWh</w:t>
            </w:r>
            <w:r>
              <w:rPr>
                <w:rFonts w:cs="Arial"/>
                <w:bCs/>
              </w:rPr>
              <w:t xml:space="preserve"> </w:t>
            </w:r>
            <w:r w:rsidRPr="00201853">
              <w:rPr>
                <w:rFonts w:cs="Arial"/>
                <w:bCs/>
              </w:rPr>
              <w:t>on entire consumption</w:t>
            </w:r>
          </w:p>
        </w:tc>
      </w:tr>
      <w:tr w:rsidR="006349D7" w:rsidRPr="00C60AD1" w:rsidTr="00BB5A5A">
        <w:trPr>
          <w:jc w:val="center"/>
        </w:trPr>
        <w:tc>
          <w:tcPr>
            <w:tcW w:w="3424" w:type="dxa"/>
            <w:vAlign w:val="center"/>
          </w:tcPr>
          <w:p w:rsidR="006349D7" w:rsidRPr="00136ADD" w:rsidRDefault="006349D7" w:rsidP="00BB5A5A">
            <w:pPr>
              <w:keepNext/>
              <w:spacing w:before="0" w:after="120" w:line="240" w:lineRule="auto"/>
              <w:jc w:val="left"/>
              <w:rPr>
                <w:rFonts w:cs="Arial"/>
                <w:bCs/>
              </w:rPr>
            </w:pPr>
            <w:r>
              <w:rPr>
                <w:rFonts w:cs="Arial"/>
                <w:bCs/>
              </w:rPr>
              <w:t>Up to 2000 kWh / month</w:t>
            </w:r>
          </w:p>
        </w:tc>
        <w:tc>
          <w:tcPr>
            <w:tcW w:w="3354" w:type="dxa"/>
            <w:vAlign w:val="center"/>
          </w:tcPr>
          <w:p w:rsidR="006349D7" w:rsidRPr="00C60AD1" w:rsidRDefault="006349D7" w:rsidP="00BB5A5A">
            <w:pPr>
              <w:keepNext/>
              <w:spacing w:before="0" w:after="120" w:line="240" w:lineRule="auto"/>
              <w:jc w:val="center"/>
              <w:rPr>
                <w:rFonts w:cs="Arial"/>
                <w:bCs/>
              </w:rPr>
            </w:pPr>
            <w:r w:rsidRPr="00C60AD1">
              <w:rPr>
                <w:rFonts w:cs="Arial"/>
                <w:bCs/>
              </w:rPr>
              <w:t>Rs. 7.</w:t>
            </w:r>
            <w:r>
              <w:rPr>
                <w:rFonts w:cs="Arial"/>
                <w:bCs/>
              </w:rPr>
              <w:t>35</w:t>
            </w:r>
            <w:r w:rsidRPr="00C60AD1">
              <w:rPr>
                <w:rFonts w:cs="Arial"/>
                <w:bCs/>
              </w:rPr>
              <w:t xml:space="preserve"> / kWh</w:t>
            </w:r>
            <w:r>
              <w:rPr>
                <w:rFonts w:cs="Arial"/>
                <w:bCs/>
              </w:rPr>
              <w:t xml:space="preserve"> </w:t>
            </w:r>
            <w:r w:rsidRPr="00201853">
              <w:rPr>
                <w:rFonts w:cs="Arial"/>
                <w:bCs/>
              </w:rPr>
              <w:t>on entire consumption</w:t>
            </w:r>
          </w:p>
        </w:tc>
      </w:tr>
      <w:tr w:rsidR="006349D7" w:rsidRPr="00C60AD1" w:rsidTr="00BB5A5A">
        <w:trPr>
          <w:jc w:val="center"/>
        </w:trPr>
        <w:tc>
          <w:tcPr>
            <w:tcW w:w="3424" w:type="dxa"/>
            <w:vAlign w:val="center"/>
          </w:tcPr>
          <w:p w:rsidR="006349D7" w:rsidRPr="00136ADD" w:rsidRDefault="006349D7" w:rsidP="00BB5A5A">
            <w:pPr>
              <w:keepNext/>
              <w:spacing w:before="0" w:after="120" w:line="240" w:lineRule="auto"/>
              <w:jc w:val="left"/>
              <w:rPr>
                <w:rFonts w:cs="Arial"/>
                <w:bCs/>
              </w:rPr>
            </w:pPr>
            <w:r>
              <w:rPr>
                <w:rFonts w:cs="Arial"/>
                <w:bCs/>
              </w:rPr>
              <w:t xml:space="preserve">For above 2000 kWh / month </w:t>
            </w:r>
          </w:p>
        </w:tc>
        <w:tc>
          <w:tcPr>
            <w:tcW w:w="3354" w:type="dxa"/>
            <w:vAlign w:val="center"/>
          </w:tcPr>
          <w:p w:rsidR="006349D7" w:rsidRPr="00C60AD1" w:rsidRDefault="006349D7" w:rsidP="00BB5A5A">
            <w:pPr>
              <w:keepNext/>
              <w:spacing w:before="0" w:after="120" w:line="240" w:lineRule="auto"/>
              <w:jc w:val="center"/>
              <w:rPr>
                <w:rFonts w:cs="Arial"/>
                <w:bCs/>
              </w:rPr>
            </w:pPr>
            <w:r>
              <w:rPr>
                <w:rFonts w:cs="Arial"/>
                <w:bCs/>
              </w:rPr>
              <w:t>Rs. 7</w:t>
            </w:r>
            <w:r w:rsidRPr="00C60AD1">
              <w:rPr>
                <w:rFonts w:cs="Arial"/>
                <w:bCs/>
              </w:rPr>
              <w:t>.60 / kWh</w:t>
            </w:r>
            <w:r>
              <w:rPr>
                <w:rFonts w:cs="Arial"/>
                <w:bCs/>
              </w:rPr>
              <w:t xml:space="preserve"> </w:t>
            </w:r>
            <w:r w:rsidRPr="00201853">
              <w:rPr>
                <w:rFonts w:cs="Arial"/>
                <w:bCs/>
              </w:rPr>
              <w:t>on entire consumption</w:t>
            </w:r>
          </w:p>
        </w:tc>
      </w:tr>
    </w:tbl>
    <w:p w:rsidR="006349D7" w:rsidRPr="00C60AD1" w:rsidRDefault="006349D7" w:rsidP="006349D7">
      <w:pPr>
        <w:spacing w:before="0"/>
        <w:ind w:left="1440"/>
        <w:jc w:val="center"/>
        <w:rPr>
          <w:rFonts w:cs="Calibri"/>
          <w:b/>
        </w:rPr>
      </w:pPr>
    </w:p>
    <w:p w:rsidR="006349D7" w:rsidRPr="00C60AD1" w:rsidRDefault="006349D7" w:rsidP="006349D7">
      <w:pPr>
        <w:tabs>
          <w:tab w:val="left" w:pos="360"/>
        </w:tabs>
        <w:spacing w:before="60" w:after="120"/>
        <w:ind w:right="29"/>
        <w:jc w:val="center"/>
        <w:rPr>
          <w:b/>
        </w:rPr>
      </w:pPr>
      <w:r w:rsidRPr="00C60AD1">
        <w:rPr>
          <w:b/>
        </w:rPr>
        <w:t>TOD Rates (% of Energy Charges):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7"/>
        <w:gridCol w:w="2976"/>
      </w:tblGrid>
      <w:tr w:rsidR="006349D7" w:rsidRPr="00C60AD1" w:rsidTr="00BB5A5A">
        <w:trPr>
          <w:tblHeader/>
          <w:jc w:val="center"/>
        </w:trPr>
        <w:tc>
          <w:tcPr>
            <w:tcW w:w="2947" w:type="dxa"/>
            <w:shd w:val="clear" w:color="auto" w:fill="D9D9D9"/>
            <w:vAlign w:val="center"/>
          </w:tcPr>
          <w:p w:rsidR="006349D7" w:rsidRDefault="006349D7" w:rsidP="00BB5A5A">
            <w:pPr>
              <w:tabs>
                <w:tab w:val="left" w:pos="360"/>
              </w:tabs>
              <w:spacing w:before="60" w:after="120"/>
              <w:ind w:right="29"/>
              <w:jc w:val="center"/>
            </w:pPr>
            <w:r w:rsidRPr="00C60AD1">
              <w:t>22:00 hrs – 06:00 hrs</w:t>
            </w:r>
          </w:p>
        </w:tc>
        <w:tc>
          <w:tcPr>
            <w:tcW w:w="2976" w:type="dxa"/>
            <w:shd w:val="clear" w:color="auto" w:fill="D9D9D9"/>
            <w:vAlign w:val="center"/>
          </w:tcPr>
          <w:p w:rsidR="006349D7" w:rsidRDefault="006349D7" w:rsidP="00BB5A5A">
            <w:pPr>
              <w:tabs>
                <w:tab w:val="left" w:pos="360"/>
              </w:tabs>
              <w:spacing w:before="60" w:after="120"/>
              <w:ind w:right="29"/>
              <w:jc w:val="center"/>
            </w:pPr>
            <w:r w:rsidRPr="00C60AD1">
              <w:t>(-) 7.5%</w:t>
            </w:r>
          </w:p>
        </w:tc>
      </w:tr>
      <w:tr w:rsidR="006349D7" w:rsidRPr="00C60AD1" w:rsidTr="00BB5A5A">
        <w:trPr>
          <w:jc w:val="center"/>
        </w:trPr>
        <w:tc>
          <w:tcPr>
            <w:tcW w:w="2947" w:type="dxa"/>
            <w:shd w:val="clear" w:color="auto" w:fill="auto"/>
            <w:vAlign w:val="center"/>
          </w:tcPr>
          <w:p w:rsidR="006349D7" w:rsidRDefault="006349D7" w:rsidP="00BB5A5A">
            <w:pPr>
              <w:tabs>
                <w:tab w:val="left" w:pos="360"/>
              </w:tabs>
              <w:spacing w:before="60" w:after="120"/>
              <w:ind w:right="29"/>
              <w:jc w:val="center"/>
              <w:rPr>
                <w:sz w:val="18"/>
                <w:szCs w:val="18"/>
              </w:rPr>
            </w:pPr>
            <w:r w:rsidRPr="00C60AD1">
              <w:t>06:00 hrs – 17:00 hrs</w:t>
            </w:r>
          </w:p>
        </w:tc>
        <w:tc>
          <w:tcPr>
            <w:tcW w:w="2976" w:type="dxa"/>
            <w:shd w:val="clear" w:color="auto" w:fill="auto"/>
            <w:vAlign w:val="center"/>
          </w:tcPr>
          <w:p w:rsidR="006349D7" w:rsidRDefault="006349D7" w:rsidP="00BB5A5A">
            <w:pPr>
              <w:tabs>
                <w:tab w:val="left" w:pos="360"/>
              </w:tabs>
              <w:spacing w:before="60" w:after="120"/>
              <w:ind w:right="29"/>
              <w:jc w:val="center"/>
              <w:rPr>
                <w:sz w:val="18"/>
                <w:szCs w:val="18"/>
              </w:rPr>
            </w:pPr>
            <w:r w:rsidRPr="00C60AD1">
              <w:t>0%</w:t>
            </w:r>
          </w:p>
        </w:tc>
      </w:tr>
      <w:tr w:rsidR="006349D7" w:rsidRPr="00C60AD1" w:rsidTr="00BB5A5A">
        <w:trPr>
          <w:jc w:val="center"/>
        </w:trPr>
        <w:tc>
          <w:tcPr>
            <w:tcW w:w="2947" w:type="dxa"/>
            <w:shd w:val="clear" w:color="auto" w:fill="D9D9D9"/>
            <w:vAlign w:val="center"/>
          </w:tcPr>
          <w:p w:rsidR="006349D7" w:rsidRDefault="006349D7" w:rsidP="00BB5A5A">
            <w:pPr>
              <w:tabs>
                <w:tab w:val="left" w:pos="360"/>
              </w:tabs>
              <w:spacing w:before="60" w:after="120"/>
              <w:ind w:right="29"/>
              <w:jc w:val="center"/>
              <w:rPr>
                <w:sz w:val="18"/>
                <w:szCs w:val="18"/>
              </w:rPr>
            </w:pPr>
            <w:r w:rsidRPr="00C60AD1">
              <w:t>17:00 hrs – 22:00 hrs</w:t>
            </w:r>
          </w:p>
        </w:tc>
        <w:tc>
          <w:tcPr>
            <w:tcW w:w="2976" w:type="dxa"/>
            <w:shd w:val="clear" w:color="auto" w:fill="D9D9D9"/>
            <w:vAlign w:val="center"/>
          </w:tcPr>
          <w:p w:rsidR="006349D7" w:rsidRDefault="006349D7" w:rsidP="00BB5A5A">
            <w:pPr>
              <w:tabs>
                <w:tab w:val="left" w:pos="360"/>
              </w:tabs>
              <w:spacing w:before="60" w:after="120"/>
              <w:ind w:right="29"/>
              <w:jc w:val="center"/>
              <w:rPr>
                <w:sz w:val="18"/>
                <w:szCs w:val="18"/>
              </w:rPr>
            </w:pPr>
            <w:r w:rsidRPr="00C60AD1">
              <w:t>(+) 15%</w:t>
            </w:r>
          </w:p>
        </w:tc>
      </w:tr>
    </w:tbl>
    <w:p w:rsidR="006349D7" w:rsidRDefault="006349D7" w:rsidP="006349D7">
      <w:pPr>
        <w:rPr>
          <w:rFonts w:cs="Calibri"/>
          <w:u w:val="single"/>
        </w:rPr>
      </w:pPr>
    </w:p>
    <w:p w:rsidR="006349D7" w:rsidRPr="00C60AD1" w:rsidRDefault="006349D7" w:rsidP="006349D7">
      <w:pPr>
        <w:rPr>
          <w:rFonts w:cs="Calibri"/>
          <w:u w:val="single"/>
        </w:rPr>
      </w:pPr>
      <w:r w:rsidRPr="00C60AD1">
        <w:rPr>
          <w:rFonts w:cs="Calibri"/>
          <w:u w:val="single"/>
        </w:rPr>
        <w:t>Optional TOD Structure</w:t>
      </w:r>
    </w:p>
    <w:p w:rsidR="006349D7" w:rsidRPr="00C60AD1" w:rsidRDefault="006349D7" w:rsidP="006349D7">
      <w:pPr>
        <w:ind w:left="720"/>
        <w:rPr>
          <w:rFonts w:cs="Calibri"/>
        </w:rPr>
      </w:pPr>
      <w:r w:rsidRPr="00C60AD1">
        <w:rPr>
          <w:rFonts w:cs="Calibri"/>
        </w:rPr>
        <w:t>For all such consumers who want to operate at full potential only during the specified night hours with restricted consumption in remaining hours may opt for the TOD structure as follows:</w:t>
      </w:r>
    </w:p>
    <w:p w:rsidR="006349D7" w:rsidRPr="00C60AD1" w:rsidRDefault="006349D7" w:rsidP="006349D7">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6349D7" w:rsidRPr="00C60AD1" w:rsidRDefault="006349D7" w:rsidP="006349D7">
      <w:pPr>
        <w:ind w:left="720"/>
        <w:jc w:val="center"/>
        <w:rPr>
          <w:rFonts w:cs="Calibri"/>
        </w:rPr>
      </w:pPr>
      <w:r w:rsidRPr="00C60AD1">
        <w:rPr>
          <w:rFonts w:cs="Calibri"/>
          <w:b/>
        </w:rPr>
        <w:t>Optional TOD Structure for Specific Consumers</w:t>
      </w:r>
    </w:p>
    <w:tbl>
      <w:tblPr>
        <w:tblW w:w="4840" w:type="pct"/>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6349D7" w:rsidRPr="00C60AD1" w:rsidTr="00BB5A5A">
        <w:trPr>
          <w:trHeight w:val="189"/>
          <w:jc w:val="center"/>
        </w:trPr>
        <w:tc>
          <w:tcPr>
            <w:tcW w:w="2450" w:type="pct"/>
            <w:shd w:val="clear" w:color="auto" w:fill="DBE5F1" w:themeFill="accent1" w:themeFillTint="33"/>
            <w:tcMar>
              <w:top w:w="17" w:type="dxa"/>
              <w:left w:w="108" w:type="dxa"/>
              <w:bottom w:w="0" w:type="dxa"/>
              <w:right w:w="108" w:type="dxa"/>
            </w:tcMar>
            <w:vAlign w:val="center"/>
            <w:hideMark/>
          </w:tcPr>
          <w:p w:rsidR="006349D7" w:rsidRPr="00C60AD1" w:rsidRDefault="006349D7" w:rsidP="00BB5A5A">
            <w:pPr>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6349D7" w:rsidRPr="00C60AD1" w:rsidRDefault="006349D7" w:rsidP="00BB5A5A">
            <w:pPr>
              <w:jc w:val="center"/>
              <w:rPr>
                <w:rFonts w:cs="Calibri"/>
              </w:rPr>
            </w:pPr>
            <w:r w:rsidRPr="00C60AD1">
              <w:rPr>
                <w:rFonts w:cs="Calibri"/>
                <w:b/>
                <w:bCs/>
              </w:rPr>
              <w:t>TOD Rates</w:t>
            </w:r>
          </w:p>
        </w:tc>
      </w:tr>
      <w:tr w:rsidR="006349D7"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6349D7" w:rsidRPr="00C60AD1" w:rsidRDefault="006349D7" w:rsidP="00BB5A5A">
            <w:pPr>
              <w:rPr>
                <w:rFonts w:cs="Calibri"/>
              </w:rPr>
            </w:pPr>
            <w:r w:rsidRPr="00C60AD1">
              <w:rPr>
                <w:rFonts w:cs="Calibri"/>
              </w:rPr>
              <w:t>06:00  hrs – 22:00 hrs</w:t>
            </w:r>
          </w:p>
        </w:tc>
        <w:tc>
          <w:tcPr>
            <w:tcW w:w="2550" w:type="pct"/>
            <w:shd w:val="clear" w:color="auto" w:fill="auto"/>
            <w:tcMar>
              <w:top w:w="17" w:type="dxa"/>
              <w:left w:w="108" w:type="dxa"/>
              <w:bottom w:w="0" w:type="dxa"/>
              <w:right w:w="108" w:type="dxa"/>
            </w:tcMar>
            <w:vAlign w:val="center"/>
            <w:hideMark/>
          </w:tcPr>
          <w:p w:rsidR="006349D7" w:rsidRPr="00C60AD1" w:rsidRDefault="006349D7" w:rsidP="00BB5A5A">
            <w:pPr>
              <w:jc w:val="center"/>
              <w:rPr>
                <w:rFonts w:cs="Calibri"/>
              </w:rPr>
            </w:pPr>
            <w:r w:rsidRPr="00C60AD1">
              <w:rPr>
                <w:rFonts w:cs="Calibri"/>
              </w:rPr>
              <w:t>Restricted Load as specified</w:t>
            </w:r>
          </w:p>
        </w:tc>
      </w:tr>
      <w:tr w:rsidR="006349D7" w:rsidRPr="00C60AD1" w:rsidTr="00BB5A5A">
        <w:trPr>
          <w:trHeight w:val="480"/>
          <w:jc w:val="center"/>
        </w:trPr>
        <w:tc>
          <w:tcPr>
            <w:tcW w:w="2450" w:type="pct"/>
            <w:shd w:val="clear" w:color="auto" w:fill="auto"/>
            <w:tcMar>
              <w:top w:w="17" w:type="dxa"/>
              <w:left w:w="108" w:type="dxa"/>
              <w:bottom w:w="0" w:type="dxa"/>
              <w:right w:w="108" w:type="dxa"/>
            </w:tcMar>
            <w:vAlign w:val="center"/>
            <w:hideMark/>
          </w:tcPr>
          <w:p w:rsidR="006349D7" w:rsidRPr="00C60AD1" w:rsidRDefault="006349D7" w:rsidP="00BB5A5A">
            <w:pPr>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6349D7" w:rsidRPr="00C60AD1" w:rsidRDefault="006349D7" w:rsidP="00BB5A5A">
            <w:pPr>
              <w:jc w:val="center"/>
              <w:rPr>
                <w:rFonts w:cs="Calibri"/>
              </w:rPr>
            </w:pPr>
            <w:r w:rsidRPr="00C60AD1">
              <w:rPr>
                <w:rFonts w:cs="Calibri"/>
              </w:rPr>
              <w:t>-15%</w:t>
            </w:r>
          </w:p>
        </w:tc>
      </w:tr>
    </w:tbl>
    <w:p w:rsidR="006349D7" w:rsidRPr="00C60AD1" w:rsidRDefault="006349D7" w:rsidP="006349D7">
      <w:pPr>
        <w:ind w:left="720"/>
        <w:rPr>
          <w:rFonts w:cs="Calibri"/>
        </w:rPr>
      </w:pPr>
      <w:r w:rsidRPr="00C60AD1">
        <w:rPr>
          <w:rFonts w:cs="Calibri"/>
        </w:rPr>
        <w:t>Such consumers would be required to ask for such ToD structure in advance. However, if the consumer who has opted for optional TOD structure, exceeds the restricted load as specified during the time slot of 06.00</w:t>
      </w:r>
      <w:r>
        <w:t xml:space="preserve"> - </w:t>
      </w:r>
      <w:r>
        <w:rPr>
          <w:rFonts w:cs="Calibri"/>
        </w:rPr>
        <w:t>22.00</w:t>
      </w:r>
      <w:r w:rsidRPr="00C60AD1">
        <w:rPr>
          <w:rFonts w:cs="Calibri"/>
        </w:rPr>
        <w:t xml:space="preserve"> hours in any month, the TOD structure as applicable for LMV-6 category (i.e. as per T</w:t>
      </w:r>
      <w:r>
        <w:rPr>
          <w:rFonts w:cs="Calibri"/>
        </w:rPr>
        <w:t>O</w:t>
      </w:r>
      <w:r w:rsidRPr="00C60AD1">
        <w:rPr>
          <w:rFonts w:cs="Calibri"/>
        </w:rPr>
        <w:t xml:space="preserve">D Rates </w:t>
      </w:r>
      <w:r w:rsidRPr="00C60AD1">
        <w:rPr>
          <w:rFonts w:cs="Calibri"/>
        </w:rPr>
        <w:lastRenderedPageBreak/>
        <w:t>specified for all Consumers) will be applicable for such consumer for that particular month.</w:t>
      </w:r>
    </w:p>
    <w:p w:rsidR="006349D7" w:rsidRPr="00C60AD1" w:rsidRDefault="006349D7" w:rsidP="006349D7">
      <w:pPr>
        <w:tabs>
          <w:tab w:val="left" w:pos="360"/>
        </w:tabs>
        <w:rPr>
          <w:rFonts w:cs="Arial"/>
          <w:b/>
        </w:rPr>
      </w:pPr>
      <w:r w:rsidRPr="00C60AD1">
        <w:rPr>
          <w:rFonts w:cs="Arial"/>
          <w:b/>
          <w:bCs/>
        </w:rPr>
        <w:t xml:space="preserve">(B) </w:t>
      </w:r>
      <w:r w:rsidRPr="00C60AD1">
        <w:rPr>
          <w:rFonts w:cs="Arial"/>
          <w:b/>
          <w:bCs/>
        </w:rPr>
        <w:tab/>
      </w:r>
      <w:r w:rsidRPr="00C60AD1">
        <w:rPr>
          <w:rFonts w:cs="Arial"/>
          <w:b/>
        </w:rPr>
        <w:t>Consumers getting supply</w:t>
      </w:r>
      <w:r w:rsidRPr="00C60AD1">
        <w:rPr>
          <w:rFonts w:cs="Arial"/>
        </w:rPr>
        <w:t xml:space="preserve"> </w:t>
      </w:r>
      <w:r w:rsidRPr="00C60AD1">
        <w:rPr>
          <w:rFonts w:cs="Arial"/>
          <w:b/>
        </w:rPr>
        <w:t>as per Rural Schedule:</w:t>
      </w:r>
    </w:p>
    <w:p w:rsidR="006349D7" w:rsidRDefault="006349D7" w:rsidP="006349D7">
      <w:pPr>
        <w:tabs>
          <w:tab w:val="left" w:pos="360"/>
        </w:tabs>
        <w:ind w:left="720"/>
        <w:rPr>
          <w:bCs/>
        </w:rPr>
      </w:pPr>
      <w:r w:rsidRPr="00C60AD1">
        <w:rPr>
          <w:bCs/>
        </w:rPr>
        <w:t>The consumer under this category shall be entitled to a rebate of 7.5% on demand &amp; energy charges as given for under urban schedule without TOD rates.</w:t>
      </w:r>
    </w:p>
    <w:p w:rsidR="006349D7" w:rsidRPr="00C60AD1" w:rsidRDefault="006349D7" w:rsidP="006349D7">
      <w:pPr>
        <w:tabs>
          <w:tab w:val="left" w:pos="360"/>
        </w:tabs>
        <w:ind w:left="720"/>
        <w:rPr>
          <w:bCs/>
        </w:rPr>
      </w:pPr>
    </w:p>
    <w:p w:rsidR="006349D7" w:rsidRPr="006C7BB1" w:rsidRDefault="006349D7" w:rsidP="006349D7">
      <w:pPr>
        <w:tabs>
          <w:tab w:val="left" w:pos="720"/>
        </w:tabs>
        <w:spacing w:before="240" w:after="120"/>
        <w:ind w:right="29"/>
        <w:rPr>
          <w:rFonts w:cs="Arial"/>
          <w:b/>
        </w:rPr>
      </w:pPr>
      <w:r>
        <w:rPr>
          <w:b/>
        </w:rPr>
        <w:t>4.</w:t>
      </w:r>
      <w:r>
        <w:rPr>
          <w:b/>
        </w:rPr>
        <w:tab/>
      </w:r>
      <w:r w:rsidRPr="006C63AF">
        <w:rPr>
          <w:rFonts w:cs="Arial"/>
          <w:b/>
        </w:rPr>
        <w:t xml:space="preserve">PROVISIONS RELATED TO SEASONAL INDUSTRIES: </w:t>
      </w:r>
    </w:p>
    <w:p w:rsidR="006349D7" w:rsidRDefault="006349D7" w:rsidP="006349D7">
      <w:pPr>
        <w:spacing w:before="60" w:after="240"/>
        <w:ind w:left="72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6349D7" w:rsidRDefault="006349D7" w:rsidP="00EC6AAC">
      <w:pPr>
        <w:numPr>
          <w:ilvl w:val="0"/>
          <w:numId w:val="44"/>
        </w:numPr>
        <w:tabs>
          <w:tab w:val="clear" w:pos="1080"/>
        </w:tabs>
        <w:spacing w:before="60" w:line="288" w:lineRule="auto"/>
        <w:ind w:left="1440" w:right="29"/>
      </w:pPr>
      <w:r w:rsidRPr="00C60AD1">
        <w:t>The load of such industry is above 13.4 BHP (for motive power loads) &amp; 10 kW (other loads) and have Tri-vector Meters / TOD meters installed at their premises.</w:t>
      </w:r>
    </w:p>
    <w:p w:rsidR="006349D7" w:rsidRDefault="006349D7" w:rsidP="00EC6AAC">
      <w:pPr>
        <w:numPr>
          <w:ilvl w:val="0"/>
          <w:numId w:val="44"/>
        </w:numPr>
        <w:tabs>
          <w:tab w:val="clear" w:pos="1080"/>
        </w:tabs>
        <w:spacing w:before="60" w:line="288" w:lineRule="auto"/>
        <w:ind w:left="1440" w:right="29"/>
      </w:pPr>
      <w:r w:rsidRPr="00C60AD1">
        <w:t xml:space="preserve">The continuous period of operation of such industries shall be at least 4 (four) months but not more than 9 (nine) months in a financial year. </w:t>
      </w:r>
    </w:p>
    <w:p w:rsidR="006349D7" w:rsidRDefault="006349D7" w:rsidP="00EC6AAC">
      <w:pPr>
        <w:numPr>
          <w:ilvl w:val="0"/>
          <w:numId w:val="44"/>
        </w:numPr>
        <w:tabs>
          <w:tab w:val="clear" w:pos="1080"/>
        </w:tabs>
        <w:spacing w:before="60" w:line="288" w:lineRule="auto"/>
        <w:ind w:left="1440" w:right="29"/>
      </w:pPr>
      <w:r w:rsidRPr="00C60AD1">
        <w:t xml:space="preserve">Any prospective consumer, desirous of availing the seasonal benefit, shall specifically declare his season at the time of submission of declaration / execution of agreement mentioning the period of operation unambiguously. </w:t>
      </w:r>
    </w:p>
    <w:p w:rsidR="006349D7" w:rsidRDefault="006349D7" w:rsidP="00EC6AAC">
      <w:pPr>
        <w:numPr>
          <w:ilvl w:val="0"/>
          <w:numId w:val="44"/>
        </w:numPr>
        <w:tabs>
          <w:tab w:val="clear" w:pos="1080"/>
        </w:tabs>
        <w:spacing w:before="60" w:line="288" w:lineRule="auto"/>
        <w:ind w:left="1440" w:right="29"/>
      </w:pPr>
      <w:r w:rsidRPr="00C60AD1">
        <w:t>The seasonal period once notified cannot be reduced during the next consecutive 12 months. The off-season tariff is not applicable to composite units having seasonal and other category loads.</w:t>
      </w:r>
    </w:p>
    <w:p w:rsidR="006349D7" w:rsidRDefault="006349D7" w:rsidP="00EC6AAC">
      <w:pPr>
        <w:numPr>
          <w:ilvl w:val="0"/>
          <w:numId w:val="44"/>
        </w:numPr>
        <w:tabs>
          <w:tab w:val="clear" w:pos="1080"/>
        </w:tabs>
        <w:spacing w:before="60" w:line="288" w:lineRule="auto"/>
        <w:ind w:left="1440"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6349D7" w:rsidRPr="00C60AD1" w:rsidRDefault="006349D7" w:rsidP="006349D7">
      <w:pPr>
        <w:spacing w:before="60"/>
        <w:ind w:left="1440" w:right="29" w:hanging="720"/>
        <w:rPr>
          <w:b/>
        </w:rPr>
      </w:pPr>
      <w:r w:rsidRPr="00C60AD1">
        <w:t xml:space="preserve">vi)  </w:t>
      </w:r>
      <w:r w:rsidRPr="00C60AD1">
        <w:tab/>
        <w:t xml:space="preserve">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w:t>
      </w:r>
      <w:r w:rsidRPr="00C60AD1">
        <w:lastRenderedPageBreak/>
        <w:t xml:space="preserve">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 </w:t>
      </w:r>
    </w:p>
    <w:p w:rsidR="006349D7" w:rsidRPr="00C60AD1" w:rsidRDefault="006349D7" w:rsidP="006349D7">
      <w:pPr>
        <w:tabs>
          <w:tab w:val="left" w:pos="360"/>
          <w:tab w:val="left" w:pos="720"/>
        </w:tabs>
        <w:spacing w:before="100"/>
        <w:ind w:right="29"/>
        <w:rPr>
          <w:b/>
        </w:rPr>
      </w:pPr>
    </w:p>
    <w:p w:rsidR="006349D7" w:rsidRPr="00C60AD1" w:rsidRDefault="006349D7" w:rsidP="006349D7">
      <w:pPr>
        <w:tabs>
          <w:tab w:val="left" w:pos="360"/>
          <w:tab w:val="left" w:pos="720"/>
        </w:tabs>
        <w:spacing w:before="100"/>
        <w:ind w:right="29"/>
        <w:rPr>
          <w:b/>
        </w:rPr>
      </w:pPr>
      <w:r w:rsidRPr="00C60AD1">
        <w:rPr>
          <w:b/>
        </w:rPr>
        <w:t>5.</w:t>
      </w:r>
      <w:r w:rsidRPr="00C60AD1">
        <w:rPr>
          <w:b/>
        </w:rPr>
        <w:tab/>
      </w:r>
      <w:r w:rsidRPr="00C60AD1">
        <w:rPr>
          <w:b/>
        </w:rPr>
        <w:tab/>
        <w:t>REBATE TO POWER LOOMS:</w:t>
      </w:r>
    </w:p>
    <w:p w:rsidR="006349D7" w:rsidRPr="00C60AD1" w:rsidRDefault="006349D7" w:rsidP="006349D7">
      <w:pPr>
        <w:tabs>
          <w:tab w:val="left" w:pos="360"/>
          <w:tab w:val="left" w:pos="720"/>
        </w:tabs>
        <w:spacing w:before="100"/>
        <w:ind w:left="720" w:right="29"/>
      </w:pPr>
      <w:r w:rsidRPr="00C60AD1">
        <w:t xml:space="preserve">Rebate to Power Loom consumers shall be applicable in accordance with the Government order dated June 14, 2006 and the Commission’s order dated  July 11, 2006 subject to adherence of provision of advance subsidy.  </w:t>
      </w:r>
    </w:p>
    <w:p w:rsidR="006349D7" w:rsidRPr="00C60AD1" w:rsidRDefault="006349D7" w:rsidP="006349D7">
      <w:pPr>
        <w:tabs>
          <w:tab w:val="left" w:pos="360"/>
          <w:tab w:val="left" w:pos="720"/>
        </w:tabs>
        <w:spacing w:before="100"/>
        <w:ind w:left="720" w:right="29"/>
      </w:pPr>
    </w:p>
    <w:p w:rsidR="006349D7" w:rsidRPr="00C60AD1" w:rsidRDefault="006349D7" w:rsidP="006349D7">
      <w:pPr>
        <w:tabs>
          <w:tab w:val="left" w:pos="360"/>
        </w:tabs>
        <w:spacing w:before="100" w:after="100"/>
        <w:ind w:right="29"/>
        <w:rPr>
          <w:b/>
        </w:rPr>
      </w:pPr>
      <w:r w:rsidRPr="00C60AD1">
        <w:rPr>
          <w:b/>
        </w:rPr>
        <w:t>6.</w:t>
      </w:r>
      <w:r w:rsidRPr="00C60AD1">
        <w:rPr>
          <w:b/>
        </w:rPr>
        <w:tab/>
      </w:r>
      <w:r w:rsidRPr="00C60AD1">
        <w:rPr>
          <w:b/>
        </w:rPr>
        <w:tab/>
        <w:t>FACTORY LIGHTING:</w:t>
      </w:r>
    </w:p>
    <w:p w:rsidR="006349D7" w:rsidRPr="00C60AD1" w:rsidRDefault="006349D7" w:rsidP="006349D7">
      <w:pPr>
        <w:spacing w:before="60" w:after="120"/>
        <w:ind w:left="720" w:right="29"/>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6349D7" w:rsidRPr="00C60AD1" w:rsidRDefault="006349D7" w:rsidP="006349D7">
      <w:pPr>
        <w:spacing w:before="60" w:after="120"/>
        <w:ind w:left="720" w:right="29"/>
      </w:pPr>
    </w:p>
    <w:p w:rsidR="006349D7" w:rsidRDefault="006349D7" w:rsidP="006349D7">
      <w:pPr>
        <w:spacing w:before="60" w:after="120"/>
        <w:ind w:right="29"/>
        <w:jc w:val="center"/>
        <w:rPr>
          <w:rFonts w:cs="Arial"/>
          <w:b/>
          <w:bCs/>
          <w:caps/>
          <w:u w:val="single"/>
        </w:rPr>
      </w:pPr>
      <w:r w:rsidRPr="00C60AD1">
        <w:rPr>
          <w:rFonts w:cs="Arial"/>
        </w:rPr>
        <w:br w:type="page"/>
      </w:r>
      <w:r w:rsidRPr="00C60AD1">
        <w:rPr>
          <w:rFonts w:cs="Arial"/>
          <w:b/>
          <w:bCs/>
          <w:caps/>
          <w:u w:val="single"/>
        </w:rPr>
        <w:lastRenderedPageBreak/>
        <w:t>Rate Schedule LMV– 7:</w:t>
      </w:r>
    </w:p>
    <w:p w:rsidR="006349D7" w:rsidRPr="00C60AD1" w:rsidRDefault="006349D7" w:rsidP="006349D7">
      <w:pPr>
        <w:spacing w:before="60" w:after="120"/>
        <w:ind w:right="29"/>
        <w:jc w:val="center"/>
        <w:rPr>
          <w:rFonts w:cs="Arial"/>
          <w:caps/>
          <w:u w:val="single"/>
        </w:rPr>
      </w:pPr>
    </w:p>
    <w:p w:rsidR="006349D7" w:rsidRPr="00C60AD1" w:rsidRDefault="006349D7" w:rsidP="006349D7">
      <w:pPr>
        <w:spacing w:before="0" w:after="120"/>
        <w:ind w:right="29"/>
        <w:jc w:val="center"/>
        <w:rPr>
          <w:rFonts w:cs="Arial"/>
          <w:b/>
        </w:rPr>
      </w:pPr>
      <w:r w:rsidRPr="00C60AD1">
        <w:rPr>
          <w:rFonts w:cs="Arial"/>
          <w:b/>
        </w:rPr>
        <w:t>PUBLIC WATER WORKS:</w:t>
      </w:r>
    </w:p>
    <w:p w:rsidR="006349D7" w:rsidRPr="00C60AD1" w:rsidRDefault="006349D7" w:rsidP="006349D7">
      <w:pPr>
        <w:tabs>
          <w:tab w:val="left" w:pos="360"/>
        </w:tabs>
        <w:spacing w:before="100" w:beforeAutospacing="1" w:after="120"/>
        <w:ind w:right="29"/>
        <w:rPr>
          <w:rFonts w:cs="Arial"/>
          <w:b/>
        </w:rPr>
      </w:pPr>
      <w:r w:rsidRPr="00C60AD1">
        <w:rPr>
          <w:rFonts w:cs="Arial"/>
          <w:b/>
        </w:rPr>
        <w:t>1.</w:t>
      </w:r>
      <w:r w:rsidRPr="00C60AD1">
        <w:rPr>
          <w:rFonts w:cs="Arial"/>
          <w:b/>
        </w:rPr>
        <w:tab/>
        <w:t>APPLICABILITY:</w:t>
      </w:r>
    </w:p>
    <w:p w:rsidR="006349D7" w:rsidRPr="00C60AD1" w:rsidRDefault="006349D7" w:rsidP="006349D7">
      <w:pPr>
        <w:spacing w:before="100" w:beforeAutospacing="1" w:after="120"/>
        <w:ind w:left="360" w:right="29"/>
        <w:rPr>
          <w:rFonts w:cs="Arial"/>
        </w:rPr>
      </w:pPr>
      <w:r w:rsidRPr="00C60AD1">
        <w:rPr>
          <w:rFonts w:cs="Arial"/>
        </w:rPr>
        <w:t xml:space="preserve">This schedule shall apply to Public Water Works, Sewage Treatment Plants and Sewage Pumping Stations functioning under Jal Sansthan, Jal Nigam or other local bodies. </w:t>
      </w:r>
    </w:p>
    <w:p w:rsidR="006349D7" w:rsidRPr="00C60AD1" w:rsidRDefault="006349D7" w:rsidP="006349D7">
      <w:pPr>
        <w:spacing w:before="100" w:beforeAutospacing="1" w:after="120"/>
        <w:ind w:left="360" w:right="29"/>
        <w:rPr>
          <w:rFonts w:cs="Arial"/>
        </w:rPr>
      </w:pPr>
    </w:p>
    <w:p w:rsidR="006349D7" w:rsidRPr="00C60AD1" w:rsidRDefault="006349D7" w:rsidP="006349D7">
      <w:pPr>
        <w:tabs>
          <w:tab w:val="left" w:pos="360"/>
        </w:tabs>
        <w:spacing w:before="100" w:after="120"/>
        <w:ind w:right="29"/>
        <w:rPr>
          <w:b/>
        </w:rPr>
      </w:pPr>
      <w:r w:rsidRPr="00C60AD1">
        <w:rPr>
          <w:b/>
        </w:rPr>
        <w:t>2.</w:t>
      </w:r>
      <w:r w:rsidRPr="00C60AD1">
        <w:rPr>
          <w:b/>
        </w:rPr>
        <w:tab/>
        <w:t>CHARACTER AND POINT OF SUPPLY:</w:t>
      </w:r>
    </w:p>
    <w:p w:rsidR="006349D7" w:rsidRPr="00C60AD1" w:rsidRDefault="006349D7" w:rsidP="006349D7">
      <w:pPr>
        <w:spacing w:line="240" w:lineRule="auto"/>
        <w:ind w:left="360" w:right="-58"/>
        <w:rPr>
          <w:rFonts w:cs="Arial"/>
        </w:rPr>
      </w:pPr>
      <w:r w:rsidRPr="00C60AD1">
        <w:t>As per the applicable provisions of Electricity Supply Code.</w:t>
      </w:r>
    </w:p>
    <w:p w:rsidR="006349D7" w:rsidRPr="00C60AD1" w:rsidRDefault="006349D7" w:rsidP="006349D7">
      <w:pPr>
        <w:tabs>
          <w:tab w:val="left" w:pos="360"/>
        </w:tabs>
        <w:spacing w:before="100" w:after="120"/>
        <w:ind w:right="29"/>
        <w:rPr>
          <w:rFonts w:cs="Arial"/>
          <w:b/>
        </w:rPr>
      </w:pPr>
    </w:p>
    <w:p w:rsidR="006349D7" w:rsidRPr="00C60AD1" w:rsidRDefault="006349D7" w:rsidP="006349D7">
      <w:pPr>
        <w:tabs>
          <w:tab w:val="left" w:pos="360"/>
        </w:tabs>
        <w:spacing w:before="100" w:after="120"/>
        <w:ind w:right="29"/>
        <w:rPr>
          <w:rFonts w:cs="Arial"/>
          <w:b/>
        </w:rPr>
      </w:pPr>
      <w:r w:rsidRPr="00C60AD1">
        <w:rPr>
          <w:rFonts w:cs="Arial"/>
          <w:b/>
        </w:rPr>
        <w:t>3.</w:t>
      </w:r>
      <w:r w:rsidRPr="00C60AD1">
        <w:rPr>
          <w:rFonts w:cs="Arial"/>
          <w:b/>
        </w:rPr>
        <w:tab/>
        <w:t>RATE:</w:t>
      </w:r>
    </w:p>
    <w:p w:rsidR="006349D7" w:rsidRPr="00C60AD1" w:rsidRDefault="006349D7" w:rsidP="006349D7">
      <w:pPr>
        <w:tabs>
          <w:tab w:val="left" w:pos="720"/>
        </w:tabs>
        <w:ind w:left="360"/>
        <w:rPr>
          <w:rFonts w:cs="Arial"/>
          <w:b/>
        </w:rPr>
      </w:pPr>
      <w:r w:rsidRPr="00C60AD1">
        <w:rPr>
          <w:rFonts w:cs="Arial"/>
          <w:b/>
          <w:bCs/>
        </w:rPr>
        <w:t xml:space="preserve">(A) </w:t>
      </w:r>
      <w:r w:rsidRPr="00C60AD1">
        <w:rPr>
          <w:rFonts w:cs="Arial"/>
          <w:b/>
        </w:rPr>
        <w:t>Consumers getting supply</w:t>
      </w:r>
      <w:r w:rsidRPr="00C60AD1">
        <w:rPr>
          <w:rFonts w:cs="Arial"/>
        </w:rPr>
        <w:t xml:space="preserve"> </w:t>
      </w:r>
      <w:r w:rsidRPr="00C60AD1">
        <w:rPr>
          <w:rFonts w:cs="Arial"/>
          <w:b/>
        </w:rPr>
        <w:t>other than “Rural</w:t>
      </w:r>
      <w:r w:rsidRPr="00C60AD1">
        <w:rPr>
          <w:rFonts w:cs="Arial"/>
        </w:rPr>
        <w:t xml:space="preserve"> </w:t>
      </w:r>
      <w:r w:rsidRPr="00C60AD1">
        <w:rPr>
          <w:rFonts w:cs="Arial"/>
          <w:b/>
        </w:rPr>
        <w:t>Schedule”:</w:t>
      </w:r>
    </w:p>
    <w:p w:rsidR="006349D7" w:rsidRPr="00C60AD1" w:rsidRDefault="006349D7" w:rsidP="006349D7">
      <w:pPr>
        <w:spacing w:before="100" w:beforeAutospacing="1" w:after="120"/>
        <w:ind w:left="360"/>
      </w:pPr>
      <w:r w:rsidRPr="00C60AD1">
        <w:t>Rate gives the fixed and energy charges at which the consumer shall be billed for his consumption during the billing period applicable to the category:</w:t>
      </w:r>
    </w:p>
    <w:tbl>
      <w:tblPr>
        <w:tblW w:w="5836" w:type="dxa"/>
        <w:jc w:val="center"/>
        <w:tblInd w:w="1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6"/>
        <w:gridCol w:w="2970"/>
      </w:tblGrid>
      <w:tr w:rsidR="006349D7" w:rsidRPr="00C60AD1" w:rsidTr="00BB5A5A">
        <w:trPr>
          <w:jc w:val="center"/>
        </w:trPr>
        <w:tc>
          <w:tcPr>
            <w:tcW w:w="2866" w:type="dxa"/>
            <w:shd w:val="clear" w:color="auto" w:fill="DBE5F1" w:themeFill="accent1" w:themeFillTint="33"/>
          </w:tcPr>
          <w:p w:rsidR="006349D7" w:rsidRPr="00C60AD1" w:rsidRDefault="006349D7" w:rsidP="00BB5A5A">
            <w:pPr>
              <w:ind w:right="29"/>
              <w:jc w:val="center"/>
              <w:rPr>
                <w:rFonts w:cs="Arial"/>
                <w:b/>
              </w:rPr>
            </w:pPr>
            <w:r w:rsidRPr="00C60AD1">
              <w:rPr>
                <w:rFonts w:cs="Arial"/>
                <w:b/>
              </w:rPr>
              <w:t>Fixed Charge</w:t>
            </w:r>
          </w:p>
        </w:tc>
        <w:tc>
          <w:tcPr>
            <w:tcW w:w="2970" w:type="dxa"/>
            <w:shd w:val="clear" w:color="auto" w:fill="DBE5F1" w:themeFill="accent1" w:themeFillTint="33"/>
          </w:tcPr>
          <w:p w:rsidR="006349D7" w:rsidRPr="00C60AD1" w:rsidRDefault="006349D7" w:rsidP="00BB5A5A">
            <w:pPr>
              <w:ind w:right="29"/>
              <w:jc w:val="center"/>
              <w:rPr>
                <w:rFonts w:cs="Arial"/>
                <w:b/>
              </w:rPr>
            </w:pPr>
            <w:r w:rsidRPr="00C60AD1">
              <w:rPr>
                <w:rFonts w:cs="Arial"/>
                <w:b/>
              </w:rPr>
              <w:t>Energy Charge</w:t>
            </w:r>
          </w:p>
        </w:tc>
      </w:tr>
      <w:tr w:rsidR="006349D7" w:rsidRPr="00C60AD1" w:rsidTr="00BB5A5A">
        <w:trPr>
          <w:jc w:val="center"/>
        </w:trPr>
        <w:tc>
          <w:tcPr>
            <w:tcW w:w="2866" w:type="dxa"/>
          </w:tcPr>
          <w:p w:rsidR="006349D7" w:rsidRPr="00C60AD1" w:rsidRDefault="006349D7" w:rsidP="00BB5A5A">
            <w:pPr>
              <w:ind w:right="29"/>
              <w:rPr>
                <w:rFonts w:cs="Arial"/>
                <w:bCs/>
              </w:rPr>
            </w:pPr>
            <w:r w:rsidRPr="00C60AD1">
              <w:rPr>
                <w:rFonts w:cs="Arial"/>
                <w:bCs/>
              </w:rPr>
              <w:t>Rs. 2</w:t>
            </w:r>
            <w:r>
              <w:rPr>
                <w:rFonts w:cs="Arial"/>
                <w:bCs/>
              </w:rPr>
              <w:t>9</w:t>
            </w:r>
            <w:r w:rsidRPr="00C60AD1">
              <w:rPr>
                <w:rFonts w:cs="Arial"/>
                <w:bCs/>
              </w:rPr>
              <w:t>0.00 / kW / month</w:t>
            </w:r>
          </w:p>
        </w:tc>
        <w:tc>
          <w:tcPr>
            <w:tcW w:w="2970" w:type="dxa"/>
          </w:tcPr>
          <w:p w:rsidR="006349D7" w:rsidRPr="00C60AD1" w:rsidRDefault="006349D7" w:rsidP="00BB5A5A">
            <w:pPr>
              <w:ind w:right="29"/>
              <w:rPr>
                <w:rFonts w:cs="Arial"/>
                <w:bCs/>
              </w:rPr>
            </w:pPr>
            <w:r w:rsidRPr="00C60AD1">
              <w:rPr>
                <w:rFonts w:cs="Arial"/>
                <w:bCs/>
              </w:rPr>
              <w:t>Rs. 7.</w:t>
            </w:r>
            <w:r>
              <w:rPr>
                <w:rFonts w:cs="Arial"/>
                <w:bCs/>
              </w:rPr>
              <w:t>95</w:t>
            </w:r>
            <w:r w:rsidRPr="00C60AD1">
              <w:rPr>
                <w:rFonts w:cs="Arial"/>
                <w:bCs/>
              </w:rPr>
              <w:t xml:space="preserve"> / kWh</w:t>
            </w:r>
          </w:p>
        </w:tc>
      </w:tr>
    </w:tbl>
    <w:p w:rsidR="006349D7" w:rsidRPr="00C60AD1" w:rsidRDefault="006349D7" w:rsidP="006349D7">
      <w:pPr>
        <w:ind w:right="29"/>
        <w:rPr>
          <w:rFonts w:cs="Arial"/>
          <w:b/>
        </w:rPr>
      </w:pPr>
    </w:p>
    <w:p w:rsidR="006349D7" w:rsidRPr="00C60AD1" w:rsidRDefault="006349D7" w:rsidP="006349D7">
      <w:pPr>
        <w:tabs>
          <w:tab w:val="left" w:pos="720"/>
        </w:tabs>
        <w:ind w:left="360"/>
        <w:rPr>
          <w:rFonts w:cs="Arial"/>
          <w:b/>
        </w:rPr>
      </w:pPr>
      <w:r w:rsidRPr="00C60AD1">
        <w:rPr>
          <w:rFonts w:cs="Arial"/>
          <w:b/>
          <w:bCs/>
        </w:rPr>
        <w:t xml:space="preserve"> (B) </w:t>
      </w:r>
      <w:r w:rsidRPr="00C60AD1">
        <w:rPr>
          <w:rFonts w:cs="Arial"/>
          <w:b/>
        </w:rPr>
        <w:t>Consumers getting supply</w:t>
      </w:r>
      <w:r w:rsidRPr="00C60AD1">
        <w:rPr>
          <w:rFonts w:cs="Arial"/>
        </w:rPr>
        <w:t xml:space="preserve"> </w:t>
      </w:r>
      <w:r w:rsidRPr="00C60AD1">
        <w:rPr>
          <w:rFonts w:cs="Arial"/>
          <w:b/>
        </w:rPr>
        <w:t>as per “Rural Schedule”:</w:t>
      </w:r>
    </w:p>
    <w:p w:rsidR="006349D7" w:rsidRPr="00C60AD1" w:rsidRDefault="006349D7" w:rsidP="006349D7">
      <w:pPr>
        <w:tabs>
          <w:tab w:val="left" w:pos="360"/>
        </w:tabs>
        <w:ind w:left="720"/>
        <w:rPr>
          <w:bCs/>
        </w:rPr>
      </w:pPr>
      <w:r w:rsidRPr="00C60AD1">
        <w:rPr>
          <w:bCs/>
        </w:rPr>
        <w:t xml:space="preserve">The consumer under this category shall be entitled to a rebate of 7.5% on demand &amp; energy charges as given for under other than rural schedule. </w:t>
      </w:r>
    </w:p>
    <w:p w:rsidR="006349D7" w:rsidRPr="00C60AD1" w:rsidRDefault="006349D7" w:rsidP="006349D7">
      <w:pPr>
        <w:jc w:val="center"/>
      </w:pPr>
    </w:p>
    <w:p w:rsidR="006349D7" w:rsidRDefault="006349D7" w:rsidP="006349D7">
      <w:pPr>
        <w:spacing w:line="240" w:lineRule="auto"/>
        <w:jc w:val="left"/>
        <w:rPr>
          <w:b/>
          <w:u w:val="single"/>
        </w:rPr>
      </w:pPr>
      <w:r w:rsidRPr="00C60AD1">
        <w:rPr>
          <w:b/>
          <w:u w:val="single"/>
        </w:rPr>
        <w:br w:type="page"/>
      </w:r>
    </w:p>
    <w:p w:rsidR="006349D7" w:rsidRPr="00C60AD1" w:rsidRDefault="006349D7" w:rsidP="006349D7">
      <w:pPr>
        <w:jc w:val="center"/>
        <w:rPr>
          <w:b/>
          <w:u w:val="single"/>
        </w:rPr>
      </w:pPr>
      <w:r w:rsidRPr="00C60AD1">
        <w:rPr>
          <w:b/>
          <w:u w:val="single"/>
        </w:rPr>
        <w:lastRenderedPageBreak/>
        <w:t>RATE SCHEDULE LMV – 8:</w:t>
      </w:r>
    </w:p>
    <w:p w:rsidR="006349D7" w:rsidRPr="00C60AD1" w:rsidRDefault="006349D7" w:rsidP="006349D7">
      <w:pPr>
        <w:jc w:val="center"/>
        <w:rPr>
          <w:rFonts w:cs="Arial"/>
          <w:b/>
        </w:rPr>
      </w:pPr>
    </w:p>
    <w:p w:rsidR="006349D7" w:rsidRPr="00C60AD1" w:rsidRDefault="006349D7" w:rsidP="006349D7">
      <w:pPr>
        <w:jc w:val="center"/>
        <w:rPr>
          <w:rFonts w:cs="Arial"/>
          <w:b/>
        </w:rPr>
      </w:pPr>
      <w:r w:rsidRPr="00C60AD1">
        <w:rPr>
          <w:rFonts w:cs="Arial"/>
          <w:b/>
        </w:rPr>
        <w:t>STATE TUBE WELLS / PANCHAYTI RAJ TUBE WELL &amp; PUMPED CANALS:</w:t>
      </w:r>
    </w:p>
    <w:p w:rsidR="006349D7" w:rsidRPr="00C60AD1" w:rsidRDefault="006349D7" w:rsidP="006349D7">
      <w:pPr>
        <w:tabs>
          <w:tab w:val="left" w:pos="360"/>
        </w:tabs>
        <w:spacing w:before="100" w:beforeAutospacing="1"/>
        <w:ind w:right="1440"/>
        <w:rPr>
          <w:rFonts w:cs="Arial"/>
          <w:b/>
        </w:rPr>
      </w:pPr>
      <w:r w:rsidRPr="00C60AD1">
        <w:rPr>
          <w:rFonts w:cs="Arial"/>
          <w:b/>
        </w:rPr>
        <w:t>1.</w:t>
      </w:r>
      <w:r w:rsidRPr="00C60AD1">
        <w:rPr>
          <w:rFonts w:cs="Arial"/>
          <w:b/>
        </w:rPr>
        <w:tab/>
        <w:t>APPLICABILITY:</w:t>
      </w:r>
    </w:p>
    <w:p w:rsidR="006349D7" w:rsidRDefault="006349D7" w:rsidP="00EC6AAC">
      <w:pPr>
        <w:numPr>
          <w:ilvl w:val="0"/>
          <w:numId w:val="41"/>
        </w:numPr>
        <w:tabs>
          <w:tab w:val="clear" w:pos="1080"/>
        </w:tabs>
        <w:spacing w:before="100" w:beforeAutospacing="1" w:line="288" w:lineRule="auto"/>
        <w:ind w:right="29"/>
        <w:rPr>
          <w:rFonts w:cs="Arial"/>
        </w:rPr>
      </w:pPr>
      <w:r w:rsidRPr="00C60AD1">
        <w:rPr>
          <w:rFonts w:cs="Arial"/>
        </w:rPr>
        <w:t>This schedule shall apply to supply of power for all State Tube wells, including Tube wells operated by Panchayti Raj, World Bank Tube wells, Indo Dutch Tube wells, Pumped Canals and Lift Irrigation schemes having a load up to 100 BHP.</w:t>
      </w:r>
    </w:p>
    <w:p w:rsidR="006349D7" w:rsidRDefault="006349D7" w:rsidP="00EC6AAC">
      <w:pPr>
        <w:numPr>
          <w:ilvl w:val="0"/>
          <w:numId w:val="41"/>
        </w:numPr>
        <w:tabs>
          <w:tab w:val="clear" w:pos="1080"/>
        </w:tabs>
        <w:spacing w:before="100" w:beforeAutospacing="1" w:line="288" w:lineRule="auto"/>
        <w:ind w:right="1440"/>
        <w:rPr>
          <w:rFonts w:cs="Arial"/>
        </w:rPr>
      </w:pPr>
      <w:r w:rsidRPr="00C60AD1">
        <w:rPr>
          <w:rFonts w:cs="Arial"/>
        </w:rPr>
        <w:t xml:space="preserve">Laghu Dal Nahar having load above 100 BHP. </w:t>
      </w:r>
    </w:p>
    <w:p w:rsidR="006349D7" w:rsidRPr="00C60AD1" w:rsidRDefault="006349D7" w:rsidP="006349D7"/>
    <w:p w:rsidR="006349D7" w:rsidRPr="00C60AD1" w:rsidRDefault="006349D7" w:rsidP="006349D7">
      <w:pPr>
        <w:tabs>
          <w:tab w:val="left" w:pos="360"/>
        </w:tabs>
        <w:spacing w:line="240" w:lineRule="auto"/>
        <w:ind w:left="360" w:right="-58" w:hanging="360"/>
        <w:rPr>
          <w:b/>
        </w:rPr>
      </w:pPr>
      <w:r w:rsidRPr="00C60AD1">
        <w:rPr>
          <w:b/>
        </w:rPr>
        <w:t>2.</w:t>
      </w:r>
      <w:r w:rsidRPr="00C60AD1">
        <w:rPr>
          <w:b/>
        </w:rPr>
        <w:tab/>
        <w:t>CHARACTER AND POINT OF SUPPLY:</w:t>
      </w:r>
    </w:p>
    <w:p w:rsidR="006349D7" w:rsidRPr="00C60AD1" w:rsidRDefault="006349D7" w:rsidP="006349D7">
      <w:pPr>
        <w:spacing w:line="240" w:lineRule="auto"/>
        <w:ind w:right="-58" w:firstLine="360"/>
      </w:pPr>
      <w:r w:rsidRPr="00C60AD1">
        <w:rPr>
          <w:b/>
        </w:rPr>
        <w:t xml:space="preserve"> </w:t>
      </w:r>
      <w:r w:rsidRPr="00C60AD1">
        <w:t>As per the applicable provisions of Electricity Supply Code.</w:t>
      </w:r>
    </w:p>
    <w:p w:rsidR="006349D7" w:rsidRPr="00C60AD1" w:rsidRDefault="006349D7" w:rsidP="006349D7">
      <w:pPr>
        <w:spacing w:line="240" w:lineRule="auto"/>
        <w:ind w:right="-58" w:firstLine="360"/>
        <w:rPr>
          <w:rFonts w:cs="Arial"/>
        </w:rPr>
      </w:pPr>
    </w:p>
    <w:p w:rsidR="006349D7" w:rsidRPr="00C60AD1" w:rsidRDefault="006349D7" w:rsidP="006349D7">
      <w:pPr>
        <w:tabs>
          <w:tab w:val="left" w:pos="360"/>
        </w:tabs>
        <w:spacing w:before="100"/>
        <w:ind w:right="-61"/>
        <w:rPr>
          <w:rFonts w:cs="Arial"/>
          <w:b/>
        </w:rPr>
      </w:pPr>
      <w:r w:rsidRPr="00C60AD1">
        <w:rPr>
          <w:rFonts w:cs="Arial"/>
          <w:b/>
        </w:rPr>
        <w:t>3.</w:t>
      </w:r>
      <w:r w:rsidRPr="00C60AD1">
        <w:rPr>
          <w:rFonts w:cs="Arial"/>
          <w:b/>
        </w:rPr>
        <w:tab/>
        <w:t>RATE:</w:t>
      </w:r>
    </w:p>
    <w:p w:rsidR="006349D7" w:rsidRPr="00C60AD1" w:rsidRDefault="006349D7" w:rsidP="006349D7">
      <w:pPr>
        <w:spacing w:before="100" w:beforeAutospacing="1" w:after="120"/>
        <w:ind w:left="360"/>
        <w:rPr>
          <w:rFonts w:cs="Arial"/>
        </w:rPr>
      </w:pPr>
      <w:r w:rsidRPr="00C60AD1">
        <w:t xml:space="preserve">Rate gives the fixed and energy charges at which the consumer shall be billed for his consumption during the billing period applicable to the category: </w:t>
      </w:r>
    </w:p>
    <w:tbl>
      <w:tblPr>
        <w:tblpPr w:leftFromText="180" w:rightFromText="180" w:vertAnchor="text" w:horzAnchor="margin" w:tblpXSpec="center" w:tblpY="107"/>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610"/>
        <w:gridCol w:w="2250"/>
      </w:tblGrid>
      <w:tr w:rsidR="006349D7" w:rsidRPr="00C60AD1" w:rsidTr="00BB5A5A">
        <w:tc>
          <w:tcPr>
            <w:tcW w:w="1980" w:type="dxa"/>
            <w:shd w:val="clear" w:color="auto" w:fill="DBE5F1" w:themeFill="accent1" w:themeFillTint="33"/>
          </w:tcPr>
          <w:p w:rsidR="006349D7" w:rsidRPr="00C60AD1" w:rsidRDefault="006349D7" w:rsidP="00BB5A5A">
            <w:pPr>
              <w:ind w:right="29"/>
              <w:jc w:val="center"/>
              <w:rPr>
                <w:rFonts w:cs="Arial"/>
                <w:b/>
              </w:rPr>
            </w:pPr>
            <w:r w:rsidRPr="00C60AD1">
              <w:rPr>
                <w:rFonts w:cs="Arial"/>
                <w:b/>
              </w:rPr>
              <w:t>Description</w:t>
            </w:r>
          </w:p>
        </w:tc>
        <w:tc>
          <w:tcPr>
            <w:tcW w:w="2610" w:type="dxa"/>
            <w:shd w:val="clear" w:color="auto" w:fill="DBE5F1" w:themeFill="accent1" w:themeFillTint="33"/>
          </w:tcPr>
          <w:p w:rsidR="006349D7" w:rsidRPr="00C60AD1" w:rsidRDefault="006349D7" w:rsidP="00BB5A5A">
            <w:pPr>
              <w:ind w:right="29"/>
              <w:jc w:val="center"/>
              <w:rPr>
                <w:rFonts w:cs="Arial"/>
                <w:b/>
              </w:rPr>
            </w:pPr>
            <w:r w:rsidRPr="00C60AD1">
              <w:rPr>
                <w:rFonts w:cs="Arial"/>
                <w:b/>
              </w:rPr>
              <w:t>Fixed Charge</w:t>
            </w:r>
          </w:p>
        </w:tc>
        <w:tc>
          <w:tcPr>
            <w:tcW w:w="2250" w:type="dxa"/>
            <w:shd w:val="clear" w:color="auto" w:fill="DBE5F1" w:themeFill="accent1" w:themeFillTint="33"/>
          </w:tcPr>
          <w:p w:rsidR="006349D7" w:rsidRPr="00C60AD1" w:rsidRDefault="006349D7" w:rsidP="00BB5A5A">
            <w:pPr>
              <w:ind w:right="29"/>
              <w:jc w:val="center"/>
              <w:rPr>
                <w:rFonts w:cs="Arial"/>
                <w:b/>
              </w:rPr>
            </w:pPr>
            <w:r w:rsidRPr="00C60AD1">
              <w:rPr>
                <w:rFonts w:cs="Arial"/>
                <w:b/>
              </w:rPr>
              <w:t>Energy Charge</w:t>
            </w:r>
          </w:p>
        </w:tc>
      </w:tr>
      <w:tr w:rsidR="006349D7" w:rsidRPr="00C60AD1" w:rsidTr="00BB5A5A">
        <w:tc>
          <w:tcPr>
            <w:tcW w:w="1980" w:type="dxa"/>
          </w:tcPr>
          <w:p w:rsidR="006349D7" w:rsidRPr="00C60AD1" w:rsidRDefault="006349D7" w:rsidP="00BB5A5A">
            <w:pPr>
              <w:ind w:right="29"/>
              <w:jc w:val="center"/>
              <w:rPr>
                <w:rFonts w:cs="Arial"/>
              </w:rPr>
            </w:pPr>
            <w:r w:rsidRPr="00C60AD1">
              <w:rPr>
                <w:rFonts w:cs="Arial"/>
              </w:rPr>
              <w:t>Metered</w:t>
            </w:r>
          </w:p>
        </w:tc>
        <w:tc>
          <w:tcPr>
            <w:tcW w:w="2610" w:type="dxa"/>
          </w:tcPr>
          <w:p w:rsidR="006349D7" w:rsidRPr="00C60AD1" w:rsidRDefault="006349D7" w:rsidP="00BB5A5A">
            <w:pPr>
              <w:ind w:right="29"/>
              <w:jc w:val="center"/>
              <w:rPr>
                <w:rFonts w:cs="Arial"/>
              </w:rPr>
            </w:pPr>
            <w:r w:rsidRPr="00C60AD1">
              <w:rPr>
                <w:rFonts w:cs="Arial"/>
              </w:rPr>
              <w:t>Rs. 200.00 / BHP / month</w:t>
            </w:r>
          </w:p>
        </w:tc>
        <w:tc>
          <w:tcPr>
            <w:tcW w:w="2250" w:type="dxa"/>
          </w:tcPr>
          <w:p w:rsidR="006349D7" w:rsidRPr="00C60AD1" w:rsidRDefault="006349D7" w:rsidP="00BB5A5A">
            <w:pPr>
              <w:ind w:right="29"/>
              <w:jc w:val="center"/>
              <w:rPr>
                <w:rFonts w:cs="Arial"/>
              </w:rPr>
            </w:pPr>
            <w:r w:rsidRPr="00C60AD1">
              <w:rPr>
                <w:rFonts w:cs="Arial"/>
              </w:rPr>
              <w:t xml:space="preserve">Rs. </w:t>
            </w:r>
            <w:r w:rsidRPr="00C60AD1">
              <w:rPr>
                <w:rFonts w:cs="Arial"/>
                <w:szCs w:val="22"/>
              </w:rPr>
              <w:t>6.</w:t>
            </w:r>
            <w:r w:rsidRPr="00C60AD1">
              <w:t>80</w:t>
            </w:r>
            <w:r w:rsidRPr="00C60AD1">
              <w:rPr>
                <w:rFonts w:cs="Arial"/>
              </w:rPr>
              <w:t xml:space="preserve"> / kWh</w:t>
            </w:r>
          </w:p>
        </w:tc>
      </w:tr>
      <w:tr w:rsidR="006349D7" w:rsidRPr="00C60AD1" w:rsidTr="00BB5A5A">
        <w:tc>
          <w:tcPr>
            <w:tcW w:w="1980" w:type="dxa"/>
          </w:tcPr>
          <w:p w:rsidR="006349D7" w:rsidRPr="00C60AD1" w:rsidRDefault="006349D7" w:rsidP="00BB5A5A">
            <w:pPr>
              <w:ind w:right="29"/>
              <w:jc w:val="center"/>
              <w:rPr>
                <w:rFonts w:cs="Arial"/>
              </w:rPr>
            </w:pPr>
            <w:r w:rsidRPr="00C60AD1">
              <w:rPr>
                <w:rFonts w:cs="Arial"/>
              </w:rPr>
              <w:t>Un-metered</w:t>
            </w:r>
          </w:p>
        </w:tc>
        <w:tc>
          <w:tcPr>
            <w:tcW w:w="2610" w:type="dxa"/>
          </w:tcPr>
          <w:p w:rsidR="006349D7" w:rsidRPr="00C60AD1" w:rsidRDefault="006349D7" w:rsidP="00BB5A5A">
            <w:pPr>
              <w:ind w:right="29"/>
              <w:jc w:val="center"/>
              <w:rPr>
                <w:rFonts w:cs="Arial"/>
              </w:rPr>
            </w:pPr>
            <w:r w:rsidRPr="00C60AD1">
              <w:rPr>
                <w:rFonts w:cs="Arial"/>
              </w:rPr>
              <w:t xml:space="preserve">Rs. </w:t>
            </w:r>
            <w:r>
              <w:rPr>
                <w:rFonts w:cs="Arial"/>
                <w:szCs w:val="22"/>
              </w:rPr>
              <w:t>21</w:t>
            </w:r>
            <w:r w:rsidRPr="00C60AD1">
              <w:t>00.00</w:t>
            </w:r>
            <w:r w:rsidRPr="00C60AD1">
              <w:rPr>
                <w:rFonts w:cs="Arial"/>
              </w:rPr>
              <w:t xml:space="preserve"> / BHP / month</w:t>
            </w:r>
          </w:p>
        </w:tc>
        <w:tc>
          <w:tcPr>
            <w:tcW w:w="2250" w:type="dxa"/>
          </w:tcPr>
          <w:p w:rsidR="006349D7" w:rsidRPr="00C60AD1" w:rsidRDefault="006349D7" w:rsidP="00BB5A5A">
            <w:pPr>
              <w:ind w:right="29"/>
              <w:jc w:val="center"/>
              <w:rPr>
                <w:rFonts w:cs="Arial"/>
              </w:rPr>
            </w:pPr>
            <w:r w:rsidRPr="00C60AD1">
              <w:rPr>
                <w:rFonts w:cs="Arial"/>
              </w:rPr>
              <w:t>Nil</w:t>
            </w:r>
          </w:p>
        </w:tc>
      </w:tr>
    </w:tbl>
    <w:p w:rsidR="006349D7" w:rsidRPr="00C60AD1" w:rsidRDefault="006349D7" w:rsidP="006349D7">
      <w:pPr>
        <w:ind w:right="29"/>
        <w:rPr>
          <w:rFonts w:cs="Arial"/>
          <w:b/>
        </w:rPr>
      </w:pPr>
    </w:p>
    <w:p w:rsidR="006349D7" w:rsidRPr="00C60AD1" w:rsidRDefault="006349D7" w:rsidP="006349D7">
      <w:pPr>
        <w:ind w:right="29"/>
        <w:rPr>
          <w:rFonts w:cs="Arial"/>
        </w:rPr>
      </w:pPr>
    </w:p>
    <w:p w:rsidR="006349D7" w:rsidRPr="00C60AD1" w:rsidRDefault="006349D7" w:rsidP="006349D7">
      <w:pPr>
        <w:ind w:right="29"/>
        <w:rPr>
          <w:rFonts w:cs="Arial"/>
        </w:rPr>
      </w:pPr>
    </w:p>
    <w:p w:rsidR="006349D7" w:rsidRPr="00C60AD1" w:rsidRDefault="006349D7" w:rsidP="006349D7">
      <w:pPr>
        <w:ind w:right="29"/>
        <w:rPr>
          <w:rFonts w:cs="Arial"/>
        </w:rPr>
      </w:pPr>
    </w:p>
    <w:p w:rsidR="006349D7" w:rsidRPr="00C60AD1" w:rsidRDefault="006349D7" w:rsidP="006349D7">
      <w:pPr>
        <w:ind w:right="29"/>
        <w:rPr>
          <w:rFonts w:cs="Arial"/>
        </w:rPr>
      </w:pPr>
    </w:p>
    <w:p w:rsidR="006349D7" w:rsidRPr="00C60AD1" w:rsidRDefault="006349D7" w:rsidP="006349D7">
      <w:pPr>
        <w:ind w:left="360" w:right="29"/>
        <w:rPr>
          <w:rFonts w:cs="Arial"/>
        </w:rPr>
      </w:pPr>
      <w:r w:rsidRPr="00C60AD1">
        <w:rPr>
          <w:rFonts w:cs="Arial"/>
        </w:rPr>
        <w:tab/>
      </w:r>
      <w:r w:rsidRPr="00C60AD1">
        <w:rPr>
          <w:rFonts w:cs="Arial"/>
        </w:rPr>
        <w:tab/>
      </w:r>
    </w:p>
    <w:p w:rsidR="006349D7" w:rsidRPr="00C60AD1" w:rsidRDefault="006349D7" w:rsidP="006349D7">
      <w:pPr>
        <w:tabs>
          <w:tab w:val="left" w:pos="360"/>
        </w:tabs>
        <w:spacing w:before="60"/>
        <w:ind w:left="360" w:right="-151" w:hanging="360"/>
        <w:rPr>
          <w:rFonts w:cs="Arial"/>
          <w:bCs/>
        </w:rPr>
      </w:pPr>
      <w:r w:rsidRPr="00C60AD1">
        <w:rPr>
          <w:rFonts w:cs="Arial"/>
          <w:b/>
        </w:rPr>
        <w:t>4.</w:t>
      </w:r>
      <w:r w:rsidRPr="00C60AD1">
        <w:rPr>
          <w:rFonts w:cs="Arial"/>
          <w:b/>
        </w:rPr>
        <w:tab/>
      </w:r>
      <w:r w:rsidRPr="00C60AD1">
        <w:rPr>
          <w:rFonts w:cs="Arial"/>
          <w:bCs/>
        </w:rPr>
        <w:t xml:space="preserve">For finding out net load during any quarter of the year for this category refer </w:t>
      </w:r>
      <w:r w:rsidRPr="00201853">
        <w:rPr>
          <w:rFonts w:cs="Arial"/>
          <w:bCs/>
        </w:rPr>
        <w:t>ANNEXURE</w:t>
      </w:r>
      <w:r w:rsidRPr="006C63AF">
        <w:rPr>
          <w:rFonts w:cs="Arial"/>
        </w:rPr>
        <w:t xml:space="preserve"> </w:t>
      </w:r>
      <w:r>
        <w:t>11.2.2</w:t>
      </w:r>
    </w:p>
    <w:p w:rsidR="006349D7" w:rsidRPr="00C60AD1" w:rsidRDefault="006349D7" w:rsidP="006349D7">
      <w:pPr>
        <w:spacing w:before="60"/>
        <w:ind w:right="-151"/>
        <w:rPr>
          <w:rFonts w:cs="Arial"/>
          <w:b/>
        </w:rPr>
      </w:pPr>
    </w:p>
    <w:p w:rsidR="006349D7" w:rsidRDefault="006349D7" w:rsidP="006349D7">
      <w:pPr>
        <w:spacing w:after="200"/>
        <w:jc w:val="center"/>
        <w:rPr>
          <w:b/>
          <w:caps/>
          <w:u w:val="single"/>
        </w:rPr>
      </w:pPr>
      <w:r w:rsidRPr="00C60AD1">
        <w:rPr>
          <w:rFonts w:cs="Arial"/>
          <w:b/>
        </w:rPr>
        <w:br w:type="page"/>
      </w:r>
      <w:r w:rsidRPr="00C60AD1">
        <w:rPr>
          <w:b/>
          <w:caps/>
          <w:u w:val="single"/>
        </w:rPr>
        <w:lastRenderedPageBreak/>
        <w:t>Rate Schedule LMV – 9:</w:t>
      </w:r>
    </w:p>
    <w:p w:rsidR="006349D7" w:rsidRDefault="006349D7" w:rsidP="006349D7">
      <w:pPr>
        <w:jc w:val="center"/>
        <w:rPr>
          <w:b/>
          <w:caps/>
          <w:u w:val="single"/>
        </w:rPr>
      </w:pPr>
    </w:p>
    <w:p w:rsidR="006349D7" w:rsidRPr="00C60AD1" w:rsidRDefault="006349D7" w:rsidP="006349D7">
      <w:pPr>
        <w:tabs>
          <w:tab w:val="left" w:pos="3114"/>
          <w:tab w:val="center" w:pos="4334"/>
        </w:tabs>
        <w:spacing w:before="0"/>
        <w:jc w:val="left"/>
        <w:rPr>
          <w:b/>
        </w:rPr>
      </w:pPr>
      <w:r>
        <w:rPr>
          <w:b/>
        </w:rPr>
        <w:tab/>
      </w:r>
      <w:r>
        <w:rPr>
          <w:b/>
        </w:rPr>
        <w:tab/>
      </w:r>
      <w:r w:rsidRPr="00C60AD1">
        <w:rPr>
          <w:b/>
        </w:rPr>
        <w:t>TEMPORARY SUPPLY:</w:t>
      </w:r>
    </w:p>
    <w:p w:rsidR="006349D7" w:rsidRPr="00C60AD1" w:rsidRDefault="006349D7" w:rsidP="006349D7">
      <w:pPr>
        <w:tabs>
          <w:tab w:val="left" w:pos="360"/>
        </w:tabs>
        <w:spacing w:before="100" w:beforeAutospacing="1"/>
        <w:ind w:right="29"/>
        <w:rPr>
          <w:rFonts w:cs="Arial"/>
          <w:b/>
        </w:rPr>
      </w:pPr>
      <w:r w:rsidRPr="00C60AD1">
        <w:rPr>
          <w:rFonts w:cs="Arial"/>
          <w:b/>
        </w:rPr>
        <w:t>1.</w:t>
      </w:r>
      <w:r w:rsidRPr="00C60AD1">
        <w:rPr>
          <w:rFonts w:cs="Arial"/>
          <w:b/>
        </w:rPr>
        <w:tab/>
        <w:t>APPLICABILITY:</w:t>
      </w:r>
    </w:p>
    <w:p w:rsidR="006349D7" w:rsidRPr="00C60AD1" w:rsidRDefault="006349D7" w:rsidP="006349D7">
      <w:pPr>
        <w:pStyle w:val="BodyTextIndent"/>
        <w:spacing w:line="288" w:lineRule="auto"/>
        <w:ind w:left="360" w:right="-58"/>
        <w:rPr>
          <w:rFonts w:ascii="Calibri" w:hAnsi="Calibri" w:cs="Arial"/>
          <w:b/>
        </w:rPr>
      </w:pPr>
      <w:r w:rsidRPr="00C60AD1">
        <w:rPr>
          <w:rFonts w:ascii="Calibri" w:hAnsi="Calibri" w:cs="Arial"/>
          <w:b/>
          <w:bCs w:val="0"/>
        </w:rPr>
        <w:t>A)</w:t>
      </w:r>
      <w:r w:rsidRPr="00C60AD1">
        <w:rPr>
          <w:rFonts w:ascii="Calibri" w:hAnsi="Calibri" w:cs="Arial"/>
          <w:b/>
          <w:bCs w:val="0"/>
        </w:rPr>
        <w:tab/>
        <w:t xml:space="preserve">Un-metered Supply for </w:t>
      </w:r>
      <w:r w:rsidRPr="00C60AD1">
        <w:rPr>
          <w:rFonts w:ascii="Calibri" w:hAnsi="Calibri" w:cs="Arial"/>
          <w:b/>
        </w:rPr>
        <w:t>Illumination</w:t>
      </w:r>
      <w:r w:rsidR="00700CAE">
        <w:rPr>
          <w:rFonts w:ascii="Calibri" w:hAnsi="Calibri" w:cs="Arial"/>
          <w:b/>
        </w:rPr>
        <w:t xml:space="preserve"> </w:t>
      </w:r>
      <w:r w:rsidRPr="00C60AD1">
        <w:rPr>
          <w:rFonts w:ascii="Calibri" w:hAnsi="Calibri" w:cs="Arial"/>
          <w:b/>
        </w:rPr>
        <w:t>/ Public Address</w:t>
      </w:r>
      <w:r w:rsidR="00700CAE">
        <w:rPr>
          <w:rFonts w:ascii="Calibri" w:hAnsi="Calibri" w:cs="Arial"/>
          <w:b/>
        </w:rPr>
        <w:t xml:space="preserve"> </w:t>
      </w:r>
      <w:r w:rsidRPr="00C60AD1">
        <w:rPr>
          <w:rFonts w:ascii="Calibri" w:hAnsi="Calibri" w:cs="Arial"/>
          <w:b/>
        </w:rPr>
        <w:t>/ Temporary Shops in Melas:</w:t>
      </w:r>
    </w:p>
    <w:p w:rsidR="006349D7" w:rsidRPr="00C60AD1" w:rsidRDefault="006349D7" w:rsidP="006349D7">
      <w:pPr>
        <w:pStyle w:val="BodyTextIndent"/>
        <w:spacing w:line="288" w:lineRule="auto"/>
        <w:ind w:right="-58"/>
        <w:rPr>
          <w:rFonts w:ascii="Calibri" w:hAnsi="Calibri" w:cs="Arial"/>
        </w:rPr>
      </w:pPr>
      <w:r w:rsidRPr="00C60AD1">
        <w:rPr>
          <w:rFonts w:ascii="Calibri" w:hAnsi="Calibri" w:cs="Arial"/>
        </w:rPr>
        <w:t xml:space="preserve">This schedule shall apply to temporary supply of light, fan &amp; power up to 20 KW, Public address system and illumination loads during functions, ceremonies and festivities and temporary shops, not exceeding three months. </w:t>
      </w:r>
    </w:p>
    <w:p w:rsidR="006349D7" w:rsidRPr="00C60AD1" w:rsidRDefault="006349D7" w:rsidP="006349D7">
      <w:pPr>
        <w:pStyle w:val="BodyTextIndent"/>
        <w:spacing w:line="288" w:lineRule="auto"/>
        <w:ind w:left="360" w:right="-58"/>
        <w:rPr>
          <w:rFonts w:ascii="Calibri" w:hAnsi="Calibri" w:cs="Arial"/>
          <w:b/>
          <w:bCs w:val="0"/>
        </w:rPr>
      </w:pPr>
      <w:r w:rsidRPr="00C60AD1">
        <w:rPr>
          <w:rFonts w:ascii="Calibri" w:hAnsi="Calibri" w:cs="Arial"/>
          <w:b/>
          <w:bCs w:val="0"/>
        </w:rPr>
        <w:t>B)</w:t>
      </w:r>
      <w:r w:rsidRPr="00C60AD1">
        <w:rPr>
          <w:rFonts w:ascii="Calibri" w:hAnsi="Calibri" w:cs="Arial"/>
          <w:b/>
          <w:bCs w:val="0"/>
        </w:rPr>
        <w:tab/>
        <w:t>Metered Supply for all other purposes:</w:t>
      </w:r>
    </w:p>
    <w:p w:rsidR="006349D7" w:rsidRPr="00C60AD1" w:rsidRDefault="006349D7" w:rsidP="006349D7">
      <w:pPr>
        <w:pStyle w:val="BodyText"/>
        <w:tabs>
          <w:tab w:val="left" w:pos="360"/>
        </w:tabs>
        <w:spacing w:line="288" w:lineRule="auto"/>
        <w:ind w:left="720" w:right="-58"/>
        <w:rPr>
          <w:rFonts w:cs="Arial"/>
        </w:rPr>
      </w:pPr>
      <w:r w:rsidRPr="00C60AD1">
        <w:rPr>
          <w:rFonts w:cs="Arial"/>
        </w:rPr>
        <w:t xml:space="preserve">This schedule shall apply to all temporary supplies of light, fan and power load for the purpose other than mentioned in (A) above. </w:t>
      </w:r>
    </w:p>
    <w:p w:rsidR="006349D7" w:rsidRPr="00C60AD1" w:rsidRDefault="006349D7" w:rsidP="006349D7">
      <w:pPr>
        <w:pStyle w:val="BodyTextIndent"/>
        <w:spacing w:before="100" w:beforeAutospacing="1" w:line="288" w:lineRule="auto"/>
        <w:ind w:right="-58"/>
        <w:rPr>
          <w:rFonts w:ascii="Calibri" w:hAnsi="Calibri" w:cs="Arial"/>
        </w:rPr>
      </w:pPr>
      <w:r w:rsidRPr="00C60AD1">
        <w:rPr>
          <w:rFonts w:ascii="Calibri" w:hAnsi="Calibri" w:cs="Arial"/>
        </w:rPr>
        <w:t>This schedule shall also apply for power taken for construction purposes including civil work by all consumers and Govt. Departments.</w:t>
      </w:r>
    </w:p>
    <w:p w:rsidR="006349D7" w:rsidRPr="00C60AD1" w:rsidRDefault="006349D7" w:rsidP="006349D7"/>
    <w:p w:rsidR="006349D7" w:rsidRPr="00C60AD1" w:rsidRDefault="006349D7" w:rsidP="006349D7">
      <w:pPr>
        <w:spacing w:before="100" w:beforeAutospacing="1"/>
        <w:ind w:left="360" w:right="29" w:hanging="360"/>
        <w:rPr>
          <w:b/>
        </w:rPr>
      </w:pPr>
      <w:r w:rsidRPr="00C60AD1">
        <w:rPr>
          <w:b/>
        </w:rPr>
        <w:t>2.</w:t>
      </w:r>
      <w:r w:rsidRPr="00C60AD1">
        <w:rPr>
          <w:b/>
        </w:rPr>
        <w:tab/>
        <w:t>CHARACTER AND POINT OF SUPPLY:</w:t>
      </w:r>
    </w:p>
    <w:p w:rsidR="006349D7" w:rsidRPr="00C60AD1" w:rsidRDefault="006349D7" w:rsidP="006349D7">
      <w:pPr>
        <w:spacing w:line="240" w:lineRule="auto"/>
        <w:ind w:left="360" w:right="-58"/>
      </w:pPr>
      <w:r w:rsidRPr="00C60AD1">
        <w:t>As per the applicable provisions of Electricity Supply Code.</w:t>
      </w:r>
    </w:p>
    <w:p w:rsidR="006349D7" w:rsidRPr="00C60AD1" w:rsidRDefault="006349D7" w:rsidP="006349D7">
      <w:pPr>
        <w:spacing w:line="240" w:lineRule="auto"/>
        <w:ind w:left="360" w:right="-58"/>
        <w:rPr>
          <w:rFonts w:cs="Arial"/>
        </w:rPr>
      </w:pPr>
    </w:p>
    <w:p w:rsidR="006349D7" w:rsidRPr="00C60AD1" w:rsidRDefault="006349D7" w:rsidP="006349D7">
      <w:pPr>
        <w:spacing w:before="100" w:beforeAutospacing="1"/>
        <w:ind w:left="360" w:right="29" w:hanging="360"/>
        <w:rPr>
          <w:rFonts w:cs="Arial"/>
          <w:b/>
        </w:rPr>
      </w:pPr>
      <w:r w:rsidRPr="00C60AD1">
        <w:rPr>
          <w:b/>
        </w:rPr>
        <w:t xml:space="preserve"> </w:t>
      </w:r>
      <w:r w:rsidRPr="00C60AD1">
        <w:rPr>
          <w:rFonts w:cs="Arial"/>
          <w:b/>
        </w:rPr>
        <w:t>3.</w:t>
      </w:r>
      <w:r w:rsidRPr="00C60AD1">
        <w:rPr>
          <w:rFonts w:cs="Arial"/>
          <w:b/>
        </w:rPr>
        <w:tab/>
        <w:t>RATE (SEPARATELY FOR EACH POINT OF SUPPLY):</w:t>
      </w:r>
    </w:p>
    <w:p w:rsidR="006349D7" w:rsidRPr="00C60AD1" w:rsidRDefault="006349D7" w:rsidP="006349D7">
      <w:pPr>
        <w:spacing w:before="100" w:beforeAutospacing="1" w:after="120"/>
        <w:ind w:left="360"/>
      </w:pPr>
      <w:r w:rsidRPr="00C60AD1">
        <w:t xml:space="preserve">Rate gives the fixed and energy charges at which the consumer shall be billed for his consumption during the billing period applicable to the category: </w:t>
      </w:r>
    </w:p>
    <w:p w:rsidR="006349D7" w:rsidRPr="00C60AD1" w:rsidRDefault="006349D7" w:rsidP="006349D7">
      <w:pPr>
        <w:spacing w:before="100" w:beforeAutospacing="1" w:after="120"/>
        <w:ind w:left="360"/>
      </w:pPr>
      <w:r w:rsidRPr="00C60AD1">
        <w:rPr>
          <w:rFonts w:cs="Arial"/>
          <w:b/>
          <w:bCs/>
        </w:rPr>
        <w:t>A</w:t>
      </w:r>
      <w:r w:rsidRPr="00C60AD1">
        <w:rPr>
          <w:rFonts w:cs="Arial"/>
          <w:b/>
        </w:rPr>
        <w:t>.</w:t>
      </w:r>
      <w:r w:rsidRPr="00C60AD1">
        <w:rPr>
          <w:rFonts w:cs="Arial"/>
          <w:b/>
        </w:rPr>
        <w:tab/>
        <w:t>Un-metered:</w:t>
      </w:r>
    </w:p>
    <w:tbl>
      <w:tblPr>
        <w:tblW w:w="8325" w:type="dxa"/>
        <w:tblInd w:w="8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323"/>
        <w:gridCol w:w="2002"/>
      </w:tblGrid>
      <w:tr w:rsidR="006349D7" w:rsidRPr="00C60AD1" w:rsidTr="00BB5A5A">
        <w:tc>
          <w:tcPr>
            <w:tcW w:w="6323" w:type="dxa"/>
          </w:tcPr>
          <w:p w:rsidR="006349D7" w:rsidRPr="00C60AD1" w:rsidRDefault="006349D7" w:rsidP="00BB5A5A">
            <w:pPr>
              <w:spacing w:before="100" w:beforeAutospacing="1"/>
              <w:ind w:left="342" w:right="72" w:hanging="342"/>
              <w:rPr>
                <w:rFonts w:cs="Arial"/>
              </w:rPr>
            </w:pPr>
            <w:r w:rsidRPr="00C60AD1">
              <w:rPr>
                <w:rFonts w:cs="Arial"/>
              </w:rPr>
              <w:t xml:space="preserve">(i) Fixed charges </w:t>
            </w:r>
            <w:r w:rsidRPr="00C60AD1">
              <w:rPr>
                <w:rFonts w:cs="Arial"/>
                <w:b/>
                <w:bCs/>
                <w:i/>
                <w:iCs/>
              </w:rPr>
              <w:t>for illumination / public address / ceremonies</w:t>
            </w:r>
            <w:r w:rsidRPr="00C60AD1">
              <w:rPr>
                <w:rFonts w:cs="Arial"/>
              </w:rPr>
              <w:t xml:space="preserve"> for load up to 20 kW per connection plus Rs. 100 per kW per day for each additional kW.</w:t>
            </w:r>
          </w:p>
        </w:tc>
        <w:tc>
          <w:tcPr>
            <w:tcW w:w="2002" w:type="dxa"/>
          </w:tcPr>
          <w:p w:rsidR="006349D7" w:rsidRPr="00C60AD1" w:rsidRDefault="006349D7" w:rsidP="00BB5A5A">
            <w:pPr>
              <w:spacing w:before="100" w:beforeAutospacing="1"/>
              <w:ind w:right="27"/>
              <w:rPr>
                <w:rFonts w:cs="Arial"/>
              </w:rPr>
            </w:pPr>
            <w:r w:rsidRPr="00C60AD1">
              <w:rPr>
                <w:rFonts w:cs="Arial"/>
              </w:rPr>
              <w:t>Rs. 3</w:t>
            </w:r>
            <w:r>
              <w:rPr>
                <w:rFonts w:cs="Arial"/>
              </w:rPr>
              <w:t>5</w:t>
            </w:r>
            <w:r w:rsidRPr="00C60AD1">
              <w:rPr>
                <w:rFonts w:cs="Arial"/>
              </w:rPr>
              <w:t>00.00 / day</w:t>
            </w:r>
          </w:p>
        </w:tc>
      </w:tr>
      <w:tr w:rsidR="006349D7" w:rsidRPr="00C60AD1" w:rsidTr="00BB5A5A">
        <w:tc>
          <w:tcPr>
            <w:tcW w:w="6323" w:type="dxa"/>
          </w:tcPr>
          <w:p w:rsidR="006349D7" w:rsidRPr="00C60AD1" w:rsidRDefault="006349D7" w:rsidP="00BB5A5A">
            <w:pPr>
              <w:spacing w:before="100" w:beforeAutospacing="1"/>
              <w:ind w:left="342" w:right="162" w:hanging="342"/>
              <w:rPr>
                <w:rFonts w:cs="Arial"/>
              </w:rPr>
            </w:pPr>
            <w:r w:rsidRPr="00C60AD1">
              <w:rPr>
                <w:rFonts w:cs="Arial"/>
              </w:rPr>
              <w:t xml:space="preserve">(ii)  Fixed charges for </w:t>
            </w:r>
            <w:r w:rsidRPr="00C60AD1">
              <w:rPr>
                <w:rFonts w:cs="Arial"/>
                <w:b/>
                <w:bCs/>
                <w:i/>
                <w:iCs/>
              </w:rPr>
              <w:t>temporary shops</w:t>
            </w:r>
            <w:r w:rsidRPr="00C60AD1">
              <w:rPr>
                <w:rFonts w:cs="Arial"/>
              </w:rPr>
              <w:t xml:space="preserve"> set-up during festivals / melas or otherwise and having load up to 2KW</w:t>
            </w:r>
          </w:p>
        </w:tc>
        <w:tc>
          <w:tcPr>
            <w:tcW w:w="2002" w:type="dxa"/>
          </w:tcPr>
          <w:p w:rsidR="006349D7" w:rsidRPr="00C60AD1" w:rsidRDefault="006349D7" w:rsidP="00BB5A5A">
            <w:pPr>
              <w:spacing w:before="100" w:beforeAutospacing="1"/>
              <w:ind w:right="27"/>
              <w:rPr>
                <w:rFonts w:cs="Arial"/>
              </w:rPr>
            </w:pPr>
            <w:r w:rsidRPr="00C60AD1">
              <w:rPr>
                <w:rFonts w:cs="Arial"/>
              </w:rPr>
              <w:t xml:space="preserve">Rs. </w:t>
            </w:r>
            <w:r>
              <w:rPr>
                <w:rFonts w:cs="Arial"/>
              </w:rPr>
              <w:t>30</w:t>
            </w:r>
            <w:r w:rsidRPr="00C60AD1">
              <w:rPr>
                <w:rFonts w:cs="Arial"/>
              </w:rPr>
              <w:t xml:space="preserve">0.00 / day / shop </w:t>
            </w:r>
          </w:p>
        </w:tc>
      </w:tr>
    </w:tbl>
    <w:p w:rsidR="006349D7" w:rsidRDefault="006349D7" w:rsidP="006349D7">
      <w:pPr>
        <w:ind w:firstLine="360"/>
        <w:rPr>
          <w:rFonts w:cs="Arial"/>
          <w:b/>
          <w:bCs/>
        </w:rPr>
      </w:pPr>
    </w:p>
    <w:p w:rsidR="006349D7" w:rsidRPr="00C60AD1" w:rsidRDefault="006349D7" w:rsidP="006349D7">
      <w:pPr>
        <w:spacing w:after="240"/>
        <w:ind w:firstLine="360"/>
        <w:rPr>
          <w:rFonts w:cs="Arial"/>
          <w:b/>
          <w:bCs/>
        </w:rPr>
      </w:pPr>
      <w:r w:rsidRPr="00C60AD1">
        <w:rPr>
          <w:rFonts w:cs="Arial"/>
          <w:b/>
          <w:bCs/>
        </w:rPr>
        <w:lastRenderedPageBreak/>
        <w:t>B.</w:t>
      </w:r>
      <w:r w:rsidRPr="00C60AD1">
        <w:rPr>
          <w:rFonts w:cs="Arial"/>
          <w:b/>
          <w:bCs/>
        </w:rPr>
        <w:tab/>
        <w:t>Metered</w:t>
      </w:r>
      <w:r w:rsidRPr="00E421A9">
        <w:rPr>
          <w:rFonts w:cs="Arial"/>
          <w:b/>
          <w:bCs/>
          <w:vertAlign w:val="superscript"/>
        </w:rPr>
        <w:t>*</w:t>
      </w:r>
      <w:r w:rsidRPr="00C60AD1">
        <w:rPr>
          <w:rFonts w:cs="Arial"/>
          <w:b/>
          <w:bCs/>
        </w:rPr>
        <w:t>:</w:t>
      </w:r>
    </w:p>
    <w:tbl>
      <w:tblPr>
        <w:tblW w:w="7428" w:type="dxa"/>
        <w:jc w:val="center"/>
        <w:tblInd w:w="18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098"/>
        <w:gridCol w:w="4330"/>
      </w:tblGrid>
      <w:tr w:rsidR="006349D7" w:rsidRPr="00C60AD1" w:rsidTr="00BB5A5A">
        <w:trPr>
          <w:trHeight w:val="457"/>
          <w:jc w:val="center"/>
        </w:trPr>
        <w:tc>
          <w:tcPr>
            <w:tcW w:w="3098" w:type="dxa"/>
            <w:shd w:val="clear" w:color="auto" w:fill="DBE5F1" w:themeFill="accent1" w:themeFillTint="33"/>
          </w:tcPr>
          <w:p w:rsidR="006349D7" w:rsidRPr="00C60AD1" w:rsidRDefault="006349D7" w:rsidP="00BB5A5A">
            <w:pPr>
              <w:spacing w:before="100" w:beforeAutospacing="1"/>
              <w:ind w:right="162"/>
              <w:jc w:val="center"/>
              <w:rPr>
                <w:rFonts w:cs="Arial"/>
                <w:b/>
                <w:bCs/>
              </w:rPr>
            </w:pPr>
            <w:r w:rsidRPr="00C60AD1">
              <w:rPr>
                <w:rFonts w:cs="Arial"/>
                <w:b/>
                <w:bCs/>
              </w:rPr>
              <w:t>Description</w:t>
            </w:r>
          </w:p>
        </w:tc>
        <w:tc>
          <w:tcPr>
            <w:tcW w:w="4330" w:type="dxa"/>
            <w:shd w:val="clear" w:color="auto" w:fill="DBE5F1" w:themeFill="accent1" w:themeFillTint="33"/>
          </w:tcPr>
          <w:p w:rsidR="006349D7" w:rsidRPr="00C60AD1" w:rsidRDefault="006349D7" w:rsidP="00BB5A5A">
            <w:pPr>
              <w:spacing w:before="100" w:beforeAutospacing="1"/>
              <w:ind w:right="162"/>
              <w:jc w:val="center"/>
              <w:rPr>
                <w:rFonts w:cs="Arial"/>
                <w:b/>
                <w:bCs/>
              </w:rPr>
            </w:pPr>
            <w:r w:rsidRPr="00C60AD1">
              <w:rPr>
                <w:rFonts w:cs="Arial"/>
                <w:b/>
                <w:bCs/>
              </w:rPr>
              <w:t>Energy Charge</w:t>
            </w:r>
          </w:p>
        </w:tc>
      </w:tr>
      <w:tr w:rsidR="006349D7" w:rsidRPr="00C60AD1" w:rsidTr="00BB5A5A">
        <w:trPr>
          <w:trHeight w:val="457"/>
          <w:jc w:val="center"/>
        </w:trPr>
        <w:tc>
          <w:tcPr>
            <w:tcW w:w="3098" w:type="dxa"/>
            <w:vMerge w:val="restart"/>
          </w:tcPr>
          <w:p w:rsidR="006349D7" w:rsidRPr="00C60AD1" w:rsidRDefault="006349D7" w:rsidP="00BB5A5A">
            <w:pPr>
              <w:spacing w:before="100" w:beforeAutospacing="1"/>
              <w:ind w:right="162"/>
              <w:rPr>
                <w:rFonts w:cs="Arial"/>
                <w:bCs/>
              </w:rPr>
            </w:pPr>
            <w:r w:rsidRPr="00C60AD1">
              <w:rPr>
                <w:rFonts w:cs="Arial"/>
                <w:bCs/>
              </w:rPr>
              <w:t>Individual Residential construction</w:t>
            </w:r>
          </w:p>
        </w:tc>
        <w:tc>
          <w:tcPr>
            <w:tcW w:w="4330" w:type="dxa"/>
          </w:tcPr>
          <w:p w:rsidR="006349D7" w:rsidRPr="00C60AD1" w:rsidRDefault="006349D7" w:rsidP="00BB5A5A">
            <w:pPr>
              <w:spacing w:before="100" w:beforeAutospacing="1"/>
              <w:ind w:right="162"/>
              <w:rPr>
                <w:rFonts w:cs="Arial"/>
                <w:bCs/>
              </w:rPr>
            </w:pPr>
            <w:r w:rsidRPr="00C60AD1">
              <w:rPr>
                <w:rFonts w:cs="Arial"/>
                <w:bCs/>
              </w:rPr>
              <w:t xml:space="preserve">Rs. </w:t>
            </w:r>
            <w:r>
              <w:rPr>
                <w:rFonts w:cs="Arial"/>
                <w:bCs/>
              </w:rPr>
              <w:t>7</w:t>
            </w:r>
            <w:r w:rsidRPr="00C60AD1">
              <w:rPr>
                <w:rFonts w:cs="Arial"/>
              </w:rPr>
              <w:t>.</w:t>
            </w:r>
            <w:r>
              <w:rPr>
                <w:rFonts w:cs="Arial"/>
              </w:rPr>
              <w:t>0</w:t>
            </w:r>
            <w:r w:rsidRPr="00C60AD1">
              <w:t xml:space="preserve">0 </w:t>
            </w:r>
            <w:r w:rsidRPr="00C60AD1">
              <w:rPr>
                <w:rFonts w:cs="Arial"/>
                <w:bCs/>
              </w:rPr>
              <w:t>/ kWh</w:t>
            </w:r>
          </w:p>
        </w:tc>
      </w:tr>
      <w:tr w:rsidR="006349D7" w:rsidRPr="00C60AD1" w:rsidTr="00BB5A5A">
        <w:trPr>
          <w:trHeight w:val="748"/>
          <w:jc w:val="center"/>
        </w:trPr>
        <w:tc>
          <w:tcPr>
            <w:tcW w:w="3098" w:type="dxa"/>
            <w:vMerge/>
          </w:tcPr>
          <w:p w:rsidR="006349D7" w:rsidRPr="00C60AD1" w:rsidRDefault="006349D7" w:rsidP="00BB5A5A">
            <w:pPr>
              <w:spacing w:before="100" w:beforeAutospacing="1"/>
              <w:ind w:right="162"/>
              <w:rPr>
                <w:rFonts w:cs="Arial"/>
                <w:bCs/>
              </w:rPr>
            </w:pPr>
          </w:p>
        </w:tc>
        <w:tc>
          <w:tcPr>
            <w:tcW w:w="4330" w:type="dxa"/>
          </w:tcPr>
          <w:p w:rsidR="006349D7" w:rsidRPr="00C60AD1" w:rsidRDefault="006349D7"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r w:rsidR="006349D7" w:rsidRPr="00C60AD1" w:rsidTr="00BB5A5A">
        <w:trPr>
          <w:trHeight w:val="480"/>
          <w:jc w:val="center"/>
        </w:trPr>
        <w:tc>
          <w:tcPr>
            <w:tcW w:w="3098" w:type="dxa"/>
            <w:vMerge w:val="restart"/>
          </w:tcPr>
          <w:p w:rsidR="006349D7" w:rsidRPr="00C60AD1" w:rsidRDefault="006349D7" w:rsidP="00BB5A5A">
            <w:pPr>
              <w:spacing w:before="100" w:beforeAutospacing="1"/>
              <w:ind w:right="162"/>
              <w:rPr>
                <w:rFonts w:cs="Arial"/>
                <w:bCs/>
              </w:rPr>
            </w:pPr>
            <w:r w:rsidRPr="00C60AD1">
              <w:rPr>
                <w:rFonts w:cs="Arial"/>
                <w:bCs/>
              </w:rPr>
              <w:t>Others</w:t>
            </w:r>
          </w:p>
        </w:tc>
        <w:tc>
          <w:tcPr>
            <w:tcW w:w="4330" w:type="dxa"/>
          </w:tcPr>
          <w:p w:rsidR="006349D7" w:rsidRPr="00C60AD1" w:rsidRDefault="006349D7" w:rsidP="00BB5A5A">
            <w:pPr>
              <w:spacing w:before="100" w:beforeAutospacing="1"/>
              <w:ind w:right="162"/>
              <w:rPr>
                <w:rFonts w:cs="Arial"/>
                <w:bCs/>
              </w:rPr>
            </w:pPr>
            <w:r w:rsidRPr="00C60AD1">
              <w:rPr>
                <w:rFonts w:cs="Arial"/>
                <w:bCs/>
              </w:rPr>
              <w:t xml:space="preserve">Rs. </w:t>
            </w:r>
            <w:r w:rsidRPr="00C60AD1">
              <w:rPr>
                <w:rFonts w:cs="Arial"/>
              </w:rPr>
              <w:t>7.</w:t>
            </w:r>
            <w:r>
              <w:rPr>
                <w:rFonts w:cs="Arial"/>
              </w:rPr>
              <w:t>9</w:t>
            </w:r>
            <w:r w:rsidRPr="00C60AD1">
              <w:t>5</w:t>
            </w:r>
            <w:r w:rsidRPr="00C60AD1">
              <w:rPr>
                <w:rFonts w:cs="Arial"/>
                <w:bCs/>
              </w:rPr>
              <w:t xml:space="preserve"> / kWh</w:t>
            </w:r>
          </w:p>
        </w:tc>
      </w:tr>
      <w:tr w:rsidR="006349D7" w:rsidRPr="00C60AD1" w:rsidTr="00BB5A5A">
        <w:trPr>
          <w:trHeight w:val="480"/>
          <w:jc w:val="center"/>
        </w:trPr>
        <w:tc>
          <w:tcPr>
            <w:tcW w:w="3098" w:type="dxa"/>
            <w:vMerge/>
          </w:tcPr>
          <w:p w:rsidR="006349D7" w:rsidRPr="00C60AD1" w:rsidRDefault="006349D7" w:rsidP="00BB5A5A">
            <w:pPr>
              <w:spacing w:before="100" w:beforeAutospacing="1"/>
              <w:ind w:right="162"/>
              <w:rPr>
                <w:rFonts w:cs="Arial"/>
                <w:bCs/>
              </w:rPr>
            </w:pPr>
          </w:p>
        </w:tc>
        <w:tc>
          <w:tcPr>
            <w:tcW w:w="4330" w:type="dxa"/>
          </w:tcPr>
          <w:p w:rsidR="006349D7" w:rsidRPr="00C60AD1" w:rsidRDefault="006349D7" w:rsidP="00BB5A5A">
            <w:pPr>
              <w:spacing w:before="100" w:beforeAutospacing="1"/>
              <w:ind w:right="162"/>
              <w:rPr>
                <w:rFonts w:cs="Arial"/>
                <w:bCs/>
              </w:rPr>
            </w:pPr>
            <w:r w:rsidRPr="00C60AD1">
              <w:rPr>
                <w:rFonts w:cs="Arial"/>
                <w:bCs/>
              </w:rPr>
              <w:t>From 3</w:t>
            </w:r>
            <w:r w:rsidRPr="00C60AD1">
              <w:rPr>
                <w:rFonts w:cs="Arial"/>
                <w:bCs/>
                <w:vertAlign w:val="superscript"/>
              </w:rPr>
              <w:t>rd</w:t>
            </w:r>
            <w:r w:rsidRPr="00C60AD1">
              <w:rPr>
                <w:rFonts w:cs="Arial"/>
                <w:bCs/>
              </w:rPr>
              <w:t xml:space="preserve"> year onwards: Base Tariff applicable for current year plus additional 10% of the applicable tariff</w:t>
            </w:r>
          </w:p>
        </w:tc>
      </w:tr>
    </w:tbl>
    <w:p w:rsidR="006349D7" w:rsidRPr="00C60AD1" w:rsidRDefault="006349D7" w:rsidP="006349D7">
      <w:pPr>
        <w:spacing w:before="100" w:beforeAutospacing="1"/>
        <w:ind w:right="-48"/>
        <w:rPr>
          <w:rFonts w:cs="Arial"/>
          <w:b/>
          <w:bCs/>
        </w:rPr>
      </w:pPr>
      <w:r w:rsidRPr="000873E5">
        <w:rPr>
          <w:i/>
          <w:sz w:val="22"/>
        </w:rPr>
        <w:t xml:space="preserve">*Minimum bill payable by a consumer under the category “Metered” shall be Rs. </w:t>
      </w:r>
      <w:r>
        <w:rPr>
          <w:i/>
          <w:sz w:val="22"/>
        </w:rPr>
        <w:t>20</w:t>
      </w:r>
      <w:r w:rsidRPr="00C60AD1">
        <w:rPr>
          <w:i/>
          <w:sz w:val="22"/>
        </w:rPr>
        <w:t>0.00</w:t>
      </w:r>
      <w:r w:rsidRPr="000873E5">
        <w:rPr>
          <w:i/>
          <w:sz w:val="22"/>
        </w:rPr>
        <w:t xml:space="preserve"> / kW / week.</w:t>
      </w:r>
      <w:r w:rsidRPr="00C60AD1">
        <w:rPr>
          <w:rFonts w:cs="Arial"/>
          <w:b/>
          <w:bCs/>
        </w:rPr>
        <w:t xml:space="preserve"> </w:t>
      </w:r>
    </w:p>
    <w:p w:rsidR="006349D7" w:rsidRPr="00C60AD1" w:rsidRDefault="006349D7" w:rsidP="006349D7">
      <w:pPr>
        <w:spacing w:before="100" w:beforeAutospacing="1"/>
        <w:ind w:right="-48"/>
        <w:rPr>
          <w:rFonts w:cs="Arial"/>
          <w:b/>
          <w:bCs/>
        </w:rPr>
      </w:pPr>
      <w:r w:rsidRPr="00C60AD1">
        <w:rPr>
          <w:rFonts w:cs="Arial"/>
          <w:b/>
          <w:bCs/>
        </w:rPr>
        <w:t>Note:</w:t>
      </w:r>
    </w:p>
    <w:p w:rsidR="006349D7" w:rsidRPr="00C60AD1" w:rsidRDefault="006349D7" w:rsidP="006349D7">
      <w:pPr>
        <w:pStyle w:val="BodyText"/>
        <w:spacing w:line="288" w:lineRule="auto"/>
        <w:ind w:right="11"/>
        <w:jc w:val="center"/>
        <w:rPr>
          <w:rFonts w:cs="Arial"/>
          <w:b/>
          <w:sz w:val="22"/>
          <w:szCs w:val="22"/>
          <w:u w:val="single"/>
        </w:rPr>
      </w:pPr>
      <w:r w:rsidRPr="00C60AD1">
        <w:rPr>
          <w:szCs w:val="22"/>
        </w:rPr>
        <w:t>Charge as specified at A, shall be paid by the consumer in advance.</w:t>
      </w:r>
    </w:p>
    <w:p w:rsidR="006349D7" w:rsidRDefault="006349D7" w:rsidP="006349D7">
      <w:pPr>
        <w:pStyle w:val="BodyText"/>
        <w:spacing w:line="288" w:lineRule="auto"/>
        <w:ind w:right="11"/>
        <w:jc w:val="center"/>
        <w:rPr>
          <w:rFonts w:cs="Arial"/>
          <w:b/>
          <w:szCs w:val="22"/>
          <w:u w:val="single"/>
        </w:rPr>
      </w:pPr>
      <w:r w:rsidRPr="00C60AD1">
        <w:rPr>
          <w:rFonts w:cs="Arial"/>
          <w:b/>
          <w:sz w:val="22"/>
          <w:szCs w:val="22"/>
          <w:u w:val="single"/>
        </w:rPr>
        <w:br w:type="page"/>
      </w:r>
      <w:r w:rsidRPr="00C60AD1">
        <w:rPr>
          <w:rFonts w:cs="Arial"/>
          <w:b/>
          <w:szCs w:val="22"/>
          <w:u w:val="single"/>
        </w:rPr>
        <w:lastRenderedPageBreak/>
        <w:t>RATE SCHEDULE LMV– 10:</w:t>
      </w:r>
    </w:p>
    <w:p w:rsidR="006349D7" w:rsidRPr="00C60AD1" w:rsidRDefault="006349D7" w:rsidP="006349D7">
      <w:pPr>
        <w:pStyle w:val="BodyText"/>
        <w:spacing w:line="288" w:lineRule="auto"/>
        <w:ind w:right="11"/>
        <w:jc w:val="center"/>
        <w:rPr>
          <w:rFonts w:cs="Arial"/>
          <w:b/>
          <w:sz w:val="22"/>
          <w:szCs w:val="22"/>
          <w:u w:val="single"/>
        </w:rPr>
      </w:pPr>
    </w:p>
    <w:p w:rsidR="006349D7" w:rsidRPr="00C60AD1" w:rsidRDefault="006349D7" w:rsidP="006349D7">
      <w:pPr>
        <w:spacing w:before="240"/>
        <w:ind w:right="29"/>
        <w:jc w:val="center"/>
        <w:rPr>
          <w:rFonts w:cs="Arial"/>
          <w:b/>
        </w:rPr>
      </w:pPr>
      <w:r w:rsidRPr="00C60AD1">
        <w:rPr>
          <w:rFonts w:cs="Arial"/>
          <w:b/>
        </w:rPr>
        <w:t>DEPARTMENTAL EMPLOYEES AND PENSIONERS:</w:t>
      </w:r>
    </w:p>
    <w:p w:rsidR="006349D7" w:rsidRDefault="006349D7" w:rsidP="00EC6AAC">
      <w:pPr>
        <w:numPr>
          <w:ilvl w:val="0"/>
          <w:numId w:val="38"/>
        </w:numPr>
        <w:tabs>
          <w:tab w:val="left" w:pos="0"/>
        </w:tabs>
        <w:spacing w:before="100" w:beforeAutospacing="1" w:line="288" w:lineRule="auto"/>
        <w:ind w:right="1440"/>
        <w:rPr>
          <w:rFonts w:cs="Arial"/>
          <w:b/>
        </w:rPr>
      </w:pPr>
      <w:r w:rsidRPr="00C60AD1">
        <w:rPr>
          <w:rFonts w:cs="Arial"/>
          <w:b/>
        </w:rPr>
        <w:t>APPLICABILITY:</w:t>
      </w:r>
    </w:p>
    <w:p w:rsidR="006349D7" w:rsidRDefault="006349D7" w:rsidP="006349D7">
      <w:pPr>
        <w:spacing w:before="100"/>
        <w:ind w:left="360" w:right="29"/>
        <w:rPr>
          <w:rFonts w:cs="Calibri"/>
        </w:rPr>
      </w:pPr>
      <w:r w:rsidRPr="00C60AD1">
        <w:t xml:space="preserve">This schedule shall apply only to such employees (including the cases of </w:t>
      </w:r>
      <w:r w:rsidRPr="00C60AD1">
        <w:rPr>
          <w:rFonts w:cs="Calibri"/>
        </w:rPr>
        <w:t>retired / voluntary retired or deemed retired</w:t>
      </w:r>
      <w:r w:rsidRPr="00C60AD1">
        <w:t xml:space="preserve">) of Licensees / successor entities of erstwhile Uttar Pradesh State Electricity Board (UPSEB), who own electricity connection in their own name and opt for the same for their own use for light, fan and power for domestic appliances, where the energy is being fed directly from Licensee mains. The Schedule shall also apply to spouse of </w:t>
      </w:r>
      <w:r w:rsidRPr="00C60AD1">
        <w:rPr>
          <w:rFonts w:cs="Calibri"/>
        </w:rPr>
        <w:t>employees served under Licensees / successor entities of erstwhile UPSEB.</w:t>
      </w:r>
    </w:p>
    <w:p w:rsidR="006349D7" w:rsidRPr="00C60AD1" w:rsidRDefault="006349D7" w:rsidP="006349D7">
      <w:pPr>
        <w:spacing w:before="100"/>
        <w:ind w:left="360" w:right="29"/>
        <w:rPr>
          <w:rFonts w:cs="Calibri"/>
        </w:rPr>
      </w:pPr>
    </w:p>
    <w:p w:rsidR="006349D7" w:rsidRPr="00C60AD1" w:rsidRDefault="006349D7" w:rsidP="00EC6AAC">
      <w:pPr>
        <w:numPr>
          <w:ilvl w:val="0"/>
          <w:numId w:val="38"/>
        </w:numPr>
        <w:tabs>
          <w:tab w:val="left" w:pos="0"/>
        </w:tabs>
        <w:spacing w:before="100" w:beforeAutospacing="1" w:line="288" w:lineRule="auto"/>
        <w:ind w:left="0" w:right="1440" w:firstLine="0"/>
        <w:rPr>
          <w:rFonts w:cs="Arial"/>
          <w:b/>
        </w:rPr>
      </w:pPr>
      <w:r w:rsidRPr="00C60AD1">
        <w:rPr>
          <w:rFonts w:cs="Arial"/>
          <w:b/>
        </w:rPr>
        <w:t>RATE:</w:t>
      </w:r>
    </w:p>
    <w:p w:rsidR="006349D7" w:rsidRDefault="006349D7" w:rsidP="006349D7">
      <w:pPr>
        <w:spacing w:before="100" w:beforeAutospacing="1" w:after="40"/>
        <w:ind w:left="360" w:right="-58"/>
      </w:pPr>
      <w:r>
        <w:rPr>
          <w:rFonts w:cs="Arial"/>
          <w:bCs/>
        </w:rPr>
        <w:t xml:space="preserve">On all such consumers LMV-1 </w:t>
      </w:r>
      <w:r w:rsidRPr="00C60AD1">
        <w:rPr>
          <w:rFonts w:cs="Arial"/>
          <w:bCs/>
        </w:rPr>
        <w:t xml:space="preserve">rate </w:t>
      </w:r>
      <w:r>
        <w:rPr>
          <w:rFonts w:cs="Arial"/>
          <w:bCs/>
        </w:rPr>
        <w:t xml:space="preserve">schedule will be applicable. </w:t>
      </w:r>
      <w:r w:rsidRPr="001D6DA7">
        <w:rPr>
          <w:rFonts w:cs="Arial"/>
          <w:bCs/>
        </w:rPr>
        <w:t>However</w:t>
      </w:r>
      <w:r w:rsidRPr="00591F09">
        <w:t xml:space="preserve"> the Licensees are </w:t>
      </w:r>
      <w:r>
        <w:t xml:space="preserve">authorised </w:t>
      </w:r>
      <w:r w:rsidR="00700CAE">
        <w:t>to provide</w:t>
      </w:r>
      <w:r w:rsidRPr="00591F09">
        <w:t xml:space="preserve"> “rebate” as t</w:t>
      </w:r>
      <w:r>
        <w:t>hey</w:t>
      </w:r>
      <w:r w:rsidRPr="00591F09">
        <w:t xml:space="preserve"> deem fit to the consumers eligible to get supply under this category.</w:t>
      </w:r>
    </w:p>
    <w:p w:rsidR="006349D7" w:rsidRPr="001D6DA7" w:rsidRDefault="006349D7" w:rsidP="006349D7">
      <w:pPr>
        <w:spacing w:before="0"/>
        <w:ind w:left="360" w:right="-58"/>
        <w:rPr>
          <w:rFonts w:cs="Arial"/>
          <w:bCs/>
        </w:rPr>
      </w:pPr>
    </w:p>
    <w:p w:rsidR="006349D7" w:rsidRPr="00C60AD1" w:rsidRDefault="006349D7" w:rsidP="00EC6AAC">
      <w:pPr>
        <w:numPr>
          <w:ilvl w:val="0"/>
          <w:numId w:val="38"/>
        </w:numPr>
        <w:spacing w:before="100" w:beforeAutospacing="1" w:line="288" w:lineRule="auto"/>
        <w:ind w:right="-58"/>
        <w:rPr>
          <w:rFonts w:cs="Arial"/>
          <w:b/>
        </w:rPr>
      </w:pPr>
      <w:r w:rsidRPr="00C60AD1">
        <w:rPr>
          <w:rFonts w:cs="Arial"/>
          <w:b/>
        </w:rPr>
        <w:t xml:space="preserve">ELECTRICITY DUTY: </w:t>
      </w:r>
    </w:p>
    <w:p w:rsidR="006349D7" w:rsidRDefault="006349D7" w:rsidP="006349D7">
      <w:pPr>
        <w:tabs>
          <w:tab w:val="left" w:pos="360"/>
        </w:tabs>
        <w:spacing w:before="100" w:beforeAutospacing="1" w:after="40"/>
        <w:ind w:left="360" w:right="-58"/>
        <w:rPr>
          <w:rFonts w:cs="Arial"/>
          <w:bCs/>
        </w:rPr>
      </w:pPr>
      <w:r w:rsidRPr="00C60AD1">
        <w:rPr>
          <w:rFonts w:cs="Arial"/>
          <w:bCs/>
        </w:rPr>
        <w:t>Electricity duty on the above shall be levied in addition at the rates as may be notified by the State Government from time to time.</w:t>
      </w:r>
    </w:p>
    <w:p w:rsidR="006349D7" w:rsidRPr="00C60AD1" w:rsidRDefault="006349D7" w:rsidP="006349D7">
      <w:pPr>
        <w:tabs>
          <w:tab w:val="left" w:pos="360"/>
        </w:tabs>
        <w:spacing w:before="0" w:after="40"/>
        <w:ind w:left="360" w:right="-58"/>
        <w:rPr>
          <w:rFonts w:cs="Arial"/>
          <w:bCs/>
        </w:rPr>
      </w:pPr>
    </w:p>
    <w:p w:rsidR="006349D7" w:rsidRPr="00C60AD1" w:rsidRDefault="006349D7" w:rsidP="00EC6AAC">
      <w:pPr>
        <w:numPr>
          <w:ilvl w:val="0"/>
          <w:numId w:val="38"/>
        </w:numPr>
        <w:spacing w:before="100" w:beforeAutospacing="1" w:after="40" w:line="288" w:lineRule="auto"/>
        <w:ind w:right="-58"/>
        <w:rPr>
          <w:b/>
        </w:rPr>
      </w:pPr>
      <w:r w:rsidRPr="00C60AD1">
        <w:rPr>
          <w:b/>
        </w:rPr>
        <w:t>OTHER PROVISIONS:</w:t>
      </w:r>
    </w:p>
    <w:p w:rsidR="006349D7" w:rsidRPr="00C60AD1" w:rsidRDefault="006349D7" w:rsidP="00EC6AAC">
      <w:pPr>
        <w:numPr>
          <w:ilvl w:val="0"/>
          <w:numId w:val="53"/>
        </w:numPr>
        <w:tabs>
          <w:tab w:val="clear" w:pos="1080"/>
        </w:tabs>
        <w:spacing w:before="100" w:after="40" w:line="288" w:lineRule="auto"/>
        <w:ind w:left="1440" w:right="-58"/>
      </w:pPr>
      <w:r w:rsidRPr="00C60AD1">
        <w:t xml:space="preserve">For serving / retired employees and their spouse, the supply will only be given at one place where Licensee’s mains exist. The electric supply under this tariff will be given only at one place, within the area of erstwhile UPSEB / its successor companies.   </w:t>
      </w:r>
    </w:p>
    <w:p w:rsidR="006349D7" w:rsidRPr="00C60AD1" w:rsidRDefault="006349D7" w:rsidP="00EC6AAC">
      <w:pPr>
        <w:numPr>
          <w:ilvl w:val="0"/>
          <w:numId w:val="53"/>
        </w:numPr>
        <w:tabs>
          <w:tab w:val="clear" w:pos="1080"/>
        </w:tabs>
        <w:spacing w:before="100" w:after="40" w:line="288" w:lineRule="auto"/>
        <w:ind w:left="1440" w:right="-58"/>
      </w:pPr>
      <w:r w:rsidRPr="00C60AD1">
        <w:t xml:space="preserve">Concerned executive engineers will take an affidavit from all employees and pensioners that the electricity supplied to their premises is being used exclusively for the purpose of domestic consumption of themselves and </w:t>
      </w:r>
      <w:r w:rsidRPr="00C60AD1">
        <w:lastRenderedPageBreak/>
        <w:t>their dependants. It will have to be certified by the employees/pensioners that such electricity is not being used for any other purpose or to any individual to whom his house has been rented out. Without any prejudice to any legal action as provided in the legal framework, any misuse to above effect shall invalidate him from the facility of LMV-10 on permanent basis.</w:t>
      </w:r>
    </w:p>
    <w:p w:rsidR="006349D7" w:rsidRPr="00C60AD1" w:rsidRDefault="006349D7" w:rsidP="00EC6AAC">
      <w:pPr>
        <w:numPr>
          <w:ilvl w:val="0"/>
          <w:numId w:val="53"/>
        </w:numPr>
        <w:tabs>
          <w:tab w:val="clear" w:pos="1080"/>
        </w:tabs>
        <w:spacing w:before="100" w:after="40" w:line="288" w:lineRule="auto"/>
        <w:ind w:left="1440" w:right="-58"/>
      </w:pPr>
      <w:r w:rsidRPr="00C60AD1">
        <w:t xml:space="preserve">In the event of transfer of the employee, this tariff shall be applied at the new place of posting only when a certificate has been obtained from the concerned Executive Engineer of the previous place of posting, that the supply under this tariff has been withdrawn at previous place of posting. Further, the employee shall also be required to submit an affidavit that he is not availing the benefit of LMV-10 connection anywhere else in the state. </w:t>
      </w:r>
    </w:p>
    <w:p w:rsidR="006349D7" w:rsidRPr="00C60AD1" w:rsidRDefault="006349D7" w:rsidP="00EC6AAC">
      <w:pPr>
        <w:numPr>
          <w:ilvl w:val="0"/>
          <w:numId w:val="53"/>
        </w:numPr>
        <w:tabs>
          <w:tab w:val="clear" w:pos="1080"/>
        </w:tabs>
        <w:spacing w:before="100" w:after="40" w:line="288" w:lineRule="auto"/>
        <w:ind w:left="1440" w:right="-58"/>
      </w:pPr>
      <w:r w:rsidRPr="00C60AD1">
        <w:t>Those who are not availing this tariff shall also give a declaration to this effect. This declaration shall be pasted / kept in his service book / personal file / Pensioners record. If the declaration is found wrong, necessary action against the employee shall be taken as per the provisions of service rules. If declaration has already been given at the present place of posting then further declaration is not necessary due to this revision. Pensioners shall also have to give a similar declaration for availing departmental tariff at only one place. In case this declaration is found wrong, this tariff shall be withdrawn forever.</w:t>
      </w:r>
    </w:p>
    <w:p w:rsidR="006349D7" w:rsidRPr="00C60AD1" w:rsidRDefault="006349D7" w:rsidP="00EC6AAC">
      <w:pPr>
        <w:numPr>
          <w:ilvl w:val="0"/>
          <w:numId w:val="53"/>
        </w:numPr>
        <w:tabs>
          <w:tab w:val="clear" w:pos="1080"/>
        </w:tabs>
        <w:spacing w:before="100" w:after="40" w:line="288" w:lineRule="auto"/>
        <w:ind w:left="1440" w:right="-58"/>
      </w:pPr>
      <w:r w:rsidRPr="00C60AD1">
        <w:t>No other concession shall be admissible on this tariff.</w:t>
      </w:r>
    </w:p>
    <w:p w:rsidR="006349D7" w:rsidRPr="00C60AD1" w:rsidRDefault="006349D7" w:rsidP="00EC6AAC">
      <w:pPr>
        <w:numPr>
          <w:ilvl w:val="0"/>
          <w:numId w:val="53"/>
        </w:numPr>
        <w:tabs>
          <w:tab w:val="clear" w:pos="1080"/>
        </w:tabs>
        <w:spacing w:before="100" w:after="40" w:line="288" w:lineRule="auto"/>
        <w:ind w:left="1440" w:right="-58"/>
      </w:pPr>
      <w:r w:rsidRPr="00C60AD1">
        <w:t>The schedule of miscellaneous charges as appended with Licensee's General Tariff as amended from time to time and Electricity Supply (Consumers) Regulation, 1984 as enforced from time to time shall also be applicable on the employee / pensioner receiving supply under this schedule.</w:t>
      </w:r>
    </w:p>
    <w:p w:rsidR="006349D7" w:rsidRPr="00C60AD1" w:rsidRDefault="006349D7" w:rsidP="00EC6AAC">
      <w:pPr>
        <w:numPr>
          <w:ilvl w:val="0"/>
          <w:numId w:val="53"/>
        </w:numPr>
        <w:tabs>
          <w:tab w:val="clear" w:pos="1080"/>
        </w:tabs>
        <w:spacing w:before="100" w:after="40" w:line="288" w:lineRule="auto"/>
        <w:ind w:left="1440" w:right="-58"/>
        <w:rPr>
          <w:b/>
        </w:rPr>
      </w:pPr>
      <w:r w:rsidRPr="00C60AD1">
        <w:t>Retired employees drawing pension from the Treasury / Bank will have to pay the monthly electricity charges as per the rates given in the rate schedule applicable to their category.</w:t>
      </w:r>
    </w:p>
    <w:p w:rsidR="006349D7" w:rsidRPr="000873E5" w:rsidRDefault="006349D7" w:rsidP="006349D7">
      <w:pPr>
        <w:tabs>
          <w:tab w:val="num" w:pos="1440"/>
        </w:tabs>
        <w:spacing w:before="100" w:after="40" w:line="288" w:lineRule="auto"/>
        <w:ind w:left="1440" w:right="-58"/>
        <w:rPr>
          <w:b/>
          <w:sz w:val="22"/>
          <w:u w:val="single"/>
        </w:rPr>
      </w:pPr>
    </w:p>
    <w:p w:rsidR="006349D7" w:rsidRPr="00C60AD1" w:rsidRDefault="006349D7" w:rsidP="006349D7">
      <w:pPr>
        <w:pStyle w:val="BodyText"/>
        <w:spacing w:before="100" w:beforeAutospacing="1" w:after="100" w:afterAutospacing="1" w:line="288" w:lineRule="auto"/>
        <w:ind w:right="-61"/>
      </w:pPr>
    </w:p>
    <w:p w:rsidR="006349D7" w:rsidRDefault="006349D7" w:rsidP="006349D7">
      <w:pPr>
        <w:pStyle w:val="BodyText"/>
        <w:spacing w:before="100" w:beforeAutospacing="1" w:after="100" w:afterAutospacing="1" w:line="288" w:lineRule="auto"/>
        <w:ind w:right="-61"/>
        <w:jc w:val="center"/>
        <w:rPr>
          <w:rFonts w:cs="Arial"/>
          <w:b/>
          <w:szCs w:val="22"/>
          <w:u w:val="single"/>
        </w:rPr>
      </w:pPr>
      <w:r w:rsidRPr="00C60AD1">
        <w:rPr>
          <w:rFonts w:cs="Arial"/>
          <w:b/>
          <w:sz w:val="22"/>
          <w:szCs w:val="22"/>
          <w:u w:val="single"/>
        </w:rPr>
        <w:br w:type="page"/>
      </w:r>
      <w:r w:rsidRPr="00C60AD1">
        <w:rPr>
          <w:rFonts w:cs="Arial"/>
          <w:b/>
          <w:szCs w:val="22"/>
          <w:u w:val="single"/>
        </w:rPr>
        <w:lastRenderedPageBreak/>
        <w:t>RATE SCHEDULE HV– 1:</w:t>
      </w:r>
    </w:p>
    <w:p w:rsidR="006349D7" w:rsidRPr="00C60AD1" w:rsidRDefault="006349D7" w:rsidP="006349D7">
      <w:pPr>
        <w:pStyle w:val="BodyText"/>
        <w:spacing w:before="100" w:beforeAutospacing="1" w:after="0" w:line="288" w:lineRule="auto"/>
        <w:ind w:right="-61"/>
        <w:jc w:val="center"/>
        <w:rPr>
          <w:rFonts w:cs="Arial"/>
          <w:b/>
          <w:szCs w:val="22"/>
          <w:u w:val="single"/>
        </w:rPr>
      </w:pPr>
    </w:p>
    <w:p w:rsidR="006349D7" w:rsidRPr="00C60AD1" w:rsidRDefault="006349D7" w:rsidP="006349D7">
      <w:pPr>
        <w:tabs>
          <w:tab w:val="left" w:pos="540"/>
        </w:tabs>
        <w:ind w:left="540" w:right="29" w:hanging="540"/>
        <w:jc w:val="center"/>
        <w:rPr>
          <w:b/>
          <w:bCs/>
        </w:rPr>
      </w:pPr>
      <w:r w:rsidRPr="00C60AD1">
        <w:rPr>
          <w:b/>
          <w:bCs/>
        </w:rPr>
        <w:t>NON INDUSTRIAL BULK LOADS:</w:t>
      </w:r>
    </w:p>
    <w:p w:rsidR="006349D7" w:rsidRPr="00C60AD1" w:rsidRDefault="006349D7" w:rsidP="00EC6AAC">
      <w:pPr>
        <w:numPr>
          <w:ilvl w:val="0"/>
          <w:numId w:val="42"/>
        </w:numPr>
        <w:spacing w:before="100" w:beforeAutospacing="1" w:after="100" w:afterAutospacing="1" w:line="288" w:lineRule="auto"/>
        <w:ind w:left="357" w:right="28"/>
        <w:rPr>
          <w:rFonts w:cs="Arial"/>
          <w:b/>
        </w:rPr>
      </w:pPr>
      <w:r w:rsidRPr="00C60AD1">
        <w:rPr>
          <w:rFonts w:cs="Arial"/>
          <w:b/>
        </w:rPr>
        <w:t>APPLICABILITY:</w:t>
      </w:r>
    </w:p>
    <w:p w:rsidR="006349D7" w:rsidRPr="00C60AD1" w:rsidRDefault="006349D7" w:rsidP="006349D7">
      <w:pPr>
        <w:spacing w:before="100" w:beforeAutospacing="1" w:after="100" w:afterAutospacing="1"/>
        <w:ind w:left="360" w:right="29"/>
        <w:rPr>
          <w:bCs/>
        </w:rPr>
      </w:pPr>
      <w:r w:rsidRPr="00C60AD1">
        <w:rPr>
          <w:bCs/>
        </w:rPr>
        <w:t xml:space="preserve">This rate schedule shall apply to: </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rPr>
          <w:bCs/>
        </w:rPr>
        <w:t xml:space="preserve">Commercial loads (as defined within the meaning of LMV-2) with contracted load of 75 kW &amp; above and getting supply at single point on 11 kV &amp; above voltage levels. </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rPr>
          <w:bCs/>
        </w:rPr>
        <w:t xml:space="preserve">Private institutions (as defined within the meaning of LMV-4 (b)) with contracted load of 75 kW &amp; above and getting supply at single point on 11 kV &amp; above voltage levels. </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rPr>
          <w:bCs/>
        </w:rPr>
        <w:t xml:space="preserve">Non domestic bulk power consumer (other than industrial loads covered under HV-2) with contracted load 75 kW &amp; above and getting supply at single point on 11 kV &amp; above voltage levels and feeding multiple individuals (owners / occupiers / tenants of some area within the larger premises of the bulk power consumer) through its own network and also responsible for maintaining distribution network. </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rPr>
          <w:bCs/>
        </w:rPr>
        <w:t>Public institutions (as defined within the meaning of LMV-4 (a)) with contracted load of 75 kW &amp; above and getting supply at single point on 11 kV &amp; above voltage levels. The institution / consumer seeking the supply at Single point for non-industrial bulk loads under this category shall be considered as a deemed franchisee of the Licensee.</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t>Registered Societies, Residential Colonies / Townships, Residential Multi-Storied Buildings with mixed loads (getting supply at single point)</w:t>
      </w:r>
      <w:r w:rsidRPr="00C60AD1">
        <w:rPr>
          <w:bCs/>
        </w:rPr>
        <w:t xml:space="preserve"> with contracted load 75 kW &amp; above and getting supply at single point on 11 kV &amp; above voltage levels</w:t>
      </w:r>
      <w:r w:rsidRPr="00C60AD1">
        <w:t xml:space="preserve"> and having less than 70% of the total contracted load exclusively for the purposes of domestic light, fan and power. Figure of  70%, shall also include the load required for lifts, water pumps and common lighting, </w:t>
      </w:r>
    </w:p>
    <w:p w:rsidR="006349D7" w:rsidRPr="00C60AD1" w:rsidRDefault="006349D7" w:rsidP="00EC6AAC">
      <w:pPr>
        <w:numPr>
          <w:ilvl w:val="2"/>
          <w:numId w:val="42"/>
        </w:numPr>
        <w:tabs>
          <w:tab w:val="clear" w:pos="2340"/>
        </w:tabs>
        <w:spacing w:before="100" w:beforeAutospacing="1" w:after="100" w:afterAutospacing="1" w:line="288" w:lineRule="auto"/>
        <w:ind w:left="900" w:right="28" w:hanging="540"/>
        <w:rPr>
          <w:bCs/>
        </w:rPr>
      </w:pPr>
      <w:r w:rsidRPr="00C60AD1">
        <w:rPr>
          <w:bCs/>
        </w:rPr>
        <w:t>For Offices / Buildings / Guesthouses of UPPCL / UPRVUNL / UPJVNL / UPPTCL / Distribution Licensees having loads above 75 kW and getting supply at 11 kV &amp; above voltages.</w:t>
      </w:r>
    </w:p>
    <w:p w:rsidR="006349D7" w:rsidRPr="00C60AD1" w:rsidRDefault="006349D7" w:rsidP="006349D7">
      <w:pPr>
        <w:spacing w:before="100" w:beforeAutospacing="1" w:after="100" w:afterAutospacing="1" w:line="288" w:lineRule="auto"/>
        <w:ind w:left="900" w:right="28"/>
        <w:rPr>
          <w:bCs/>
        </w:rPr>
      </w:pPr>
    </w:p>
    <w:p w:rsidR="006349D7" w:rsidRPr="00C60AD1" w:rsidRDefault="006349D7" w:rsidP="00EC6AAC">
      <w:pPr>
        <w:numPr>
          <w:ilvl w:val="0"/>
          <w:numId w:val="42"/>
        </w:numPr>
        <w:spacing w:before="100" w:after="100" w:line="288" w:lineRule="auto"/>
        <w:ind w:left="720" w:right="28" w:hanging="723"/>
        <w:rPr>
          <w:b/>
        </w:rPr>
      </w:pPr>
      <w:r w:rsidRPr="00C60AD1">
        <w:rPr>
          <w:b/>
        </w:rPr>
        <w:lastRenderedPageBreak/>
        <w:t>CHARACTER AND POINT OF SUPPLY:</w:t>
      </w:r>
    </w:p>
    <w:p w:rsidR="006349D7" w:rsidRDefault="006349D7" w:rsidP="006349D7">
      <w:pPr>
        <w:spacing w:line="240" w:lineRule="auto"/>
        <w:ind w:left="360" w:right="-58"/>
      </w:pPr>
      <w:r w:rsidRPr="00C60AD1">
        <w:t>As per the applicable provisions of Electricity Supply Code.</w:t>
      </w:r>
    </w:p>
    <w:p w:rsidR="006349D7" w:rsidRDefault="006349D7" w:rsidP="006349D7">
      <w:pPr>
        <w:spacing w:line="240" w:lineRule="auto"/>
        <w:ind w:left="360" w:right="-58"/>
        <w:rPr>
          <w:rFonts w:cs="Arial"/>
        </w:rPr>
      </w:pPr>
    </w:p>
    <w:p w:rsidR="006349D7" w:rsidRDefault="006349D7" w:rsidP="00EC6AAC">
      <w:pPr>
        <w:pStyle w:val="BodyText"/>
        <w:numPr>
          <w:ilvl w:val="0"/>
          <w:numId w:val="42"/>
        </w:numPr>
        <w:spacing w:after="0" w:line="288" w:lineRule="auto"/>
        <w:ind w:left="0" w:right="29" w:firstLine="0"/>
        <w:rPr>
          <w:rFonts w:cs="Arial"/>
          <w:b/>
        </w:rPr>
      </w:pPr>
      <w:r w:rsidRPr="00C60AD1">
        <w:rPr>
          <w:rFonts w:cs="Arial"/>
          <w:b/>
        </w:rPr>
        <w:t xml:space="preserve">RATE: </w:t>
      </w:r>
    </w:p>
    <w:p w:rsidR="006349D7" w:rsidRPr="00C60AD1" w:rsidRDefault="006349D7" w:rsidP="006349D7">
      <w:r w:rsidRPr="00C60AD1">
        <w:t>Rate, gives the demand and energy charges at which the consumer shall be billed for consumption during the billing period applicable to the category:</w:t>
      </w:r>
    </w:p>
    <w:p w:rsidR="006349D7" w:rsidRPr="00C60AD1" w:rsidRDefault="006349D7" w:rsidP="006349D7"/>
    <w:p w:rsidR="006349D7" w:rsidRPr="00C60AD1" w:rsidRDefault="006349D7" w:rsidP="00EC6AAC">
      <w:pPr>
        <w:pStyle w:val="BodyText"/>
        <w:numPr>
          <w:ilvl w:val="0"/>
          <w:numId w:val="51"/>
        </w:numPr>
        <w:spacing w:before="0" w:after="0" w:line="240" w:lineRule="auto"/>
        <w:ind w:right="-58"/>
        <w:rPr>
          <w:b/>
          <w:bCs/>
        </w:rPr>
      </w:pPr>
      <w:r w:rsidRPr="00C60AD1">
        <w:rPr>
          <w:rFonts w:cs="Arial"/>
          <w:b/>
        </w:rPr>
        <w:t>Commercial Loads / Private Institutions /</w:t>
      </w:r>
      <w:r w:rsidRPr="00C60AD1">
        <w:rPr>
          <w:b/>
          <w:bCs/>
        </w:rPr>
        <w:t xml:space="preserve"> Non domestic bulk power consumer with contracted load 75 kW &amp; above and getting supply at Single Point on 11 kV &amp; above: </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453"/>
        <w:gridCol w:w="1453"/>
        <w:gridCol w:w="1452"/>
        <w:gridCol w:w="1452"/>
      </w:tblGrid>
      <w:tr w:rsidR="006349D7" w:rsidRPr="00C60AD1" w:rsidTr="00BB5A5A">
        <w:trPr>
          <w:trHeight w:val="350"/>
          <w:tblHeader/>
        </w:trPr>
        <w:tc>
          <w:tcPr>
            <w:tcW w:w="959" w:type="pct"/>
            <w:shd w:val="clear" w:color="auto" w:fill="DBE5F1" w:themeFill="accent1" w:themeFillTint="33"/>
          </w:tcPr>
          <w:p w:rsidR="006349D7" w:rsidRPr="00C60AD1" w:rsidRDefault="006349D7" w:rsidP="00BB5A5A">
            <w:pPr>
              <w:ind w:right="-105"/>
              <w:jc w:val="center"/>
              <w:rPr>
                <w:rFonts w:cs="Arial"/>
              </w:rPr>
            </w:pPr>
          </w:p>
        </w:tc>
        <w:tc>
          <w:tcPr>
            <w:tcW w:w="2020" w:type="pct"/>
            <w:gridSpan w:val="2"/>
            <w:shd w:val="clear" w:color="auto" w:fill="DBE5F1" w:themeFill="accent1" w:themeFillTint="33"/>
          </w:tcPr>
          <w:p w:rsidR="006349D7" w:rsidRDefault="006349D7" w:rsidP="00BB5A5A">
            <w:pPr>
              <w:jc w:val="center"/>
              <w:rPr>
                <w:rFonts w:cs="Arial"/>
                <w:b/>
              </w:rPr>
            </w:pPr>
            <w:r w:rsidRPr="00C60AD1">
              <w:rPr>
                <w:rFonts w:cs="Arial"/>
                <w:b/>
              </w:rPr>
              <w:t>For supply at 11kV</w:t>
            </w:r>
          </w:p>
        </w:tc>
        <w:tc>
          <w:tcPr>
            <w:tcW w:w="2020" w:type="pct"/>
            <w:gridSpan w:val="2"/>
            <w:shd w:val="clear" w:color="auto" w:fill="DBE5F1" w:themeFill="accent1" w:themeFillTint="33"/>
          </w:tcPr>
          <w:p w:rsidR="006349D7" w:rsidRPr="00C60AD1" w:rsidRDefault="006349D7" w:rsidP="00BB5A5A">
            <w:pPr>
              <w:jc w:val="center"/>
              <w:rPr>
                <w:rFonts w:cs="Arial"/>
                <w:b/>
              </w:rPr>
            </w:pPr>
            <w:r w:rsidRPr="00C60AD1">
              <w:rPr>
                <w:rFonts w:cs="Arial"/>
                <w:b/>
              </w:rPr>
              <w:t>For supply at 33 kV &amp; above</w:t>
            </w:r>
          </w:p>
        </w:tc>
      </w:tr>
      <w:tr w:rsidR="006349D7" w:rsidRPr="00C60AD1" w:rsidTr="00BB5A5A">
        <w:trPr>
          <w:tblHeader/>
        </w:trPr>
        <w:tc>
          <w:tcPr>
            <w:tcW w:w="959" w:type="pct"/>
          </w:tcPr>
          <w:p w:rsidR="006349D7" w:rsidRPr="00EF2637" w:rsidRDefault="006349D7" w:rsidP="00BB5A5A">
            <w:pPr>
              <w:ind w:right="-105"/>
              <w:rPr>
                <w:rFonts w:cs="Arial"/>
                <w:b/>
              </w:rPr>
            </w:pPr>
            <w:r w:rsidRPr="00CC1DFB">
              <w:rPr>
                <w:rFonts w:cs="Arial"/>
                <w:b/>
              </w:rPr>
              <w:t>Contracted Load</w:t>
            </w:r>
          </w:p>
        </w:tc>
        <w:tc>
          <w:tcPr>
            <w:tcW w:w="1010" w:type="pct"/>
          </w:tcPr>
          <w:p w:rsidR="006349D7" w:rsidRPr="00D10FA4" w:rsidRDefault="006349D7" w:rsidP="00BB5A5A">
            <w:pPr>
              <w:ind w:right="-105"/>
              <w:jc w:val="center"/>
              <w:rPr>
                <w:b/>
              </w:rPr>
            </w:pPr>
            <w:r>
              <w:rPr>
                <w:rFonts w:cs="Arial"/>
                <w:b/>
              </w:rPr>
              <w:t>Upto 100 kVA</w:t>
            </w:r>
          </w:p>
        </w:tc>
        <w:tc>
          <w:tcPr>
            <w:tcW w:w="1010" w:type="pct"/>
          </w:tcPr>
          <w:p w:rsidR="006349D7" w:rsidRPr="00D10FA4" w:rsidRDefault="006349D7" w:rsidP="00BB5A5A">
            <w:pPr>
              <w:ind w:right="-105"/>
              <w:jc w:val="center"/>
              <w:rPr>
                <w:b/>
              </w:rPr>
            </w:pPr>
            <w:r>
              <w:rPr>
                <w:rFonts w:cs="Arial"/>
                <w:b/>
              </w:rPr>
              <w:t>A</w:t>
            </w:r>
            <w:r w:rsidRPr="0037652E">
              <w:rPr>
                <w:rFonts w:cs="Arial"/>
                <w:b/>
              </w:rPr>
              <w:t>bove</w:t>
            </w:r>
            <w:r w:rsidRPr="002A0DC1">
              <w:rPr>
                <w:rFonts w:cs="Arial"/>
                <w:b/>
              </w:rPr>
              <w:t xml:space="preserve"> </w:t>
            </w:r>
            <w:r>
              <w:rPr>
                <w:rFonts w:cs="Arial"/>
                <w:b/>
              </w:rPr>
              <w:t>100 kVA</w:t>
            </w:r>
          </w:p>
        </w:tc>
        <w:tc>
          <w:tcPr>
            <w:tcW w:w="1010" w:type="pct"/>
          </w:tcPr>
          <w:p w:rsidR="006349D7" w:rsidRPr="00D10FA4" w:rsidRDefault="006349D7" w:rsidP="00BB5A5A">
            <w:pPr>
              <w:ind w:right="-105"/>
              <w:jc w:val="center"/>
              <w:rPr>
                <w:b/>
              </w:rPr>
            </w:pPr>
            <w:r>
              <w:rPr>
                <w:rFonts w:cs="Arial"/>
                <w:b/>
              </w:rPr>
              <w:t>Upto 100 kVA</w:t>
            </w:r>
          </w:p>
        </w:tc>
        <w:tc>
          <w:tcPr>
            <w:tcW w:w="1010" w:type="pct"/>
          </w:tcPr>
          <w:p w:rsidR="006349D7" w:rsidRPr="00D10FA4" w:rsidRDefault="006349D7" w:rsidP="00BB5A5A">
            <w:pPr>
              <w:ind w:right="-105"/>
              <w:jc w:val="center"/>
              <w:rPr>
                <w:b/>
              </w:rPr>
            </w:pPr>
            <w:r>
              <w:rPr>
                <w:rFonts w:cs="Arial"/>
                <w:b/>
              </w:rPr>
              <w:t>A</w:t>
            </w:r>
            <w:r w:rsidRPr="002A0DC1">
              <w:rPr>
                <w:rFonts w:cs="Arial"/>
                <w:b/>
              </w:rPr>
              <w:t xml:space="preserve">bove </w:t>
            </w:r>
            <w:r>
              <w:rPr>
                <w:rFonts w:cs="Arial"/>
                <w:b/>
              </w:rPr>
              <w:t>100 kVA</w:t>
            </w:r>
          </w:p>
        </w:tc>
      </w:tr>
      <w:tr w:rsidR="006349D7" w:rsidRPr="00C60AD1" w:rsidTr="00BB5A5A">
        <w:trPr>
          <w:tblHeader/>
        </w:trPr>
        <w:tc>
          <w:tcPr>
            <w:tcW w:w="959" w:type="pct"/>
          </w:tcPr>
          <w:p w:rsidR="006349D7" w:rsidRPr="00C60AD1" w:rsidRDefault="006349D7" w:rsidP="00BB5A5A">
            <w:pPr>
              <w:ind w:right="-105"/>
              <w:rPr>
                <w:rFonts w:cs="Arial"/>
              </w:rPr>
            </w:pPr>
            <w:r w:rsidRPr="00C60AD1">
              <w:rPr>
                <w:rFonts w:cs="Arial"/>
              </w:rPr>
              <w:t xml:space="preserve">Demand Charges </w:t>
            </w:r>
          </w:p>
        </w:tc>
        <w:tc>
          <w:tcPr>
            <w:tcW w:w="1010" w:type="pct"/>
          </w:tcPr>
          <w:p w:rsidR="006349D7" w:rsidRPr="00C60AD1" w:rsidRDefault="006349D7"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6349D7" w:rsidRPr="00C60AD1" w:rsidRDefault="006349D7" w:rsidP="00BB5A5A">
            <w:pPr>
              <w:ind w:right="-105"/>
              <w:jc w:val="center"/>
              <w:rPr>
                <w:rFonts w:cs="Arial"/>
              </w:rPr>
            </w:pPr>
            <w:r w:rsidRPr="00C60AD1">
              <w:rPr>
                <w:rFonts w:cs="Arial"/>
              </w:rPr>
              <w:t xml:space="preserve">Rs. </w:t>
            </w:r>
            <w:r>
              <w:rPr>
                <w:rFonts w:cs="Arial"/>
              </w:rPr>
              <w:t>36</w:t>
            </w:r>
            <w:r w:rsidRPr="00C60AD1">
              <w:rPr>
                <w:rFonts w:cs="Arial"/>
              </w:rPr>
              <w:t>0.00 / kVA / month</w:t>
            </w:r>
          </w:p>
        </w:tc>
        <w:tc>
          <w:tcPr>
            <w:tcW w:w="1010" w:type="pct"/>
          </w:tcPr>
          <w:p w:rsidR="006349D7" w:rsidRPr="00C60AD1" w:rsidRDefault="006349D7" w:rsidP="00BB5A5A">
            <w:pPr>
              <w:ind w:right="-105"/>
              <w:jc w:val="center"/>
              <w:rPr>
                <w:rFonts w:cs="Arial"/>
              </w:rPr>
            </w:pPr>
            <w:r w:rsidRPr="00C60AD1">
              <w:rPr>
                <w:rFonts w:cs="Arial"/>
              </w:rPr>
              <w:t xml:space="preserve">Rs. </w:t>
            </w:r>
            <w:r>
              <w:rPr>
                <w:rFonts w:cs="Arial"/>
              </w:rPr>
              <w:t>32</w:t>
            </w:r>
            <w:r w:rsidRPr="00C60AD1">
              <w:rPr>
                <w:rFonts w:cs="Arial"/>
              </w:rPr>
              <w:t>0.00 / kVA / month</w:t>
            </w:r>
          </w:p>
        </w:tc>
        <w:tc>
          <w:tcPr>
            <w:tcW w:w="1010" w:type="pct"/>
          </w:tcPr>
          <w:p w:rsidR="006349D7" w:rsidRDefault="006349D7" w:rsidP="00BB5A5A">
            <w:pPr>
              <w:ind w:right="-105"/>
              <w:jc w:val="center"/>
              <w:rPr>
                <w:rFonts w:cs="Arial"/>
              </w:rPr>
            </w:pPr>
            <w:r>
              <w:rPr>
                <w:rFonts w:cs="Arial"/>
              </w:rPr>
              <w:t>Rs. 36</w:t>
            </w:r>
            <w:r w:rsidRPr="00C60AD1">
              <w:rPr>
                <w:rFonts w:cs="Arial"/>
              </w:rPr>
              <w:t>0.00 / kVA / month</w:t>
            </w:r>
          </w:p>
        </w:tc>
      </w:tr>
    </w:tbl>
    <w:p w:rsidR="006349D7" w:rsidRPr="00C60AD1" w:rsidRDefault="006349D7" w:rsidP="006349D7">
      <w:pPr>
        <w:pStyle w:val="BodyText"/>
        <w:spacing w:before="100" w:beforeAutospacing="1" w:line="288" w:lineRule="auto"/>
        <w:ind w:left="360" w:right="29"/>
        <w:rPr>
          <w:rFonts w:cs="Arial"/>
          <w:b/>
        </w:rPr>
      </w:pPr>
    </w:p>
    <w:p w:rsidR="006349D7" w:rsidRPr="00C60AD1" w:rsidRDefault="006349D7" w:rsidP="006349D7">
      <w:pPr>
        <w:pStyle w:val="BodyText"/>
        <w:spacing w:before="100" w:beforeAutospacing="1" w:line="288" w:lineRule="auto"/>
        <w:ind w:left="360" w:right="29"/>
        <w:rPr>
          <w:rFonts w:cs="Arial"/>
          <w:b/>
        </w:rPr>
      </w:pPr>
    </w:p>
    <w:p w:rsidR="006349D7" w:rsidRPr="00C60AD1" w:rsidRDefault="006349D7" w:rsidP="006349D7">
      <w:pPr>
        <w:pStyle w:val="BodyText"/>
        <w:spacing w:line="240" w:lineRule="auto"/>
        <w:ind w:left="360" w:right="-58"/>
        <w:rPr>
          <w:rFonts w:cs="Arial"/>
          <w:b/>
        </w:rPr>
      </w:pPr>
    </w:p>
    <w:p w:rsidR="006349D7" w:rsidRPr="00C60AD1" w:rsidRDefault="006349D7" w:rsidP="006349D7">
      <w:pPr>
        <w:pStyle w:val="BodyText"/>
        <w:spacing w:line="240" w:lineRule="auto"/>
        <w:ind w:left="360" w:right="-58"/>
        <w:rPr>
          <w:rFonts w:cs="Arial"/>
          <w:b/>
        </w:rPr>
      </w:pPr>
    </w:p>
    <w:p w:rsidR="006349D7" w:rsidRDefault="006349D7" w:rsidP="006349D7">
      <w:pPr>
        <w:pStyle w:val="BodyText"/>
        <w:spacing w:before="0" w:after="0" w:line="240" w:lineRule="auto"/>
        <w:ind w:left="1080" w:right="-58"/>
        <w:rPr>
          <w:rFonts w:cs="Arial"/>
          <w:b/>
        </w:rPr>
      </w:pPr>
    </w:p>
    <w:p w:rsidR="006349D7" w:rsidRPr="00C60AD1"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4"/>
        <w:gridCol w:w="1441"/>
        <w:gridCol w:w="1327"/>
        <w:gridCol w:w="1556"/>
        <w:gridCol w:w="1442"/>
      </w:tblGrid>
      <w:tr w:rsidR="006349D7" w:rsidRPr="00C60AD1" w:rsidTr="00BB5A5A">
        <w:trPr>
          <w:trHeight w:val="350"/>
          <w:tblHeader/>
        </w:trPr>
        <w:tc>
          <w:tcPr>
            <w:tcW w:w="990" w:type="pct"/>
            <w:shd w:val="clear" w:color="auto" w:fill="DBE5F1" w:themeFill="accent1" w:themeFillTint="33"/>
          </w:tcPr>
          <w:p w:rsidR="006349D7" w:rsidRPr="00C60AD1" w:rsidRDefault="006349D7" w:rsidP="00BB5A5A">
            <w:pPr>
              <w:ind w:right="-105"/>
              <w:jc w:val="center"/>
              <w:rPr>
                <w:rFonts w:cs="Arial"/>
              </w:rPr>
            </w:pPr>
          </w:p>
        </w:tc>
        <w:tc>
          <w:tcPr>
            <w:tcW w:w="1925" w:type="pct"/>
            <w:gridSpan w:val="2"/>
            <w:shd w:val="clear" w:color="auto" w:fill="DBE5F1" w:themeFill="accent1" w:themeFillTint="33"/>
          </w:tcPr>
          <w:p w:rsidR="006349D7" w:rsidRDefault="006349D7" w:rsidP="00BB5A5A">
            <w:pPr>
              <w:jc w:val="center"/>
              <w:rPr>
                <w:rFonts w:cs="Arial"/>
                <w:b/>
              </w:rPr>
            </w:pPr>
            <w:r w:rsidRPr="00C60AD1">
              <w:rPr>
                <w:rFonts w:cs="Arial"/>
                <w:b/>
              </w:rPr>
              <w:t>For supply at 11kV</w:t>
            </w:r>
          </w:p>
        </w:tc>
        <w:tc>
          <w:tcPr>
            <w:tcW w:w="2085" w:type="pct"/>
            <w:gridSpan w:val="2"/>
            <w:shd w:val="clear" w:color="auto" w:fill="DBE5F1" w:themeFill="accent1" w:themeFillTint="33"/>
          </w:tcPr>
          <w:p w:rsidR="006349D7" w:rsidRPr="00C60AD1" w:rsidRDefault="006349D7" w:rsidP="00BB5A5A">
            <w:pPr>
              <w:jc w:val="center"/>
              <w:rPr>
                <w:rFonts w:cs="Arial"/>
                <w:b/>
              </w:rPr>
            </w:pPr>
            <w:r w:rsidRPr="00C60AD1">
              <w:rPr>
                <w:rFonts w:cs="Arial"/>
                <w:b/>
              </w:rPr>
              <w:t>For supply at 33 kV &amp; above</w:t>
            </w:r>
          </w:p>
        </w:tc>
      </w:tr>
      <w:tr w:rsidR="006349D7" w:rsidRPr="00C60AD1" w:rsidTr="00BB5A5A">
        <w:trPr>
          <w:tblHeader/>
        </w:trPr>
        <w:tc>
          <w:tcPr>
            <w:tcW w:w="990" w:type="pct"/>
          </w:tcPr>
          <w:p w:rsidR="006349D7" w:rsidRPr="00C60AD1" w:rsidRDefault="006349D7" w:rsidP="00BB5A5A">
            <w:pPr>
              <w:ind w:right="-105"/>
              <w:rPr>
                <w:rFonts w:cs="Arial"/>
              </w:rPr>
            </w:pPr>
            <w:r>
              <w:rPr>
                <w:rFonts w:cs="Arial"/>
              </w:rPr>
              <w:t>Consumption Range</w:t>
            </w:r>
          </w:p>
        </w:tc>
        <w:tc>
          <w:tcPr>
            <w:tcW w:w="1002" w:type="pct"/>
          </w:tcPr>
          <w:p w:rsidR="006349D7" w:rsidRPr="00136ADD" w:rsidRDefault="006349D7" w:rsidP="00BB5A5A">
            <w:pPr>
              <w:ind w:right="-105"/>
              <w:jc w:val="center"/>
              <w:rPr>
                <w:b/>
              </w:rPr>
            </w:pPr>
            <w:r>
              <w:rPr>
                <w:rFonts w:cs="Arial"/>
                <w:b/>
              </w:rPr>
              <w:t>For first 2500 kVAh / month</w:t>
            </w:r>
          </w:p>
        </w:tc>
        <w:tc>
          <w:tcPr>
            <w:tcW w:w="923" w:type="pct"/>
          </w:tcPr>
          <w:p w:rsidR="006349D7" w:rsidRPr="00136ADD" w:rsidRDefault="006349D7"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 )</w:t>
            </w:r>
          </w:p>
        </w:tc>
        <w:tc>
          <w:tcPr>
            <w:tcW w:w="1082" w:type="pct"/>
          </w:tcPr>
          <w:p w:rsidR="006349D7" w:rsidRPr="00136ADD" w:rsidRDefault="006349D7" w:rsidP="00BB5A5A">
            <w:pPr>
              <w:ind w:right="-105"/>
              <w:jc w:val="center"/>
              <w:rPr>
                <w:rFonts w:cs="Arial"/>
                <w:b/>
              </w:rPr>
            </w:pPr>
            <w:r>
              <w:rPr>
                <w:rFonts w:cs="Arial"/>
                <w:b/>
              </w:rPr>
              <w:t>For first 2500 kVAh / month</w:t>
            </w:r>
          </w:p>
        </w:tc>
        <w:tc>
          <w:tcPr>
            <w:tcW w:w="1003" w:type="pct"/>
          </w:tcPr>
          <w:p w:rsidR="006349D7" w:rsidRPr="00136ADD" w:rsidRDefault="006349D7"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6349D7" w:rsidRPr="00C60AD1" w:rsidTr="00BB5A5A">
        <w:trPr>
          <w:tblHeader/>
        </w:trPr>
        <w:tc>
          <w:tcPr>
            <w:tcW w:w="990" w:type="pct"/>
          </w:tcPr>
          <w:p w:rsidR="006349D7" w:rsidRPr="00C60AD1" w:rsidRDefault="006349D7" w:rsidP="00BB5A5A">
            <w:pPr>
              <w:ind w:right="-105"/>
              <w:rPr>
                <w:rFonts w:cs="Arial"/>
              </w:rPr>
            </w:pPr>
            <w:r w:rsidRPr="00C60AD1">
              <w:rPr>
                <w:rFonts w:cs="Arial"/>
              </w:rPr>
              <w:t xml:space="preserve">Energy Charges </w:t>
            </w:r>
          </w:p>
        </w:tc>
        <w:tc>
          <w:tcPr>
            <w:tcW w:w="1002" w:type="pct"/>
          </w:tcPr>
          <w:p w:rsidR="006349D7" w:rsidRPr="00C60AD1" w:rsidRDefault="006349D7" w:rsidP="00BB5A5A">
            <w:pPr>
              <w:ind w:right="-105"/>
              <w:jc w:val="center"/>
              <w:rPr>
                <w:rFonts w:cs="Arial"/>
              </w:rPr>
            </w:pPr>
            <w:r w:rsidRPr="00C60AD1">
              <w:rPr>
                <w:rFonts w:cs="Arial"/>
              </w:rPr>
              <w:t>Rs. 7.</w:t>
            </w:r>
            <w:r>
              <w:rPr>
                <w:rFonts w:cs="Arial"/>
              </w:rPr>
              <w:t>6</w:t>
            </w:r>
            <w:r w:rsidRPr="00C60AD1">
              <w:rPr>
                <w:rFonts w:cs="Arial"/>
              </w:rPr>
              <w:t>0 / kVAh</w:t>
            </w:r>
          </w:p>
        </w:tc>
        <w:tc>
          <w:tcPr>
            <w:tcW w:w="923" w:type="pct"/>
          </w:tcPr>
          <w:p w:rsidR="006349D7" w:rsidRDefault="006349D7" w:rsidP="00BB5A5A">
            <w:pPr>
              <w:ind w:right="-105"/>
              <w:jc w:val="center"/>
              <w:rPr>
                <w:rFonts w:cs="Arial"/>
              </w:rPr>
            </w:pPr>
            <w:r>
              <w:rPr>
                <w:rFonts w:cs="Arial"/>
              </w:rPr>
              <w:t>Rs. 7.95</w:t>
            </w:r>
            <w:r w:rsidRPr="00C60AD1">
              <w:rPr>
                <w:rFonts w:cs="Arial"/>
              </w:rPr>
              <w:t xml:space="preserve"> / kVAh</w:t>
            </w:r>
          </w:p>
        </w:tc>
        <w:tc>
          <w:tcPr>
            <w:tcW w:w="1082" w:type="pct"/>
          </w:tcPr>
          <w:p w:rsidR="006349D7" w:rsidRPr="00C60AD1" w:rsidRDefault="006349D7" w:rsidP="00BB5A5A">
            <w:pPr>
              <w:ind w:right="-105"/>
              <w:jc w:val="center"/>
              <w:rPr>
                <w:rFonts w:cs="Arial"/>
              </w:rPr>
            </w:pPr>
            <w:r w:rsidRPr="00C60AD1">
              <w:rPr>
                <w:rFonts w:cs="Arial"/>
              </w:rPr>
              <w:t>Rs. 7.</w:t>
            </w:r>
            <w:r>
              <w:rPr>
                <w:rFonts w:cs="Arial"/>
              </w:rPr>
              <w:t>4</w:t>
            </w:r>
            <w:r w:rsidRPr="00C60AD1">
              <w:rPr>
                <w:rFonts w:cs="Arial"/>
              </w:rPr>
              <w:t>0 / kVAh</w:t>
            </w:r>
          </w:p>
        </w:tc>
        <w:tc>
          <w:tcPr>
            <w:tcW w:w="1003" w:type="pct"/>
          </w:tcPr>
          <w:p w:rsidR="006349D7" w:rsidRPr="00C60AD1" w:rsidRDefault="006349D7" w:rsidP="00BB5A5A">
            <w:pPr>
              <w:ind w:right="-105"/>
              <w:jc w:val="center"/>
              <w:rPr>
                <w:rFonts w:cs="Arial"/>
              </w:rPr>
            </w:pPr>
            <w:r>
              <w:rPr>
                <w:rFonts w:cs="Arial"/>
              </w:rPr>
              <w:t>Rs. 7.75</w:t>
            </w:r>
            <w:r w:rsidRPr="00C60AD1">
              <w:rPr>
                <w:rFonts w:cs="Arial"/>
              </w:rPr>
              <w:t xml:space="preserve"> / kVAh</w:t>
            </w:r>
          </w:p>
        </w:tc>
      </w:tr>
    </w:tbl>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Default="006349D7" w:rsidP="006349D7">
      <w:pPr>
        <w:pStyle w:val="BodyText"/>
        <w:spacing w:before="0" w:after="0" w:line="240" w:lineRule="auto"/>
        <w:ind w:left="1080" w:right="-58"/>
        <w:rPr>
          <w:rFonts w:cs="Arial"/>
          <w:b/>
        </w:rPr>
      </w:pPr>
    </w:p>
    <w:p w:rsidR="006349D7" w:rsidRPr="00C60AD1" w:rsidRDefault="006349D7" w:rsidP="00EC6AAC">
      <w:pPr>
        <w:pStyle w:val="BodyText"/>
        <w:numPr>
          <w:ilvl w:val="0"/>
          <w:numId w:val="51"/>
        </w:numPr>
        <w:spacing w:before="0" w:after="0" w:line="240" w:lineRule="auto"/>
        <w:ind w:right="-58"/>
        <w:rPr>
          <w:rFonts w:cs="Arial"/>
          <w:b/>
        </w:rPr>
      </w:pPr>
      <w:r w:rsidRPr="00C60AD1">
        <w:rPr>
          <w:rFonts w:cs="Arial"/>
          <w:b/>
        </w:rPr>
        <w:t xml:space="preserve">Public Institutions, </w:t>
      </w:r>
      <w:r w:rsidRPr="00C60AD1">
        <w:rPr>
          <w:b/>
          <w:szCs w:val="22"/>
        </w:rPr>
        <w:t>Registered Societies, Residential Colonies / Townships, Residential Multi-Storied Buildings</w:t>
      </w:r>
      <w:r w:rsidRPr="00C60AD1">
        <w:rPr>
          <w:rFonts w:cs="Arial"/>
          <w:b/>
        </w:rPr>
        <w:t xml:space="preserve"> including </w:t>
      </w:r>
      <w:r w:rsidRPr="00C60AD1">
        <w:rPr>
          <w:b/>
          <w:bCs/>
        </w:rPr>
        <w:t>Residential Multi-Storied Buildings</w:t>
      </w:r>
      <w:r w:rsidRPr="00C60AD1" w:rsidDel="00F03799">
        <w:rPr>
          <w:rFonts w:cs="Arial"/>
          <w:b/>
        </w:rPr>
        <w:t xml:space="preserve"> </w:t>
      </w:r>
      <w:r w:rsidRPr="00C60AD1">
        <w:rPr>
          <w:rFonts w:cs="Arial"/>
          <w:b/>
        </w:rPr>
        <w:t>with contracted load 75 kW &amp; above and getting supply at Single Point on 11 kV &amp; above voltage levels:</w:t>
      </w: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9"/>
        <w:gridCol w:w="1462"/>
        <w:gridCol w:w="1464"/>
        <w:gridCol w:w="1464"/>
        <w:gridCol w:w="1461"/>
      </w:tblGrid>
      <w:tr w:rsidR="006349D7" w:rsidRPr="00C60AD1" w:rsidTr="00BB5A5A">
        <w:trPr>
          <w:trHeight w:val="350"/>
          <w:tblHeader/>
        </w:trPr>
        <w:tc>
          <w:tcPr>
            <w:tcW w:w="931" w:type="pct"/>
            <w:shd w:val="clear" w:color="auto" w:fill="DBE5F1" w:themeFill="accent1" w:themeFillTint="33"/>
          </w:tcPr>
          <w:p w:rsidR="006349D7" w:rsidRPr="00C60AD1" w:rsidRDefault="006349D7" w:rsidP="00BB5A5A">
            <w:pPr>
              <w:ind w:right="-105"/>
              <w:rPr>
                <w:rFonts w:cs="Arial"/>
              </w:rPr>
            </w:pPr>
          </w:p>
        </w:tc>
        <w:tc>
          <w:tcPr>
            <w:tcW w:w="2034" w:type="pct"/>
            <w:gridSpan w:val="2"/>
            <w:shd w:val="clear" w:color="auto" w:fill="DBE5F1" w:themeFill="accent1" w:themeFillTint="33"/>
          </w:tcPr>
          <w:p w:rsidR="006349D7" w:rsidRDefault="006349D7" w:rsidP="00BB5A5A">
            <w:pPr>
              <w:rPr>
                <w:rFonts w:cs="Arial"/>
                <w:b/>
              </w:rPr>
            </w:pPr>
            <w:r w:rsidRPr="00C60AD1">
              <w:rPr>
                <w:rFonts w:cs="Arial"/>
                <w:b/>
              </w:rPr>
              <w:t>For supply at 11kV</w:t>
            </w:r>
          </w:p>
        </w:tc>
        <w:tc>
          <w:tcPr>
            <w:tcW w:w="2035" w:type="pct"/>
            <w:gridSpan w:val="2"/>
            <w:shd w:val="clear" w:color="auto" w:fill="DBE5F1" w:themeFill="accent1" w:themeFillTint="33"/>
          </w:tcPr>
          <w:p w:rsidR="006349D7" w:rsidRDefault="006349D7" w:rsidP="00BB5A5A">
            <w:pPr>
              <w:rPr>
                <w:rFonts w:cs="Arial"/>
                <w:b/>
              </w:rPr>
            </w:pPr>
            <w:r w:rsidRPr="00C60AD1">
              <w:rPr>
                <w:rFonts w:cs="Arial"/>
                <w:b/>
              </w:rPr>
              <w:t>For supply at 33 kV &amp; above</w:t>
            </w:r>
          </w:p>
        </w:tc>
      </w:tr>
      <w:tr w:rsidR="006349D7" w:rsidRPr="00C60AD1" w:rsidTr="00BB5A5A">
        <w:trPr>
          <w:tblHeader/>
        </w:trPr>
        <w:tc>
          <w:tcPr>
            <w:tcW w:w="931" w:type="pct"/>
          </w:tcPr>
          <w:p w:rsidR="006349D7" w:rsidRPr="00C60AD1" w:rsidRDefault="006349D7" w:rsidP="00BB5A5A">
            <w:pPr>
              <w:ind w:right="-105"/>
              <w:rPr>
                <w:rFonts w:cs="Arial"/>
              </w:rPr>
            </w:pPr>
            <w:r>
              <w:rPr>
                <w:rFonts w:cs="Arial"/>
              </w:rPr>
              <w:lastRenderedPageBreak/>
              <w:t>Contracted Load</w:t>
            </w:r>
          </w:p>
        </w:tc>
        <w:tc>
          <w:tcPr>
            <w:tcW w:w="1017" w:type="pct"/>
          </w:tcPr>
          <w:p w:rsidR="006349D7" w:rsidRPr="00D10FA4" w:rsidRDefault="006349D7" w:rsidP="00BB5A5A">
            <w:pPr>
              <w:ind w:right="-105"/>
              <w:jc w:val="center"/>
              <w:rPr>
                <w:b/>
              </w:rPr>
            </w:pPr>
            <w:r>
              <w:rPr>
                <w:rFonts w:cs="Arial"/>
                <w:b/>
              </w:rPr>
              <w:t>Upto 100 kVA</w:t>
            </w:r>
          </w:p>
        </w:tc>
        <w:tc>
          <w:tcPr>
            <w:tcW w:w="1018" w:type="pct"/>
          </w:tcPr>
          <w:p w:rsidR="006349D7" w:rsidRPr="00D10FA4" w:rsidRDefault="006349D7" w:rsidP="00BB5A5A">
            <w:pPr>
              <w:ind w:right="-105"/>
              <w:jc w:val="center"/>
              <w:rPr>
                <w:b/>
              </w:rPr>
            </w:pPr>
            <w:r w:rsidRPr="002A0DC1">
              <w:rPr>
                <w:rFonts w:cs="Arial"/>
                <w:b/>
              </w:rPr>
              <w:t xml:space="preserve">Above </w:t>
            </w:r>
            <w:r>
              <w:rPr>
                <w:rFonts w:cs="Arial"/>
                <w:b/>
              </w:rPr>
              <w:t>100 kVA</w:t>
            </w:r>
          </w:p>
        </w:tc>
        <w:tc>
          <w:tcPr>
            <w:tcW w:w="1018" w:type="pct"/>
          </w:tcPr>
          <w:p w:rsidR="006349D7" w:rsidRPr="00D10FA4" w:rsidRDefault="006349D7" w:rsidP="00BB5A5A">
            <w:pPr>
              <w:ind w:right="-105"/>
              <w:jc w:val="center"/>
              <w:rPr>
                <w:b/>
              </w:rPr>
            </w:pPr>
            <w:r>
              <w:rPr>
                <w:rFonts w:cs="Arial"/>
                <w:b/>
              </w:rPr>
              <w:t>Upto 100 kVA</w:t>
            </w:r>
          </w:p>
        </w:tc>
        <w:tc>
          <w:tcPr>
            <w:tcW w:w="1018" w:type="pct"/>
          </w:tcPr>
          <w:p w:rsidR="006349D7" w:rsidRPr="00D10FA4" w:rsidRDefault="006349D7" w:rsidP="00BB5A5A">
            <w:pPr>
              <w:ind w:right="-105"/>
              <w:jc w:val="center"/>
              <w:rPr>
                <w:b/>
              </w:rPr>
            </w:pPr>
            <w:r w:rsidRPr="002A0DC1">
              <w:rPr>
                <w:rFonts w:cs="Arial"/>
                <w:b/>
              </w:rPr>
              <w:t xml:space="preserve">Above </w:t>
            </w:r>
            <w:r>
              <w:rPr>
                <w:rFonts w:cs="Arial"/>
                <w:b/>
              </w:rPr>
              <w:t>100 kVA</w:t>
            </w:r>
          </w:p>
        </w:tc>
      </w:tr>
      <w:tr w:rsidR="006349D7" w:rsidRPr="00C60AD1" w:rsidTr="00BB5A5A">
        <w:trPr>
          <w:tblHeader/>
        </w:trPr>
        <w:tc>
          <w:tcPr>
            <w:tcW w:w="931" w:type="pct"/>
          </w:tcPr>
          <w:p w:rsidR="006349D7" w:rsidRPr="00C60AD1" w:rsidRDefault="006349D7" w:rsidP="00BB5A5A">
            <w:pPr>
              <w:ind w:right="-105"/>
              <w:rPr>
                <w:rFonts w:cs="Arial"/>
              </w:rPr>
            </w:pPr>
            <w:r w:rsidRPr="00C60AD1">
              <w:rPr>
                <w:rFonts w:cs="Arial"/>
              </w:rPr>
              <w:t xml:space="preserve">Demand Charges </w:t>
            </w:r>
          </w:p>
        </w:tc>
        <w:tc>
          <w:tcPr>
            <w:tcW w:w="1017" w:type="pct"/>
          </w:tcPr>
          <w:p w:rsidR="006349D7" w:rsidRPr="00C60AD1" w:rsidRDefault="006349D7" w:rsidP="00BB5A5A">
            <w:pPr>
              <w:ind w:right="-105"/>
              <w:jc w:val="center"/>
              <w:rPr>
                <w:rFonts w:cs="Arial"/>
              </w:rPr>
            </w:pPr>
            <w:r w:rsidRPr="00C60AD1">
              <w:rPr>
                <w:rFonts w:cs="Arial"/>
              </w:rPr>
              <w:t xml:space="preserve">Rs. </w:t>
            </w:r>
            <w:r>
              <w:rPr>
                <w:rFonts w:cs="Arial"/>
              </w:rPr>
              <w:t>285.00 / kVA / month</w:t>
            </w:r>
          </w:p>
        </w:tc>
        <w:tc>
          <w:tcPr>
            <w:tcW w:w="1018" w:type="pct"/>
          </w:tcPr>
          <w:p w:rsidR="006349D7" w:rsidRPr="00C60AD1" w:rsidRDefault="006349D7" w:rsidP="00BB5A5A">
            <w:pPr>
              <w:ind w:right="-105"/>
              <w:jc w:val="center"/>
              <w:rPr>
                <w:rFonts w:cs="Arial"/>
              </w:rPr>
            </w:pPr>
            <w:r w:rsidRPr="00C60AD1">
              <w:rPr>
                <w:rFonts w:cs="Arial"/>
              </w:rPr>
              <w:t xml:space="preserve">Rs. </w:t>
            </w:r>
            <w:r>
              <w:rPr>
                <w:rFonts w:cs="Arial"/>
              </w:rPr>
              <w:t>30</w:t>
            </w:r>
            <w:r w:rsidRPr="00C60AD1">
              <w:rPr>
                <w:rFonts w:cs="Arial"/>
              </w:rPr>
              <w:t>0.00 / kVA / month</w:t>
            </w:r>
          </w:p>
        </w:tc>
        <w:tc>
          <w:tcPr>
            <w:tcW w:w="1018" w:type="pct"/>
          </w:tcPr>
          <w:p w:rsidR="006349D7" w:rsidRPr="00C60AD1" w:rsidRDefault="006349D7" w:rsidP="00BB5A5A">
            <w:pPr>
              <w:ind w:right="-105"/>
              <w:jc w:val="center"/>
              <w:rPr>
                <w:rFonts w:cs="Arial"/>
              </w:rPr>
            </w:pPr>
            <w:r w:rsidRPr="00C60AD1">
              <w:rPr>
                <w:rFonts w:cs="Arial"/>
              </w:rPr>
              <w:t xml:space="preserve">Rs. </w:t>
            </w:r>
            <w:r>
              <w:rPr>
                <w:rFonts w:cs="Arial"/>
              </w:rPr>
              <w:t>285</w:t>
            </w:r>
            <w:r w:rsidRPr="00C60AD1">
              <w:rPr>
                <w:rFonts w:cs="Arial"/>
              </w:rPr>
              <w:t>.00 / kVA / month</w:t>
            </w:r>
          </w:p>
        </w:tc>
        <w:tc>
          <w:tcPr>
            <w:tcW w:w="1018" w:type="pct"/>
          </w:tcPr>
          <w:p w:rsidR="006349D7" w:rsidRDefault="006349D7" w:rsidP="00BB5A5A">
            <w:pPr>
              <w:ind w:right="-105"/>
              <w:jc w:val="center"/>
              <w:rPr>
                <w:rFonts w:cs="Arial"/>
              </w:rPr>
            </w:pPr>
            <w:r>
              <w:rPr>
                <w:rFonts w:cs="Arial"/>
              </w:rPr>
              <w:t>Rs. 30</w:t>
            </w:r>
            <w:r w:rsidRPr="00C60AD1">
              <w:rPr>
                <w:rFonts w:cs="Arial"/>
              </w:rPr>
              <w:t>0.00 / kVA / month</w:t>
            </w:r>
          </w:p>
        </w:tc>
      </w:tr>
    </w:tbl>
    <w:p w:rsidR="006349D7" w:rsidRDefault="006349D7" w:rsidP="006349D7">
      <w:pPr>
        <w:pStyle w:val="BodyText"/>
        <w:spacing w:before="100" w:beforeAutospacing="1" w:after="100" w:afterAutospacing="1" w:line="288" w:lineRule="auto"/>
        <w:ind w:right="-61"/>
        <w:jc w:val="left"/>
        <w:rPr>
          <w:rFonts w:cs="Arial"/>
          <w:b/>
        </w:rPr>
      </w:pPr>
    </w:p>
    <w:p w:rsidR="006349D7" w:rsidRDefault="006349D7" w:rsidP="006349D7">
      <w:pPr>
        <w:pStyle w:val="BodyText"/>
        <w:spacing w:before="100" w:beforeAutospacing="1" w:after="100" w:afterAutospacing="1" w:line="288" w:lineRule="auto"/>
        <w:ind w:right="-61"/>
        <w:jc w:val="left"/>
        <w:rPr>
          <w:rFonts w:cs="Arial"/>
          <w:b/>
        </w:rPr>
      </w:pPr>
    </w:p>
    <w:p w:rsidR="006349D7" w:rsidRDefault="006349D7" w:rsidP="006349D7">
      <w:pPr>
        <w:pStyle w:val="BodyText"/>
        <w:spacing w:before="100" w:beforeAutospacing="1" w:after="100" w:afterAutospacing="1" w:line="288" w:lineRule="auto"/>
        <w:ind w:right="-61"/>
        <w:jc w:val="left"/>
        <w:rPr>
          <w:rFonts w:cs="Arial"/>
          <w:b/>
        </w:rPr>
      </w:pPr>
    </w:p>
    <w:tbl>
      <w:tblPr>
        <w:tblpPr w:leftFromText="180" w:rightFromText="180" w:vertAnchor="text" w:horzAnchor="page" w:tblpX="2674" w:tblpY="140"/>
        <w:tblW w:w="4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1453"/>
        <w:gridCol w:w="1452"/>
        <w:gridCol w:w="1452"/>
        <w:gridCol w:w="1452"/>
      </w:tblGrid>
      <w:tr w:rsidR="006349D7" w:rsidRPr="00C60AD1" w:rsidTr="00BB5A5A">
        <w:trPr>
          <w:trHeight w:val="350"/>
          <w:tblHeader/>
        </w:trPr>
        <w:tc>
          <w:tcPr>
            <w:tcW w:w="960" w:type="pct"/>
            <w:shd w:val="clear" w:color="auto" w:fill="DBE5F1" w:themeFill="accent1" w:themeFillTint="33"/>
          </w:tcPr>
          <w:p w:rsidR="006349D7" w:rsidRPr="00C60AD1" w:rsidRDefault="006349D7" w:rsidP="00BB5A5A">
            <w:pPr>
              <w:ind w:right="-105"/>
              <w:rPr>
                <w:rFonts w:cs="Arial"/>
              </w:rPr>
            </w:pPr>
          </w:p>
        </w:tc>
        <w:tc>
          <w:tcPr>
            <w:tcW w:w="2019" w:type="pct"/>
            <w:gridSpan w:val="2"/>
            <w:shd w:val="clear" w:color="auto" w:fill="DBE5F1" w:themeFill="accent1" w:themeFillTint="33"/>
          </w:tcPr>
          <w:p w:rsidR="006349D7" w:rsidRDefault="006349D7" w:rsidP="00BB5A5A">
            <w:pPr>
              <w:rPr>
                <w:rFonts w:cs="Arial"/>
                <w:b/>
              </w:rPr>
            </w:pPr>
            <w:r w:rsidRPr="00C60AD1">
              <w:rPr>
                <w:rFonts w:cs="Arial"/>
                <w:b/>
              </w:rPr>
              <w:t>For supply at 11kV</w:t>
            </w:r>
          </w:p>
        </w:tc>
        <w:tc>
          <w:tcPr>
            <w:tcW w:w="2021" w:type="pct"/>
            <w:gridSpan w:val="2"/>
            <w:shd w:val="clear" w:color="auto" w:fill="DBE5F1" w:themeFill="accent1" w:themeFillTint="33"/>
          </w:tcPr>
          <w:p w:rsidR="006349D7" w:rsidRDefault="006349D7" w:rsidP="00BB5A5A">
            <w:pPr>
              <w:rPr>
                <w:rFonts w:cs="Arial"/>
                <w:b/>
              </w:rPr>
            </w:pPr>
            <w:r w:rsidRPr="00C60AD1">
              <w:rPr>
                <w:rFonts w:cs="Arial"/>
                <w:b/>
              </w:rPr>
              <w:t>For supply at 33 kV &amp; above</w:t>
            </w:r>
          </w:p>
        </w:tc>
      </w:tr>
      <w:tr w:rsidR="006349D7" w:rsidRPr="00C60AD1" w:rsidTr="00BB5A5A">
        <w:trPr>
          <w:tblHeader/>
        </w:trPr>
        <w:tc>
          <w:tcPr>
            <w:tcW w:w="960" w:type="pct"/>
          </w:tcPr>
          <w:p w:rsidR="006349D7" w:rsidRPr="00C60AD1" w:rsidRDefault="006349D7" w:rsidP="00BB5A5A">
            <w:pPr>
              <w:ind w:right="-105"/>
              <w:rPr>
                <w:rFonts w:cs="Arial"/>
              </w:rPr>
            </w:pPr>
            <w:r>
              <w:rPr>
                <w:rFonts w:cs="Arial"/>
              </w:rPr>
              <w:t>Consumption Range</w:t>
            </w:r>
          </w:p>
        </w:tc>
        <w:tc>
          <w:tcPr>
            <w:tcW w:w="1010" w:type="pct"/>
          </w:tcPr>
          <w:p w:rsidR="006349D7" w:rsidRPr="00136ADD" w:rsidRDefault="006349D7" w:rsidP="00BB5A5A">
            <w:pPr>
              <w:ind w:right="-105"/>
              <w:jc w:val="center"/>
              <w:rPr>
                <w:b/>
              </w:rPr>
            </w:pPr>
            <w:r>
              <w:rPr>
                <w:rFonts w:cs="Arial"/>
                <w:b/>
              </w:rPr>
              <w:t>For first 2500 kVAh / month</w:t>
            </w:r>
          </w:p>
        </w:tc>
        <w:tc>
          <w:tcPr>
            <w:tcW w:w="1010" w:type="pct"/>
          </w:tcPr>
          <w:p w:rsidR="006349D7" w:rsidRPr="00136ADD" w:rsidRDefault="006349D7" w:rsidP="00BB5A5A">
            <w:pPr>
              <w:ind w:right="-105"/>
              <w:jc w:val="center"/>
              <w:rPr>
                <w:b/>
              </w:rPr>
            </w:pPr>
            <w:r>
              <w:rPr>
                <w:rFonts w:cs="Arial"/>
                <w:b/>
              </w:rPr>
              <w:t>For above 2500 kVAh / month (Starting from 2501</w:t>
            </w:r>
            <w:r>
              <w:rPr>
                <w:rFonts w:cs="Arial"/>
                <w:b/>
                <w:vertAlign w:val="superscript"/>
              </w:rPr>
              <w:t>st</w:t>
            </w:r>
            <w:r>
              <w:rPr>
                <w:rFonts w:cs="Arial"/>
                <w:b/>
              </w:rPr>
              <w:t xml:space="preserve"> kVAh)</w:t>
            </w:r>
          </w:p>
        </w:tc>
        <w:tc>
          <w:tcPr>
            <w:tcW w:w="1010" w:type="pct"/>
          </w:tcPr>
          <w:p w:rsidR="006349D7" w:rsidRPr="00136ADD" w:rsidRDefault="006349D7" w:rsidP="00BB5A5A">
            <w:pPr>
              <w:ind w:right="-105"/>
              <w:jc w:val="center"/>
              <w:rPr>
                <w:rFonts w:cs="Arial"/>
                <w:b/>
              </w:rPr>
            </w:pPr>
            <w:r>
              <w:rPr>
                <w:rFonts w:cs="Arial"/>
                <w:b/>
              </w:rPr>
              <w:t>For first 2500 kVAh / month</w:t>
            </w:r>
          </w:p>
        </w:tc>
        <w:tc>
          <w:tcPr>
            <w:tcW w:w="1011" w:type="pct"/>
          </w:tcPr>
          <w:p w:rsidR="006349D7" w:rsidRPr="00136ADD" w:rsidRDefault="006349D7" w:rsidP="00BB5A5A">
            <w:pPr>
              <w:ind w:right="-105"/>
              <w:jc w:val="center"/>
              <w:rPr>
                <w:rFonts w:cs="Arial"/>
                <w:b/>
              </w:rPr>
            </w:pPr>
            <w:r>
              <w:rPr>
                <w:rFonts w:cs="Arial"/>
                <w:b/>
              </w:rPr>
              <w:t>For above 2500 kVAh / month (Starting from 2501</w:t>
            </w:r>
            <w:r>
              <w:rPr>
                <w:rFonts w:cs="Arial"/>
                <w:b/>
                <w:vertAlign w:val="superscript"/>
              </w:rPr>
              <w:t>st</w:t>
            </w:r>
            <w:r>
              <w:rPr>
                <w:rFonts w:cs="Arial"/>
                <w:b/>
              </w:rPr>
              <w:t xml:space="preserve"> kVAh)</w:t>
            </w:r>
          </w:p>
        </w:tc>
      </w:tr>
      <w:tr w:rsidR="006349D7" w:rsidRPr="00C60AD1" w:rsidTr="00BB5A5A">
        <w:trPr>
          <w:tblHeader/>
        </w:trPr>
        <w:tc>
          <w:tcPr>
            <w:tcW w:w="960" w:type="pct"/>
          </w:tcPr>
          <w:p w:rsidR="006349D7" w:rsidRPr="00C60AD1" w:rsidRDefault="006349D7" w:rsidP="00BB5A5A">
            <w:pPr>
              <w:ind w:right="-105"/>
              <w:rPr>
                <w:rFonts w:cs="Arial"/>
              </w:rPr>
            </w:pPr>
            <w:r w:rsidRPr="00C60AD1">
              <w:rPr>
                <w:rFonts w:cs="Arial"/>
              </w:rPr>
              <w:t xml:space="preserve">Energy Charges </w:t>
            </w:r>
          </w:p>
        </w:tc>
        <w:tc>
          <w:tcPr>
            <w:tcW w:w="1010" w:type="pct"/>
          </w:tcPr>
          <w:p w:rsidR="006349D7" w:rsidRPr="00C60AD1" w:rsidRDefault="006349D7" w:rsidP="00BB5A5A">
            <w:pPr>
              <w:ind w:right="-105"/>
              <w:jc w:val="center"/>
              <w:rPr>
                <w:rFonts w:cs="Arial"/>
              </w:rPr>
            </w:pPr>
            <w:r w:rsidRPr="00C60AD1">
              <w:rPr>
                <w:rFonts w:cs="Arial"/>
              </w:rPr>
              <w:t>Rs. 7.</w:t>
            </w:r>
            <w:r>
              <w:rPr>
                <w:rFonts w:cs="Arial"/>
              </w:rPr>
              <w:t>2</w:t>
            </w:r>
            <w:r w:rsidRPr="00C60AD1">
              <w:rPr>
                <w:rFonts w:cs="Arial"/>
              </w:rPr>
              <w:t>0 / kVAh</w:t>
            </w:r>
          </w:p>
        </w:tc>
        <w:tc>
          <w:tcPr>
            <w:tcW w:w="1010" w:type="pct"/>
          </w:tcPr>
          <w:p w:rsidR="006349D7" w:rsidRDefault="006349D7" w:rsidP="00BB5A5A">
            <w:pPr>
              <w:ind w:right="-105"/>
              <w:jc w:val="center"/>
              <w:rPr>
                <w:rFonts w:cs="Arial"/>
              </w:rPr>
            </w:pPr>
            <w:r>
              <w:rPr>
                <w:rFonts w:cs="Arial"/>
              </w:rPr>
              <w:t>Rs. 7.40</w:t>
            </w:r>
            <w:r w:rsidRPr="00C60AD1">
              <w:rPr>
                <w:rFonts w:cs="Arial"/>
              </w:rPr>
              <w:t xml:space="preserve"> / kVAh</w:t>
            </w:r>
          </w:p>
        </w:tc>
        <w:tc>
          <w:tcPr>
            <w:tcW w:w="1010" w:type="pct"/>
          </w:tcPr>
          <w:p w:rsidR="006349D7" w:rsidRPr="00C60AD1" w:rsidRDefault="006349D7" w:rsidP="00BB5A5A">
            <w:pPr>
              <w:ind w:right="-105"/>
              <w:jc w:val="center"/>
              <w:rPr>
                <w:rFonts w:cs="Arial"/>
              </w:rPr>
            </w:pPr>
            <w:r w:rsidRPr="00C60AD1">
              <w:rPr>
                <w:rFonts w:cs="Arial"/>
              </w:rPr>
              <w:t>Rs. 7.</w:t>
            </w:r>
            <w:r>
              <w:rPr>
                <w:rFonts w:cs="Arial"/>
              </w:rPr>
              <w:t>0</w:t>
            </w:r>
            <w:r w:rsidRPr="00C60AD1">
              <w:rPr>
                <w:rFonts w:cs="Arial"/>
              </w:rPr>
              <w:t>0 / kVAh</w:t>
            </w:r>
          </w:p>
        </w:tc>
        <w:tc>
          <w:tcPr>
            <w:tcW w:w="1011" w:type="pct"/>
          </w:tcPr>
          <w:p w:rsidR="006349D7" w:rsidRPr="00C60AD1" w:rsidRDefault="006349D7" w:rsidP="00BB5A5A">
            <w:pPr>
              <w:ind w:right="-105"/>
              <w:jc w:val="center"/>
              <w:rPr>
                <w:rFonts w:cs="Arial"/>
              </w:rPr>
            </w:pPr>
            <w:r>
              <w:rPr>
                <w:rFonts w:cs="Arial"/>
              </w:rPr>
              <w:t>Rs. 7.20</w:t>
            </w:r>
            <w:r w:rsidRPr="00C60AD1">
              <w:rPr>
                <w:rFonts w:cs="Arial"/>
              </w:rPr>
              <w:t xml:space="preserve"> / kVAh</w:t>
            </w:r>
          </w:p>
        </w:tc>
      </w:tr>
    </w:tbl>
    <w:p w:rsidR="006349D7" w:rsidRPr="00C60AD1" w:rsidRDefault="006349D7" w:rsidP="006349D7">
      <w:pPr>
        <w:pStyle w:val="BodyText"/>
        <w:spacing w:before="100" w:beforeAutospacing="1" w:after="100" w:afterAutospacing="1" w:line="288" w:lineRule="auto"/>
        <w:ind w:right="-61"/>
        <w:jc w:val="left"/>
        <w:rPr>
          <w:rFonts w:cs="Arial"/>
          <w:b/>
        </w:rPr>
      </w:pPr>
    </w:p>
    <w:p w:rsidR="006349D7" w:rsidRPr="00C60AD1" w:rsidRDefault="006349D7" w:rsidP="006349D7">
      <w:pPr>
        <w:pStyle w:val="BodyText"/>
        <w:spacing w:before="100" w:beforeAutospacing="1" w:after="100" w:afterAutospacing="1" w:line="288" w:lineRule="auto"/>
        <w:ind w:right="-61"/>
        <w:jc w:val="center"/>
        <w:rPr>
          <w:rFonts w:cs="Arial"/>
          <w:b/>
        </w:rPr>
      </w:pPr>
    </w:p>
    <w:p w:rsidR="006349D7" w:rsidRDefault="006349D7" w:rsidP="006349D7">
      <w:pPr>
        <w:ind w:left="720"/>
      </w:pPr>
    </w:p>
    <w:p w:rsidR="006349D7" w:rsidRDefault="006349D7" w:rsidP="006349D7">
      <w:pPr>
        <w:ind w:left="720"/>
      </w:pPr>
    </w:p>
    <w:p w:rsidR="006349D7" w:rsidRDefault="006349D7" w:rsidP="006349D7">
      <w:pPr>
        <w:ind w:left="720"/>
      </w:pPr>
    </w:p>
    <w:p w:rsidR="006349D7" w:rsidRDefault="006349D7" w:rsidP="006349D7">
      <w:pPr>
        <w:ind w:left="720"/>
      </w:pPr>
    </w:p>
    <w:p w:rsidR="006349D7" w:rsidRDefault="006349D7" w:rsidP="006349D7">
      <w:pPr>
        <w:ind w:left="720"/>
      </w:pPr>
    </w:p>
    <w:p w:rsidR="006349D7" w:rsidRDefault="006349D7" w:rsidP="006349D7">
      <w:pPr>
        <w:ind w:left="720"/>
      </w:pPr>
    </w:p>
    <w:p w:rsidR="006349D7" w:rsidRDefault="006349D7" w:rsidP="006349D7">
      <w:pPr>
        <w:ind w:left="720"/>
      </w:pPr>
      <w:r w:rsidRPr="00C60AD1">
        <w:t xml:space="preserve">The body seeking the supply at Single point for bulk loads under this category shall be considered as a deemed franchisee of the Licensee. Such body shall charge not more than </w:t>
      </w:r>
      <w:r w:rsidRPr="00201853">
        <w:t>5%</w:t>
      </w:r>
      <w:r w:rsidRPr="00C60AD1">
        <w:t xml:space="preserve"> additional charge on the above specified </w:t>
      </w:r>
      <w:r>
        <w:t>‘</w:t>
      </w:r>
      <w:r w:rsidRPr="00C60AD1">
        <w:t>Rate</w:t>
      </w:r>
      <w:r>
        <w:t>’</w:t>
      </w:r>
      <w:r w:rsidRPr="00C60AD1">
        <w:t xml:space="preserve"> from its consumers apart from other applicable charges such as Regulatory Surcharge, Penalty, Rebate and Electricity Duty on actual basis.</w:t>
      </w:r>
    </w:p>
    <w:p w:rsidR="006349D7" w:rsidRDefault="006349D7" w:rsidP="006349D7">
      <w:pPr>
        <w:ind w:left="720"/>
        <w:rPr>
          <w:rFonts w:cstheme="minorHAnsi"/>
        </w:rPr>
      </w:pPr>
      <w:r w:rsidRPr="00201853">
        <w:rPr>
          <w:rFonts w:cstheme="minorHAnsi"/>
        </w:rPr>
        <w:t xml:space="preserve">The 5% additional charge shall be towards facilitating supply of electricity to the </w:t>
      </w:r>
      <w:r w:rsidRPr="00201853">
        <w:rPr>
          <w:rFonts w:cstheme="minorHAnsi"/>
          <w:lang w:val="en-US"/>
        </w:rPr>
        <w:t>individual members</w:t>
      </w:r>
      <w:r w:rsidRPr="00201853">
        <w:rPr>
          <w:rFonts w:cstheme="minorHAnsi"/>
        </w:rPr>
        <w:t xml:space="preserve"> to recover its expenses towards supply of electricity, distribution loss, electrical maintenance in its supply area, billing, accounting and audit etc.</w:t>
      </w:r>
    </w:p>
    <w:p w:rsidR="006349D7" w:rsidRPr="00525567" w:rsidRDefault="006349D7" w:rsidP="006349D7">
      <w:pPr>
        <w:ind w:left="720"/>
      </w:pPr>
      <w:r>
        <w:t xml:space="preserve">The </w:t>
      </w:r>
      <w:r w:rsidRPr="00201853">
        <w:t>deemed</w:t>
      </w:r>
      <w:r>
        <w:t xml:space="preserve"> franchisee is required to provide to all its consumers and the licensee, a copy of the detailed computation of the details of the amounts realized from all the individual consumers and the amount paid to the licensee for </w:t>
      </w:r>
      <w:r w:rsidRPr="00201853">
        <w:t>every</w:t>
      </w:r>
      <w:r>
        <w:t xml:space="preserve"> billing cycle </w:t>
      </w:r>
      <w:r w:rsidRPr="00201853">
        <w:t>on half yearly basis</w:t>
      </w:r>
      <w:r>
        <w:t>. If he fails to do so, then the consumers may approach the Consumer Grievance Redressal Forum (CGRF) having jurisdiction over their local area for the redressal of their grievances.</w:t>
      </w:r>
    </w:p>
    <w:p w:rsidR="006349D7" w:rsidRDefault="006349D7" w:rsidP="006349D7">
      <w:pPr>
        <w:ind w:left="720"/>
      </w:pPr>
      <w:r w:rsidRPr="00201853">
        <w:rPr>
          <w:rFonts w:cstheme="minorHAnsi"/>
        </w:rPr>
        <w:t xml:space="preserve">The deemed franchisee shall arrange to get its account(s) audited by a Chartered Accountant mandatorily. The audited accounts will be made available to all the consumers of the deemed franchisee within 3 months of the closure of that </w:t>
      </w:r>
      <w:r w:rsidRPr="00201853">
        <w:rPr>
          <w:rFonts w:cstheme="minorHAnsi"/>
        </w:rPr>
        <w:lastRenderedPageBreak/>
        <w:t>financial year.</w:t>
      </w:r>
      <w:r>
        <w:t xml:space="preserve"> If he fails to do so, then the consumers may approach the Consumer Grievance Redressal Forum (CGRF) having jurisdiction over their local area for the redressal of their grievances.</w:t>
      </w:r>
    </w:p>
    <w:p w:rsidR="006349D7" w:rsidRPr="00201853" w:rsidRDefault="006349D7" w:rsidP="006349D7">
      <w:pPr>
        <w:ind w:left="720"/>
        <w:rPr>
          <w:rFonts w:cstheme="minorHAnsi"/>
        </w:rPr>
      </w:pPr>
      <w:r w:rsidRPr="00201853">
        <w:rPr>
          <w:rFonts w:cstheme="minorHAnsi"/>
        </w:rPr>
        <w:t>The deemed franchisee should separately meter the electricity supplied from back up arrangements like DG sets etc. The bill of its consumers should clearly depict the units and rate of electricity supplied through back up arrangement and electricity supplied through Licensee.</w:t>
      </w:r>
    </w:p>
    <w:p w:rsidR="006349D7" w:rsidRDefault="006349D7" w:rsidP="006349D7">
      <w:pPr>
        <w:ind w:left="720"/>
        <w:rPr>
          <w:rFonts w:cstheme="minorHAnsi"/>
        </w:rPr>
      </w:pPr>
      <w:r w:rsidRPr="00201853">
        <w:rPr>
          <w:rFonts w:cstheme="minorHAnsi"/>
        </w:rPr>
        <w:t>The deemed franchisee shall not disconnect the supply of electricity of its consumers on the pretext of defaults in payments related to other charges except for the electricity dues regarding the electricity consumed by its consumers and electricity charges for lift, water lifting pump, streetlight if any, corridor / campus lighting and other common facilities.</w:t>
      </w:r>
    </w:p>
    <w:p w:rsidR="006349D7" w:rsidRDefault="006349D7" w:rsidP="006349D7">
      <w:pPr>
        <w:ind w:left="720"/>
        <w:contextualSpacing/>
        <w:rPr>
          <w:rFonts w:cstheme="minorHAnsi"/>
          <w:bCs/>
          <w:highlight w:val="yellow"/>
          <w:lang w:val="en-US"/>
        </w:rPr>
      </w:pPr>
    </w:p>
    <w:p w:rsidR="006349D7" w:rsidRDefault="006349D7" w:rsidP="006349D7">
      <w:pPr>
        <w:ind w:left="720"/>
        <w:contextualSpacing/>
        <w:rPr>
          <w:rFonts w:cstheme="minorHAnsi"/>
        </w:rPr>
      </w:pPr>
      <w:r w:rsidRPr="00201853">
        <w:rPr>
          <w:rFonts w:cstheme="minorHAnsi"/>
          <w:bCs/>
          <w:lang w:val="en-US"/>
        </w:rPr>
        <w:t xml:space="preserve">In case the deemed franchisee exceeds the contracted load / demand under </w:t>
      </w:r>
      <w:r w:rsidRPr="00201853">
        <w:rPr>
          <w:rFonts w:cstheme="minorHAnsi"/>
          <w:lang w:val="en-US"/>
        </w:rPr>
        <w:t>the provisions of Clause 7(ii) – ‘Charges for Exceeding Contracted demand’ of the General Provisions of this Rate Schedule</w:t>
      </w:r>
      <w:r w:rsidRPr="00201853">
        <w:rPr>
          <w:rFonts w:cstheme="minorHAnsi"/>
          <w:bCs/>
          <w:lang w:val="en-US"/>
        </w:rPr>
        <w:t>, only in</w:t>
      </w:r>
      <w:r w:rsidRPr="00201853">
        <w:rPr>
          <w:rFonts w:cstheme="minorHAnsi"/>
          <w:lang w:val="en-US"/>
        </w:rPr>
        <w:t xml:space="preserve"> such case the deemed franchisee will recover the same from the individual members who were responsible for it on the basis of their individual excess demands.</w:t>
      </w:r>
    </w:p>
    <w:p w:rsidR="006349D7" w:rsidRDefault="006349D7" w:rsidP="006349D7">
      <w:pPr>
        <w:ind w:left="426"/>
        <w:contextualSpacing/>
        <w:rPr>
          <w:rFonts w:cstheme="minorHAnsi"/>
        </w:rPr>
      </w:pPr>
    </w:p>
    <w:p w:rsidR="006349D7" w:rsidRDefault="006349D7" w:rsidP="006349D7">
      <w:pPr>
        <w:ind w:left="450"/>
        <w:rPr>
          <w:b/>
        </w:rPr>
      </w:pPr>
      <w:r w:rsidRPr="00C60AD1">
        <w:rPr>
          <w:rFonts w:cs="Arial"/>
          <w:b/>
        </w:rPr>
        <w:br w:type="page"/>
      </w:r>
    </w:p>
    <w:p w:rsidR="006349D7" w:rsidRDefault="006349D7" w:rsidP="006349D7">
      <w:pPr>
        <w:ind w:left="450"/>
        <w:jc w:val="center"/>
        <w:rPr>
          <w:rFonts w:cs="Arial"/>
          <w:b/>
          <w:szCs w:val="22"/>
          <w:u w:val="single"/>
        </w:rPr>
      </w:pPr>
      <w:r w:rsidRPr="00C60AD1">
        <w:rPr>
          <w:rFonts w:cs="Arial"/>
          <w:b/>
          <w:szCs w:val="22"/>
          <w:u w:val="single"/>
        </w:rPr>
        <w:lastRenderedPageBreak/>
        <w:t>RATE SCHEDULE HV– 2:</w:t>
      </w:r>
    </w:p>
    <w:p w:rsidR="006349D7" w:rsidRDefault="006349D7" w:rsidP="006349D7">
      <w:pPr>
        <w:spacing w:before="0"/>
        <w:ind w:left="450"/>
        <w:jc w:val="center"/>
        <w:rPr>
          <w:rFonts w:cs="Arial"/>
          <w:b/>
          <w:szCs w:val="22"/>
          <w:u w:val="single"/>
        </w:rPr>
      </w:pPr>
    </w:p>
    <w:p w:rsidR="006349D7" w:rsidRPr="00C60AD1" w:rsidRDefault="006349D7" w:rsidP="006349D7">
      <w:pPr>
        <w:spacing w:before="100" w:beforeAutospacing="1" w:after="100" w:afterAutospacing="1"/>
        <w:ind w:right="29"/>
        <w:jc w:val="center"/>
        <w:rPr>
          <w:rFonts w:cs="Arial"/>
          <w:b/>
        </w:rPr>
      </w:pPr>
      <w:r w:rsidRPr="00C60AD1">
        <w:rPr>
          <w:rFonts w:cs="Arial"/>
          <w:b/>
        </w:rPr>
        <w:t>LARGE AND HEAVY POWER:</w:t>
      </w:r>
    </w:p>
    <w:p w:rsidR="006349D7" w:rsidRDefault="006349D7" w:rsidP="00EC6AAC">
      <w:pPr>
        <w:numPr>
          <w:ilvl w:val="0"/>
          <w:numId w:val="50"/>
        </w:numPr>
        <w:tabs>
          <w:tab w:val="clear" w:pos="720"/>
          <w:tab w:val="left" w:pos="360"/>
        </w:tabs>
        <w:spacing w:before="100" w:beforeAutospacing="1" w:after="100" w:afterAutospacing="1" w:line="288" w:lineRule="auto"/>
        <w:ind w:right="28" w:hanging="720"/>
        <w:rPr>
          <w:rFonts w:cs="Arial"/>
          <w:b/>
        </w:rPr>
      </w:pPr>
      <w:r w:rsidRPr="00C60AD1">
        <w:rPr>
          <w:rFonts w:cs="Arial"/>
          <w:b/>
        </w:rPr>
        <w:t>APPLICABILITY:</w:t>
      </w:r>
    </w:p>
    <w:p w:rsidR="006349D7" w:rsidRPr="00C60AD1" w:rsidRDefault="006349D7" w:rsidP="006349D7">
      <w:pPr>
        <w:tabs>
          <w:tab w:val="left" w:pos="360"/>
        </w:tabs>
        <w:spacing w:before="100" w:after="120"/>
        <w:ind w:left="360" w:right="28"/>
      </w:pPr>
      <w:r w:rsidRPr="00C60AD1">
        <w:t xml:space="preserve">This rate schedule shall apply to all consumers having contracted load above 75 kW (100 BHP) for industrial and / or processing purposes as well as to Arc / induction furnaces, rolling / re-rolling mills, mini-steel plants and floriculture &amp; farming units and to any other HT consumer not covered under any other rate schedule. </w:t>
      </w:r>
    </w:p>
    <w:p w:rsidR="006349D7" w:rsidRPr="00C60AD1" w:rsidRDefault="006349D7" w:rsidP="006349D7">
      <w:pPr>
        <w:tabs>
          <w:tab w:val="left" w:pos="360"/>
        </w:tabs>
        <w:spacing w:before="100" w:after="120"/>
        <w:ind w:left="360" w:right="28"/>
      </w:pPr>
      <w:r w:rsidRPr="00C60AD1">
        <w:t xml:space="preserve">Supply to Induction and Arc furnaces shall be made available only after ensuring that the loads sanctioned are corresponding to the load requirement of tonnage of furnaces. The minimum load of one-ton furnace shall in no case be less than 400 kVA and all loads will be determined on this basis. No supply will be given on loads below this norm. </w:t>
      </w:r>
    </w:p>
    <w:p w:rsidR="006349D7" w:rsidRPr="00C60AD1" w:rsidRDefault="006349D7" w:rsidP="006349D7">
      <w:pPr>
        <w:tabs>
          <w:tab w:val="left" w:pos="360"/>
        </w:tabs>
        <w:spacing w:before="100"/>
        <w:ind w:left="360" w:right="-61"/>
      </w:pPr>
      <w:r w:rsidRPr="00C60AD1">
        <w:t>For all HV-2 consumers, conditions of supply, apart from the rates, as agreed between the Licensee and the consumer shall continue to prevail as long as they are in line with the existing Regulations &amp; Acts.</w:t>
      </w:r>
    </w:p>
    <w:p w:rsidR="006349D7" w:rsidRPr="00C60AD1" w:rsidRDefault="006349D7" w:rsidP="006349D7">
      <w:pPr>
        <w:tabs>
          <w:tab w:val="left" w:pos="360"/>
        </w:tabs>
        <w:spacing w:before="100"/>
        <w:ind w:left="360" w:right="-61"/>
      </w:pPr>
    </w:p>
    <w:p w:rsidR="006349D7" w:rsidRDefault="006349D7" w:rsidP="00EC6AAC">
      <w:pPr>
        <w:numPr>
          <w:ilvl w:val="0"/>
          <w:numId w:val="50"/>
        </w:numPr>
        <w:tabs>
          <w:tab w:val="clear" w:pos="720"/>
        </w:tabs>
        <w:spacing w:before="100" w:after="100" w:line="288" w:lineRule="auto"/>
        <w:ind w:left="360" w:right="28" w:hanging="363"/>
        <w:rPr>
          <w:b/>
        </w:rPr>
      </w:pPr>
      <w:r w:rsidRPr="00C60AD1">
        <w:rPr>
          <w:b/>
        </w:rPr>
        <w:t xml:space="preserve">CHARACTER AND POINT OF SUPPLY: </w:t>
      </w:r>
    </w:p>
    <w:p w:rsidR="006349D7" w:rsidRPr="00C60AD1" w:rsidRDefault="006349D7" w:rsidP="006349D7">
      <w:pPr>
        <w:spacing w:line="240" w:lineRule="auto"/>
        <w:ind w:right="-58" w:firstLine="360"/>
      </w:pPr>
      <w:r w:rsidRPr="00C60AD1">
        <w:t>As per the applicable provisions of Electricity Supply Code.</w:t>
      </w:r>
    </w:p>
    <w:p w:rsidR="006349D7" w:rsidRPr="00C60AD1" w:rsidRDefault="006349D7" w:rsidP="006349D7">
      <w:pPr>
        <w:spacing w:line="240" w:lineRule="auto"/>
        <w:ind w:right="-58" w:firstLine="360"/>
        <w:rPr>
          <w:rFonts w:cs="Arial"/>
        </w:rPr>
      </w:pPr>
    </w:p>
    <w:p w:rsidR="006349D7" w:rsidRPr="00C60AD1" w:rsidRDefault="006349D7" w:rsidP="00EC6AAC">
      <w:pPr>
        <w:pStyle w:val="BodyText"/>
        <w:numPr>
          <w:ilvl w:val="0"/>
          <w:numId w:val="50"/>
        </w:numPr>
        <w:tabs>
          <w:tab w:val="clear" w:pos="720"/>
        </w:tabs>
        <w:spacing w:before="100" w:beforeAutospacing="1" w:after="0" w:line="288" w:lineRule="auto"/>
        <w:ind w:left="360" w:right="29" w:hanging="363"/>
        <w:rPr>
          <w:rFonts w:cs="Arial"/>
          <w:b/>
        </w:rPr>
      </w:pPr>
      <w:r w:rsidRPr="00C60AD1">
        <w:rPr>
          <w:rFonts w:cs="Arial"/>
          <w:b/>
        </w:rPr>
        <w:t>RATE:</w:t>
      </w:r>
    </w:p>
    <w:p w:rsidR="006349D7" w:rsidRPr="00C60AD1" w:rsidRDefault="006349D7" w:rsidP="006349D7">
      <w:pPr>
        <w:ind w:left="360" w:right="29"/>
      </w:pPr>
      <w:r w:rsidRPr="00C60AD1">
        <w:t>Rate, gives the demand and energy charges (including the TOD rates as applicable to the hour of operation) at which the consumer shall be billed for his consumption during the billing period applicable to the category:</w:t>
      </w:r>
    </w:p>
    <w:p w:rsidR="006349D7" w:rsidRDefault="006349D7" w:rsidP="006349D7">
      <w:pPr>
        <w:spacing w:line="240" w:lineRule="auto"/>
        <w:rPr>
          <w:b/>
          <w:bCs/>
        </w:rPr>
      </w:pPr>
      <w:r w:rsidRPr="00C60AD1">
        <w:rPr>
          <w:b/>
          <w:bCs/>
        </w:rPr>
        <w:t>(A)</w:t>
      </w:r>
      <w:r w:rsidRPr="00C60AD1">
        <w:rPr>
          <w:b/>
          <w:bCs/>
        </w:rPr>
        <w:tab/>
        <w:t>Urban Schedule:</w:t>
      </w:r>
    </w:p>
    <w:p w:rsidR="006349D7" w:rsidRDefault="006349D7" w:rsidP="006349D7">
      <w:pPr>
        <w:spacing w:line="240" w:lineRule="auto"/>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78"/>
        <w:gridCol w:w="1491"/>
        <w:gridCol w:w="1640"/>
        <w:gridCol w:w="1939"/>
        <w:gridCol w:w="1937"/>
      </w:tblGrid>
      <w:tr w:rsidR="006349D7" w:rsidRPr="00C60AD1" w:rsidTr="00BB5A5A">
        <w:trPr>
          <w:trHeight w:val="710"/>
          <w:tblHeader/>
        </w:trPr>
        <w:tc>
          <w:tcPr>
            <w:tcW w:w="1057" w:type="pct"/>
            <w:shd w:val="clear" w:color="auto" w:fill="DBE5F1" w:themeFill="accent1" w:themeFillTint="33"/>
          </w:tcPr>
          <w:p w:rsidR="006349D7" w:rsidRPr="00C60AD1" w:rsidRDefault="006349D7" w:rsidP="00BB5A5A">
            <w:pPr>
              <w:spacing w:line="240" w:lineRule="auto"/>
              <w:ind w:right="-105"/>
              <w:jc w:val="center"/>
              <w:rPr>
                <w:b/>
                <w:bCs/>
              </w:rPr>
            </w:pPr>
          </w:p>
        </w:tc>
        <w:tc>
          <w:tcPr>
            <w:tcW w:w="839" w:type="pct"/>
            <w:shd w:val="clear" w:color="auto" w:fill="DBE5F1" w:themeFill="accent1" w:themeFillTint="33"/>
          </w:tcPr>
          <w:p w:rsidR="006349D7" w:rsidRPr="006D380A" w:rsidRDefault="006349D7" w:rsidP="00BB5A5A">
            <w:pPr>
              <w:spacing w:line="240" w:lineRule="auto"/>
              <w:ind w:right="-105"/>
              <w:jc w:val="center"/>
              <w:rPr>
                <w:b/>
                <w:bCs/>
                <w:highlight w:val="yellow"/>
              </w:rPr>
            </w:pPr>
            <w:r w:rsidRPr="00201853">
              <w:rPr>
                <w:rFonts w:cs="Arial"/>
                <w:b/>
                <w:bCs/>
              </w:rPr>
              <w:t>For supply up to and including 11 kV</w:t>
            </w:r>
          </w:p>
        </w:tc>
        <w:tc>
          <w:tcPr>
            <w:tcW w:w="923" w:type="pct"/>
            <w:shd w:val="clear" w:color="auto" w:fill="DBE5F1" w:themeFill="accent1" w:themeFillTint="33"/>
          </w:tcPr>
          <w:p w:rsidR="006349D7" w:rsidRPr="00C60AD1" w:rsidRDefault="006349D7" w:rsidP="00BB5A5A">
            <w:pPr>
              <w:spacing w:line="240" w:lineRule="auto"/>
              <w:ind w:right="72"/>
              <w:jc w:val="center"/>
              <w:rPr>
                <w:b/>
                <w:bCs/>
              </w:rPr>
            </w:pPr>
            <w:r w:rsidRPr="00C60AD1">
              <w:rPr>
                <w:rFonts w:cs="Arial"/>
                <w:b/>
                <w:bCs/>
              </w:rPr>
              <w:t>For supply above 11 kV and up to &amp; including 66 kV</w:t>
            </w:r>
          </w:p>
        </w:tc>
        <w:tc>
          <w:tcPr>
            <w:tcW w:w="1091" w:type="pct"/>
            <w:shd w:val="clear" w:color="auto" w:fill="DBE5F1" w:themeFill="accent1" w:themeFillTint="33"/>
          </w:tcPr>
          <w:p w:rsidR="006349D7" w:rsidRPr="00C60AD1" w:rsidRDefault="006349D7" w:rsidP="00BB5A5A">
            <w:pPr>
              <w:spacing w:line="240" w:lineRule="auto"/>
              <w:ind w:right="72"/>
              <w:jc w:val="center"/>
              <w:rPr>
                <w:b/>
                <w:bCs/>
              </w:rPr>
            </w:pPr>
            <w:r w:rsidRPr="00C60AD1">
              <w:rPr>
                <w:rFonts w:cs="Arial"/>
                <w:b/>
                <w:bCs/>
              </w:rPr>
              <w:t>For supply above 66 kV and up to &amp; including 132 kV</w:t>
            </w:r>
          </w:p>
        </w:tc>
        <w:tc>
          <w:tcPr>
            <w:tcW w:w="1090" w:type="pct"/>
            <w:shd w:val="clear" w:color="auto" w:fill="DBE5F1" w:themeFill="accent1" w:themeFillTint="33"/>
          </w:tcPr>
          <w:p w:rsidR="006349D7" w:rsidRPr="00C60AD1" w:rsidRDefault="006349D7" w:rsidP="00BB5A5A">
            <w:pPr>
              <w:spacing w:line="240" w:lineRule="auto"/>
              <w:ind w:right="72"/>
              <w:jc w:val="center"/>
              <w:rPr>
                <w:rFonts w:cs="Arial"/>
                <w:b/>
                <w:bCs/>
              </w:rPr>
            </w:pPr>
            <w:r w:rsidRPr="00C60AD1">
              <w:rPr>
                <w:rFonts w:cs="Arial"/>
                <w:b/>
                <w:bCs/>
              </w:rPr>
              <w:t xml:space="preserve">For supply above 132 kV </w:t>
            </w:r>
          </w:p>
        </w:tc>
      </w:tr>
      <w:tr w:rsidR="006349D7" w:rsidRPr="00C60AD1" w:rsidTr="00BB5A5A">
        <w:tc>
          <w:tcPr>
            <w:tcW w:w="3910" w:type="pct"/>
            <w:gridSpan w:val="4"/>
          </w:tcPr>
          <w:p w:rsidR="006349D7" w:rsidRPr="00C60AD1" w:rsidRDefault="006349D7" w:rsidP="00BB5A5A">
            <w:pPr>
              <w:spacing w:line="240" w:lineRule="auto"/>
              <w:ind w:right="-105"/>
              <w:rPr>
                <w:rFonts w:cs="Arial"/>
                <w:b/>
                <w:bCs/>
              </w:rPr>
            </w:pPr>
            <w:r w:rsidRPr="00C60AD1">
              <w:rPr>
                <w:b/>
                <w:bCs/>
              </w:rPr>
              <w:lastRenderedPageBreak/>
              <w:t>BASE RATE</w:t>
            </w:r>
          </w:p>
        </w:tc>
        <w:tc>
          <w:tcPr>
            <w:tcW w:w="1090" w:type="pct"/>
          </w:tcPr>
          <w:p w:rsidR="006349D7" w:rsidRPr="00C60AD1" w:rsidRDefault="006349D7" w:rsidP="00BB5A5A">
            <w:pPr>
              <w:tabs>
                <w:tab w:val="left" w:pos="720"/>
              </w:tabs>
              <w:spacing w:line="240" w:lineRule="auto"/>
              <w:ind w:left="936" w:right="-105"/>
              <w:outlineLvl w:val="2"/>
              <w:rPr>
                <w:rFonts w:cs="Arial"/>
                <w:b/>
                <w:bCs/>
                <w:szCs w:val="26"/>
              </w:rPr>
            </w:pPr>
          </w:p>
        </w:tc>
      </w:tr>
      <w:tr w:rsidR="006349D7" w:rsidRPr="00C60AD1" w:rsidTr="00BB5A5A">
        <w:tc>
          <w:tcPr>
            <w:tcW w:w="1057" w:type="pct"/>
          </w:tcPr>
          <w:p w:rsidR="006349D7" w:rsidRPr="00C60AD1" w:rsidRDefault="006349D7" w:rsidP="00BB5A5A">
            <w:pPr>
              <w:spacing w:line="240" w:lineRule="auto"/>
              <w:ind w:right="-105"/>
            </w:pPr>
            <w:r w:rsidRPr="00C60AD1">
              <w:t xml:space="preserve">Demand Charges </w:t>
            </w:r>
          </w:p>
        </w:tc>
        <w:tc>
          <w:tcPr>
            <w:tcW w:w="839" w:type="pct"/>
          </w:tcPr>
          <w:p w:rsidR="006349D7" w:rsidRPr="00C60AD1" w:rsidRDefault="006349D7" w:rsidP="00BB5A5A">
            <w:pPr>
              <w:spacing w:line="240" w:lineRule="auto"/>
              <w:ind w:right="-105"/>
              <w:jc w:val="center"/>
            </w:pPr>
            <w:r w:rsidRPr="00C60AD1">
              <w:rPr>
                <w:rFonts w:cs="Arial"/>
              </w:rPr>
              <w:t>Rs. 2</w:t>
            </w:r>
            <w:r w:rsidRPr="00C60AD1">
              <w:t>50.00</w:t>
            </w:r>
            <w:r w:rsidRPr="00C60AD1">
              <w:rPr>
                <w:rFonts w:cs="Arial"/>
              </w:rPr>
              <w:t xml:space="preserve"> / kVA / month</w:t>
            </w:r>
          </w:p>
        </w:tc>
        <w:tc>
          <w:tcPr>
            <w:tcW w:w="923" w:type="pct"/>
          </w:tcPr>
          <w:p w:rsidR="006349D7" w:rsidRPr="00C60AD1" w:rsidRDefault="006349D7" w:rsidP="00BB5A5A">
            <w:pPr>
              <w:spacing w:line="240" w:lineRule="auto"/>
              <w:ind w:right="-105"/>
              <w:jc w:val="center"/>
            </w:pPr>
            <w:r w:rsidRPr="00C60AD1">
              <w:rPr>
                <w:rFonts w:cs="Arial"/>
              </w:rPr>
              <w:t>Rs. 240.00 / kVA / month</w:t>
            </w:r>
          </w:p>
        </w:tc>
        <w:tc>
          <w:tcPr>
            <w:tcW w:w="1091" w:type="pct"/>
          </w:tcPr>
          <w:p w:rsidR="006349D7" w:rsidRPr="00C60AD1" w:rsidRDefault="006349D7" w:rsidP="00BB5A5A">
            <w:pPr>
              <w:spacing w:line="240" w:lineRule="auto"/>
              <w:ind w:right="-105"/>
              <w:jc w:val="center"/>
            </w:pPr>
            <w:r w:rsidRPr="00C60AD1">
              <w:rPr>
                <w:rFonts w:cs="Arial"/>
              </w:rPr>
              <w:t>Rs. 220.00 / kVA / month</w:t>
            </w:r>
          </w:p>
        </w:tc>
        <w:tc>
          <w:tcPr>
            <w:tcW w:w="1090" w:type="pct"/>
          </w:tcPr>
          <w:p w:rsidR="006349D7" w:rsidRPr="00C60AD1" w:rsidRDefault="006349D7" w:rsidP="00BB5A5A">
            <w:pPr>
              <w:spacing w:line="240" w:lineRule="auto"/>
              <w:ind w:right="-105"/>
              <w:jc w:val="center"/>
            </w:pPr>
            <w:r w:rsidRPr="00C60AD1">
              <w:rPr>
                <w:rFonts w:cs="Arial"/>
              </w:rPr>
              <w:t>Rs. 220.00 / kVA / month</w:t>
            </w:r>
          </w:p>
        </w:tc>
      </w:tr>
      <w:tr w:rsidR="006349D7" w:rsidRPr="00C60AD1" w:rsidTr="00BB5A5A">
        <w:tc>
          <w:tcPr>
            <w:tcW w:w="1057" w:type="pct"/>
          </w:tcPr>
          <w:p w:rsidR="006349D7" w:rsidRPr="00C60AD1" w:rsidRDefault="006349D7" w:rsidP="00BB5A5A">
            <w:pPr>
              <w:spacing w:line="240" w:lineRule="auto"/>
              <w:ind w:right="-105"/>
            </w:pPr>
            <w:r w:rsidRPr="00C60AD1">
              <w:t xml:space="preserve">Energy Charges </w:t>
            </w:r>
          </w:p>
        </w:tc>
        <w:tc>
          <w:tcPr>
            <w:tcW w:w="839" w:type="pct"/>
          </w:tcPr>
          <w:p w:rsidR="006349D7" w:rsidRPr="00C60AD1" w:rsidRDefault="006349D7" w:rsidP="00BB5A5A">
            <w:pPr>
              <w:spacing w:line="240" w:lineRule="auto"/>
              <w:ind w:right="-105"/>
              <w:jc w:val="center"/>
            </w:pPr>
            <w:r w:rsidRPr="00C60AD1">
              <w:rPr>
                <w:rFonts w:cs="Arial"/>
              </w:rPr>
              <w:t>Rs. 6.65 / kVAh</w:t>
            </w:r>
          </w:p>
        </w:tc>
        <w:tc>
          <w:tcPr>
            <w:tcW w:w="923" w:type="pct"/>
          </w:tcPr>
          <w:p w:rsidR="006349D7" w:rsidRPr="00C60AD1" w:rsidRDefault="006349D7" w:rsidP="00BB5A5A">
            <w:pPr>
              <w:spacing w:line="240" w:lineRule="auto"/>
              <w:ind w:right="-105"/>
              <w:jc w:val="center"/>
            </w:pPr>
            <w:r w:rsidRPr="00C60AD1">
              <w:rPr>
                <w:rFonts w:cs="Arial"/>
              </w:rPr>
              <w:t>Rs. 6.35 / kVAh</w:t>
            </w:r>
          </w:p>
        </w:tc>
        <w:tc>
          <w:tcPr>
            <w:tcW w:w="1091" w:type="pct"/>
          </w:tcPr>
          <w:p w:rsidR="006349D7" w:rsidRPr="00C60AD1" w:rsidRDefault="006349D7" w:rsidP="00BB5A5A">
            <w:pPr>
              <w:spacing w:line="240" w:lineRule="auto"/>
              <w:ind w:right="-105"/>
              <w:jc w:val="center"/>
            </w:pPr>
            <w:r w:rsidRPr="00C60AD1">
              <w:rPr>
                <w:rFonts w:cs="Arial"/>
              </w:rPr>
              <w:t xml:space="preserve">Rs. </w:t>
            </w:r>
            <w:r w:rsidRPr="00C60AD1">
              <w:t>6.15</w:t>
            </w:r>
            <w:r w:rsidRPr="00C60AD1">
              <w:rPr>
                <w:rFonts w:cs="Arial"/>
              </w:rPr>
              <w:t xml:space="preserve"> / kVAh</w:t>
            </w:r>
          </w:p>
        </w:tc>
        <w:tc>
          <w:tcPr>
            <w:tcW w:w="1090" w:type="pct"/>
          </w:tcPr>
          <w:p w:rsidR="006349D7" w:rsidRPr="00C60AD1" w:rsidRDefault="006349D7" w:rsidP="00BB5A5A">
            <w:pPr>
              <w:spacing w:line="240" w:lineRule="auto"/>
              <w:ind w:right="-105"/>
              <w:jc w:val="center"/>
            </w:pPr>
            <w:r w:rsidRPr="00C60AD1">
              <w:rPr>
                <w:rFonts w:cs="Arial"/>
              </w:rPr>
              <w:t xml:space="preserve">Rs. </w:t>
            </w:r>
            <w:r w:rsidRPr="00C60AD1">
              <w:t>5</w:t>
            </w:r>
            <w:r w:rsidRPr="00C60AD1">
              <w:rPr>
                <w:rFonts w:cs="Arial"/>
              </w:rPr>
              <w:t>.95 / kVAh</w:t>
            </w:r>
          </w:p>
        </w:tc>
      </w:tr>
      <w:tr w:rsidR="006349D7" w:rsidRPr="00C60AD1" w:rsidTr="00BB5A5A">
        <w:tc>
          <w:tcPr>
            <w:tcW w:w="5000" w:type="pct"/>
            <w:gridSpan w:val="5"/>
          </w:tcPr>
          <w:p w:rsidR="006349D7" w:rsidRDefault="006349D7" w:rsidP="00BB5A5A">
            <w:pPr>
              <w:spacing w:line="240" w:lineRule="auto"/>
              <w:ind w:right="-105"/>
              <w:rPr>
                <w:rFonts w:cs="Arial"/>
                <w:sz w:val="18"/>
                <w:szCs w:val="18"/>
              </w:rPr>
            </w:pPr>
            <w:r w:rsidRPr="00C60AD1">
              <w:rPr>
                <w:b/>
                <w:bCs/>
              </w:rPr>
              <w:t xml:space="preserve">TOD RATE </w:t>
            </w:r>
          </w:p>
        </w:tc>
      </w:tr>
      <w:tr w:rsidR="006349D7" w:rsidRPr="00C60AD1" w:rsidTr="00BB5A5A">
        <w:tc>
          <w:tcPr>
            <w:tcW w:w="1057" w:type="pct"/>
          </w:tcPr>
          <w:p w:rsidR="006349D7" w:rsidRPr="00C60AD1" w:rsidRDefault="006349D7" w:rsidP="00BB5A5A">
            <w:pPr>
              <w:spacing w:line="240" w:lineRule="auto"/>
              <w:ind w:right="-105"/>
            </w:pPr>
            <w:r>
              <w:rPr>
                <w:rFonts w:cs="Arial"/>
                <w:bCs/>
              </w:rPr>
              <w:t xml:space="preserve">*22:00 hrs </w:t>
            </w:r>
            <w:r w:rsidRPr="00C60AD1">
              <w:rPr>
                <w:rFonts w:cs="Arial"/>
                <w:bCs/>
              </w:rPr>
              <w:t>– 06:00 hrs</w:t>
            </w:r>
          </w:p>
        </w:tc>
        <w:tc>
          <w:tcPr>
            <w:tcW w:w="839" w:type="pct"/>
          </w:tcPr>
          <w:p w:rsidR="006349D7" w:rsidRPr="00C60AD1" w:rsidRDefault="006349D7" w:rsidP="00BB5A5A">
            <w:pPr>
              <w:spacing w:line="240" w:lineRule="auto"/>
              <w:ind w:right="-105"/>
              <w:jc w:val="center"/>
              <w:rPr>
                <w:rFonts w:cs="Arial"/>
              </w:rPr>
            </w:pPr>
            <w:r w:rsidRPr="00C60AD1">
              <w:rPr>
                <w:rFonts w:cs="Arial"/>
                <w:bCs/>
              </w:rPr>
              <w:t>(-) 7.5%</w:t>
            </w:r>
          </w:p>
        </w:tc>
        <w:tc>
          <w:tcPr>
            <w:tcW w:w="923" w:type="pct"/>
          </w:tcPr>
          <w:p w:rsidR="006349D7" w:rsidRPr="00C60AD1" w:rsidRDefault="006349D7" w:rsidP="00BB5A5A">
            <w:pPr>
              <w:spacing w:line="240" w:lineRule="auto"/>
              <w:ind w:right="-105"/>
              <w:jc w:val="center"/>
              <w:rPr>
                <w:rFonts w:cs="Arial"/>
              </w:rPr>
            </w:pPr>
            <w:r w:rsidRPr="00C60AD1">
              <w:rPr>
                <w:rFonts w:cs="Arial"/>
                <w:bCs/>
              </w:rPr>
              <w:t>(-) 7.5%</w:t>
            </w:r>
          </w:p>
        </w:tc>
        <w:tc>
          <w:tcPr>
            <w:tcW w:w="1091" w:type="pct"/>
          </w:tcPr>
          <w:p w:rsidR="006349D7" w:rsidRPr="00C60AD1" w:rsidRDefault="006349D7" w:rsidP="00BB5A5A">
            <w:pPr>
              <w:spacing w:line="240" w:lineRule="auto"/>
              <w:ind w:right="-105"/>
              <w:jc w:val="center"/>
              <w:rPr>
                <w:rFonts w:cs="Arial"/>
              </w:rPr>
            </w:pPr>
            <w:r w:rsidRPr="00C60AD1">
              <w:rPr>
                <w:rFonts w:cs="Arial"/>
                <w:bCs/>
              </w:rPr>
              <w:t>(-) 7.5%</w:t>
            </w:r>
          </w:p>
        </w:tc>
        <w:tc>
          <w:tcPr>
            <w:tcW w:w="1090" w:type="pct"/>
          </w:tcPr>
          <w:p w:rsidR="006349D7" w:rsidRPr="00C60AD1" w:rsidRDefault="006349D7" w:rsidP="00BB5A5A">
            <w:pPr>
              <w:spacing w:line="240" w:lineRule="auto"/>
              <w:ind w:right="-105"/>
              <w:jc w:val="center"/>
              <w:rPr>
                <w:rFonts w:cs="Arial"/>
              </w:rPr>
            </w:pPr>
            <w:r w:rsidRPr="00C60AD1">
              <w:rPr>
                <w:rFonts w:cs="Arial"/>
                <w:bCs/>
              </w:rPr>
              <w:t>(-) 7.5%</w:t>
            </w:r>
          </w:p>
        </w:tc>
      </w:tr>
      <w:tr w:rsidR="006349D7" w:rsidRPr="00C60AD1" w:rsidTr="00BB5A5A">
        <w:tc>
          <w:tcPr>
            <w:tcW w:w="1057" w:type="pct"/>
          </w:tcPr>
          <w:p w:rsidR="006349D7" w:rsidRPr="00C60AD1" w:rsidRDefault="006349D7" w:rsidP="00BB5A5A">
            <w:pPr>
              <w:spacing w:line="240" w:lineRule="auto"/>
              <w:ind w:right="-105"/>
            </w:pPr>
            <w:r w:rsidRPr="00C60AD1">
              <w:rPr>
                <w:rFonts w:cs="Arial"/>
                <w:bCs/>
              </w:rPr>
              <w:t>06:00 hrs – 17:00 hrs</w:t>
            </w:r>
          </w:p>
        </w:tc>
        <w:tc>
          <w:tcPr>
            <w:tcW w:w="839" w:type="pct"/>
          </w:tcPr>
          <w:p w:rsidR="006349D7" w:rsidRPr="00C60AD1" w:rsidRDefault="006349D7" w:rsidP="00BB5A5A">
            <w:pPr>
              <w:spacing w:line="240" w:lineRule="auto"/>
              <w:ind w:right="-105"/>
              <w:jc w:val="center"/>
              <w:rPr>
                <w:rFonts w:cs="Arial"/>
              </w:rPr>
            </w:pPr>
            <w:r w:rsidRPr="00C60AD1">
              <w:rPr>
                <w:rFonts w:cs="Arial"/>
                <w:bCs/>
              </w:rPr>
              <w:t>0%</w:t>
            </w:r>
          </w:p>
        </w:tc>
        <w:tc>
          <w:tcPr>
            <w:tcW w:w="923" w:type="pct"/>
          </w:tcPr>
          <w:p w:rsidR="006349D7" w:rsidRPr="00C60AD1" w:rsidRDefault="006349D7" w:rsidP="00BB5A5A">
            <w:pPr>
              <w:spacing w:line="240" w:lineRule="auto"/>
              <w:ind w:right="-105"/>
              <w:jc w:val="center"/>
              <w:rPr>
                <w:rFonts w:cs="Arial"/>
              </w:rPr>
            </w:pPr>
            <w:r w:rsidRPr="00C60AD1">
              <w:rPr>
                <w:rFonts w:cs="Arial"/>
                <w:bCs/>
              </w:rPr>
              <w:t>0%</w:t>
            </w:r>
          </w:p>
        </w:tc>
        <w:tc>
          <w:tcPr>
            <w:tcW w:w="1091" w:type="pct"/>
          </w:tcPr>
          <w:p w:rsidR="006349D7" w:rsidRPr="00C60AD1" w:rsidRDefault="006349D7" w:rsidP="00BB5A5A">
            <w:pPr>
              <w:spacing w:line="240" w:lineRule="auto"/>
              <w:ind w:right="-105"/>
              <w:jc w:val="center"/>
              <w:rPr>
                <w:rFonts w:cs="Arial"/>
              </w:rPr>
            </w:pPr>
            <w:r w:rsidRPr="00C60AD1">
              <w:rPr>
                <w:rFonts w:cs="Arial"/>
                <w:bCs/>
              </w:rPr>
              <w:t>0%</w:t>
            </w:r>
          </w:p>
        </w:tc>
        <w:tc>
          <w:tcPr>
            <w:tcW w:w="1090" w:type="pct"/>
          </w:tcPr>
          <w:p w:rsidR="006349D7" w:rsidRPr="00C60AD1" w:rsidRDefault="006349D7" w:rsidP="00BB5A5A">
            <w:pPr>
              <w:spacing w:line="240" w:lineRule="auto"/>
              <w:ind w:right="-105"/>
              <w:jc w:val="center"/>
              <w:rPr>
                <w:rFonts w:cs="Arial"/>
              </w:rPr>
            </w:pPr>
            <w:r w:rsidRPr="00C60AD1">
              <w:rPr>
                <w:rFonts w:cs="Arial"/>
                <w:bCs/>
              </w:rPr>
              <w:t>0%</w:t>
            </w:r>
          </w:p>
        </w:tc>
      </w:tr>
      <w:tr w:rsidR="006349D7" w:rsidRPr="00C60AD1" w:rsidTr="00BB5A5A">
        <w:tc>
          <w:tcPr>
            <w:tcW w:w="1057" w:type="pct"/>
          </w:tcPr>
          <w:p w:rsidR="006349D7" w:rsidRPr="00C60AD1" w:rsidRDefault="006349D7" w:rsidP="00BB5A5A">
            <w:pPr>
              <w:spacing w:line="240" w:lineRule="auto"/>
              <w:ind w:right="-105"/>
            </w:pPr>
            <w:r w:rsidRPr="00C60AD1">
              <w:rPr>
                <w:rFonts w:cs="Arial"/>
                <w:bCs/>
              </w:rPr>
              <w:t>17:00 hrs – 22:00 hrs</w:t>
            </w:r>
          </w:p>
        </w:tc>
        <w:tc>
          <w:tcPr>
            <w:tcW w:w="839" w:type="pct"/>
          </w:tcPr>
          <w:p w:rsidR="006349D7" w:rsidRPr="00C60AD1" w:rsidRDefault="006349D7" w:rsidP="00BB5A5A">
            <w:pPr>
              <w:spacing w:line="240" w:lineRule="auto"/>
              <w:ind w:right="-105"/>
              <w:jc w:val="center"/>
              <w:rPr>
                <w:rFonts w:cs="Arial"/>
              </w:rPr>
            </w:pPr>
            <w:r w:rsidRPr="00C60AD1">
              <w:rPr>
                <w:rFonts w:cs="Arial"/>
                <w:bCs/>
              </w:rPr>
              <w:t>(+) 15%</w:t>
            </w:r>
          </w:p>
        </w:tc>
        <w:tc>
          <w:tcPr>
            <w:tcW w:w="923" w:type="pct"/>
          </w:tcPr>
          <w:p w:rsidR="006349D7" w:rsidRPr="00C60AD1" w:rsidRDefault="006349D7" w:rsidP="00BB5A5A">
            <w:pPr>
              <w:spacing w:line="240" w:lineRule="auto"/>
              <w:ind w:right="-105"/>
              <w:jc w:val="center"/>
              <w:rPr>
                <w:rFonts w:cs="Arial"/>
              </w:rPr>
            </w:pPr>
            <w:r w:rsidRPr="00C60AD1">
              <w:rPr>
                <w:rFonts w:cs="Arial"/>
                <w:bCs/>
              </w:rPr>
              <w:t>(+) 15%</w:t>
            </w:r>
          </w:p>
        </w:tc>
        <w:tc>
          <w:tcPr>
            <w:tcW w:w="1091" w:type="pct"/>
          </w:tcPr>
          <w:p w:rsidR="006349D7" w:rsidRPr="00C60AD1" w:rsidRDefault="006349D7" w:rsidP="00BB5A5A">
            <w:pPr>
              <w:spacing w:line="240" w:lineRule="auto"/>
              <w:ind w:right="-105"/>
              <w:jc w:val="center"/>
              <w:rPr>
                <w:rFonts w:cs="Arial"/>
              </w:rPr>
            </w:pPr>
            <w:r w:rsidRPr="00C60AD1">
              <w:rPr>
                <w:rFonts w:cs="Arial"/>
                <w:bCs/>
              </w:rPr>
              <w:t>(+) 15%</w:t>
            </w:r>
          </w:p>
        </w:tc>
        <w:tc>
          <w:tcPr>
            <w:tcW w:w="1090" w:type="pct"/>
          </w:tcPr>
          <w:p w:rsidR="006349D7" w:rsidRPr="00C60AD1" w:rsidRDefault="006349D7" w:rsidP="00BB5A5A">
            <w:pPr>
              <w:spacing w:line="240" w:lineRule="auto"/>
              <w:ind w:right="-105"/>
              <w:jc w:val="center"/>
              <w:rPr>
                <w:rFonts w:cs="Arial"/>
              </w:rPr>
            </w:pPr>
            <w:r w:rsidRPr="00C60AD1">
              <w:rPr>
                <w:rFonts w:cs="Arial"/>
                <w:bCs/>
              </w:rPr>
              <w:t>(+) 15%</w:t>
            </w:r>
          </w:p>
        </w:tc>
      </w:tr>
    </w:tbl>
    <w:p w:rsidR="006349D7" w:rsidRDefault="006349D7" w:rsidP="006349D7"/>
    <w:p w:rsidR="006349D7" w:rsidRDefault="006349D7" w:rsidP="006349D7">
      <w:pPr>
        <w:ind w:left="720"/>
      </w:pPr>
      <w:r w:rsidRPr="00201853">
        <w:t>*Note: The T</w:t>
      </w:r>
      <w:r>
        <w:t>O</w:t>
      </w:r>
      <w:r w:rsidRPr="00201853">
        <w:t>D rate applicable to the Induction Furnaces / Arc Furnaces, Rolling / Re-Rolling Mill industrial consumers will be (-) 20% in place of (-) 7.5% for 22:00 hrs-06:00 hrs. time period.</w:t>
      </w:r>
    </w:p>
    <w:p w:rsidR="006349D7" w:rsidRDefault="006349D7" w:rsidP="006349D7"/>
    <w:p w:rsidR="006349D7" w:rsidRPr="00C60AD1" w:rsidRDefault="006349D7" w:rsidP="006349D7">
      <w:pPr>
        <w:rPr>
          <w:rFonts w:cs="Calibri"/>
          <w:u w:val="single"/>
        </w:rPr>
      </w:pPr>
      <w:r>
        <w:rPr>
          <w:rFonts w:cs="Calibri"/>
          <w:u w:val="single"/>
        </w:rPr>
        <w:t>Optional To</w:t>
      </w:r>
      <w:r w:rsidRPr="00C60AD1">
        <w:rPr>
          <w:rFonts w:cs="Calibri"/>
          <w:u w:val="single"/>
        </w:rPr>
        <w:t>D Structure</w:t>
      </w:r>
    </w:p>
    <w:p w:rsidR="006349D7" w:rsidRPr="00C60AD1" w:rsidRDefault="006349D7" w:rsidP="006349D7">
      <w:pPr>
        <w:ind w:left="720"/>
        <w:rPr>
          <w:rFonts w:cs="Calibri"/>
        </w:rPr>
      </w:pPr>
      <w:r w:rsidRPr="00C60AD1">
        <w:rPr>
          <w:rFonts w:cs="Calibri"/>
        </w:rPr>
        <w:t>For all such consumers who want to operate at full potential only during the specified night hours with restricted consumption in remaining hours may opt for the new TOD structure as follows:</w:t>
      </w:r>
    </w:p>
    <w:p w:rsidR="006349D7" w:rsidRPr="00C60AD1" w:rsidRDefault="006349D7" w:rsidP="006349D7">
      <w:pPr>
        <w:ind w:left="720"/>
        <w:rPr>
          <w:rFonts w:cs="Calibri"/>
        </w:rPr>
      </w:pPr>
      <w:r w:rsidRPr="00C60AD1">
        <w:rPr>
          <w:rFonts w:cs="Calibri"/>
        </w:rPr>
        <w:t>For all such consumers who opt for this structure, the rebate can be availed between 22.00 hrs to 06.00 hrs specifically by such consumers operating at its full potential during this period and for such consumers the load during other hours i.e. 06:00 to 22:00 hours, shall be restricted to 15% of its contracted load. The TOD structure for such consumers is as given below:</w:t>
      </w:r>
    </w:p>
    <w:p w:rsidR="006349D7" w:rsidRPr="00C60AD1" w:rsidRDefault="006349D7" w:rsidP="006349D7">
      <w:pPr>
        <w:jc w:val="center"/>
        <w:rPr>
          <w:rFonts w:cs="Calibri"/>
        </w:rPr>
      </w:pPr>
      <w:r w:rsidRPr="00C60AD1">
        <w:rPr>
          <w:rFonts w:cs="Calibri"/>
          <w:b/>
        </w:rPr>
        <w:t>Optional TOD Structure for Specific Consumers</w:t>
      </w:r>
    </w:p>
    <w:tbl>
      <w:tblPr>
        <w:tblW w:w="484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14"/>
        <w:gridCol w:w="4387"/>
      </w:tblGrid>
      <w:tr w:rsidR="006349D7" w:rsidRPr="00C60AD1" w:rsidTr="00BB5A5A">
        <w:trPr>
          <w:trHeight w:val="189"/>
          <w:tblHeader/>
        </w:trPr>
        <w:tc>
          <w:tcPr>
            <w:tcW w:w="2450" w:type="pct"/>
            <w:shd w:val="clear" w:color="auto" w:fill="DBE5F1" w:themeFill="accent1" w:themeFillTint="33"/>
            <w:tcMar>
              <w:top w:w="17" w:type="dxa"/>
              <w:left w:w="108" w:type="dxa"/>
              <w:bottom w:w="0" w:type="dxa"/>
              <w:right w:w="108" w:type="dxa"/>
            </w:tcMar>
            <w:vAlign w:val="center"/>
            <w:hideMark/>
          </w:tcPr>
          <w:p w:rsidR="006349D7" w:rsidRPr="00C60AD1" w:rsidRDefault="006349D7" w:rsidP="00BB5A5A">
            <w:pPr>
              <w:spacing w:line="240" w:lineRule="auto"/>
              <w:jc w:val="center"/>
              <w:rPr>
                <w:rFonts w:cs="Calibri"/>
              </w:rPr>
            </w:pPr>
            <w:r w:rsidRPr="00C60AD1">
              <w:rPr>
                <w:rFonts w:cs="Calibri"/>
                <w:b/>
                <w:bCs/>
              </w:rPr>
              <w:t>Hours</w:t>
            </w:r>
          </w:p>
        </w:tc>
        <w:tc>
          <w:tcPr>
            <w:tcW w:w="2550" w:type="pct"/>
            <w:shd w:val="clear" w:color="auto" w:fill="DBE5F1" w:themeFill="accent1" w:themeFillTint="33"/>
            <w:tcMar>
              <w:top w:w="17" w:type="dxa"/>
              <w:left w:w="108" w:type="dxa"/>
              <w:bottom w:w="0" w:type="dxa"/>
              <w:right w:w="108" w:type="dxa"/>
            </w:tcMar>
            <w:vAlign w:val="center"/>
            <w:hideMark/>
          </w:tcPr>
          <w:p w:rsidR="006349D7" w:rsidRPr="00C60AD1" w:rsidRDefault="006349D7" w:rsidP="00BB5A5A">
            <w:pPr>
              <w:spacing w:line="240" w:lineRule="auto"/>
              <w:jc w:val="center"/>
              <w:rPr>
                <w:rFonts w:cs="Calibri"/>
              </w:rPr>
            </w:pPr>
            <w:r w:rsidRPr="00C60AD1">
              <w:rPr>
                <w:rFonts w:cs="Calibri"/>
                <w:b/>
                <w:bCs/>
              </w:rPr>
              <w:t>TOD Rates</w:t>
            </w:r>
          </w:p>
        </w:tc>
      </w:tr>
      <w:tr w:rsidR="006349D7" w:rsidRPr="00C60AD1" w:rsidTr="00BB5A5A">
        <w:trPr>
          <w:trHeight w:val="354"/>
        </w:trPr>
        <w:tc>
          <w:tcPr>
            <w:tcW w:w="2450" w:type="pct"/>
            <w:shd w:val="clear" w:color="auto" w:fill="auto"/>
            <w:tcMar>
              <w:top w:w="17" w:type="dxa"/>
              <w:left w:w="108" w:type="dxa"/>
              <w:bottom w:w="0" w:type="dxa"/>
              <w:right w:w="108" w:type="dxa"/>
            </w:tcMar>
            <w:vAlign w:val="center"/>
            <w:hideMark/>
          </w:tcPr>
          <w:p w:rsidR="006349D7" w:rsidRPr="00C60AD1" w:rsidRDefault="006349D7" w:rsidP="00BB5A5A">
            <w:pPr>
              <w:spacing w:line="240" w:lineRule="auto"/>
              <w:rPr>
                <w:rFonts w:cs="Calibri"/>
              </w:rPr>
            </w:pPr>
            <w:r w:rsidRPr="00C60AD1">
              <w:rPr>
                <w:rFonts w:cs="Calibri"/>
              </w:rPr>
              <w:lastRenderedPageBreak/>
              <w:t>06:00  hrs – 22:00 hrs</w:t>
            </w:r>
          </w:p>
        </w:tc>
        <w:tc>
          <w:tcPr>
            <w:tcW w:w="2550" w:type="pct"/>
            <w:shd w:val="clear" w:color="auto" w:fill="auto"/>
            <w:tcMar>
              <w:top w:w="17" w:type="dxa"/>
              <w:left w:w="108" w:type="dxa"/>
              <w:bottom w:w="0" w:type="dxa"/>
              <w:right w:w="108" w:type="dxa"/>
            </w:tcMar>
            <w:vAlign w:val="center"/>
            <w:hideMark/>
          </w:tcPr>
          <w:p w:rsidR="006349D7" w:rsidRPr="00C60AD1" w:rsidRDefault="006349D7" w:rsidP="00BB5A5A">
            <w:pPr>
              <w:spacing w:line="240" w:lineRule="auto"/>
              <w:jc w:val="center"/>
              <w:rPr>
                <w:rFonts w:cs="Calibri"/>
              </w:rPr>
            </w:pPr>
            <w:r w:rsidRPr="00C60AD1">
              <w:rPr>
                <w:rFonts w:cs="Calibri"/>
              </w:rPr>
              <w:t>Restricted Load as specified</w:t>
            </w:r>
          </w:p>
        </w:tc>
      </w:tr>
      <w:tr w:rsidR="006349D7" w:rsidRPr="00C60AD1" w:rsidTr="00BB5A5A">
        <w:trPr>
          <w:trHeight w:val="262"/>
        </w:trPr>
        <w:tc>
          <w:tcPr>
            <w:tcW w:w="2450" w:type="pct"/>
            <w:shd w:val="clear" w:color="auto" w:fill="auto"/>
            <w:tcMar>
              <w:top w:w="17" w:type="dxa"/>
              <w:left w:w="108" w:type="dxa"/>
              <w:bottom w:w="0" w:type="dxa"/>
              <w:right w:w="108" w:type="dxa"/>
            </w:tcMar>
            <w:vAlign w:val="center"/>
            <w:hideMark/>
          </w:tcPr>
          <w:p w:rsidR="006349D7" w:rsidRPr="00C60AD1" w:rsidRDefault="006349D7" w:rsidP="00BB5A5A">
            <w:pPr>
              <w:spacing w:line="240" w:lineRule="auto"/>
              <w:rPr>
                <w:rFonts w:cs="Calibri"/>
              </w:rPr>
            </w:pPr>
            <w:r w:rsidRPr="00C60AD1">
              <w:rPr>
                <w:rFonts w:cs="Calibri"/>
              </w:rPr>
              <w:t>22:00 hrs – 06:00 hrs</w:t>
            </w:r>
          </w:p>
        </w:tc>
        <w:tc>
          <w:tcPr>
            <w:tcW w:w="2550" w:type="pct"/>
            <w:shd w:val="clear" w:color="auto" w:fill="auto"/>
            <w:tcMar>
              <w:top w:w="17" w:type="dxa"/>
              <w:left w:w="108" w:type="dxa"/>
              <w:bottom w:w="0" w:type="dxa"/>
              <w:right w:w="108" w:type="dxa"/>
            </w:tcMar>
            <w:vAlign w:val="center"/>
            <w:hideMark/>
          </w:tcPr>
          <w:p w:rsidR="006349D7" w:rsidRPr="00C60AD1" w:rsidRDefault="006349D7" w:rsidP="00BB5A5A">
            <w:pPr>
              <w:spacing w:line="240" w:lineRule="auto"/>
              <w:jc w:val="center"/>
              <w:rPr>
                <w:rFonts w:cs="Calibri"/>
              </w:rPr>
            </w:pPr>
            <w:r w:rsidRPr="00C60AD1">
              <w:rPr>
                <w:rFonts w:cs="Calibri"/>
              </w:rPr>
              <w:t>-15%</w:t>
            </w:r>
          </w:p>
        </w:tc>
      </w:tr>
    </w:tbl>
    <w:p w:rsidR="006349D7" w:rsidRPr="00C60AD1" w:rsidRDefault="006349D7" w:rsidP="006349D7"/>
    <w:p w:rsidR="006349D7" w:rsidRPr="00C60AD1" w:rsidRDefault="006349D7" w:rsidP="006349D7">
      <w:pPr>
        <w:ind w:left="720"/>
        <w:rPr>
          <w:rFonts w:cs="Calibri"/>
        </w:rPr>
      </w:pPr>
      <w:r w:rsidRPr="00C60AD1">
        <w:rPr>
          <w:rFonts w:cs="Calibri"/>
        </w:rPr>
        <w:t>Such consumers woul</w:t>
      </w:r>
      <w:r>
        <w:rPr>
          <w:rFonts w:cs="Calibri"/>
        </w:rPr>
        <w:t xml:space="preserve">d be required to ask for such </w:t>
      </w:r>
      <w:r w:rsidRPr="00C60AD1">
        <w:rPr>
          <w:rFonts w:cs="Calibri"/>
        </w:rPr>
        <w:t>ToD structure in advance. However, if the consum</w:t>
      </w:r>
      <w:r>
        <w:rPr>
          <w:rFonts w:cs="Calibri"/>
        </w:rPr>
        <w:t>er who has opted for optional To</w:t>
      </w:r>
      <w:r w:rsidRPr="00C60AD1">
        <w:rPr>
          <w:rFonts w:cs="Calibri"/>
        </w:rPr>
        <w:t xml:space="preserve">D structure, exceeds the restricted load as specified during the time slot of 06.00 </w:t>
      </w:r>
      <w:r>
        <w:rPr>
          <w:rFonts w:cs="Calibri"/>
        </w:rPr>
        <w:t>-  22.00</w:t>
      </w:r>
      <w:r w:rsidRPr="00C60AD1">
        <w:rPr>
          <w:rFonts w:cs="Calibri"/>
        </w:rPr>
        <w:t xml:space="preserve"> hours in any month, the TOD structure as applicable for HV-2 category (i.e. as per ToD Rates specified for all Consumers) will be applicable for such consumer for that particular month. </w:t>
      </w:r>
    </w:p>
    <w:p w:rsidR="006349D7" w:rsidRDefault="006349D7" w:rsidP="006349D7">
      <w:pPr>
        <w:rPr>
          <w:b/>
          <w:bCs/>
        </w:rPr>
      </w:pPr>
    </w:p>
    <w:p w:rsidR="006349D7" w:rsidRDefault="006349D7" w:rsidP="006349D7">
      <w:pPr>
        <w:ind w:firstLine="540"/>
        <w:rPr>
          <w:b/>
          <w:bCs/>
          <w:u w:val="single"/>
        </w:rPr>
      </w:pPr>
      <w:r w:rsidRPr="00C60AD1">
        <w:rPr>
          <w:b/>
          <w:bCs/>
        </w:rPr>
        <w:t>(B)  Rural Schedule:</w:t>
      </w:r>
    </w:p>
    <w:p w:rsidR="006349D7" w:rsidRPr="00C60AD1" w:rsidRDefault="006349D7" w:rsidP="006349D7">
      <w:pPr>
        <w:tabs>
          <w:tab w:val="left" w:pos="540"/>
        </w:tabs>
        <w:ind w:left="720" w:right="29"/>
        <w:rPr>
          <w:bCs/>
        </w:rPr>
      </w:pPr>
      <w:r w:rsidRPr="00C60AD1">
        <w:rPr>
          <w:bCs/>
        </w:rPr>
        <w:t>This schedule shall be applicable only to consumers getting supply up to 11 kV as per ‘Rural Schedule’. The consumer under this category shall be entitled to a rebate of 7.5% on demand &amp; energy charges as given for 11 kV consumers under urban schedule without TOD rates.</w:t>
      </w:r>
    </w:p>
    <w:p w:rsidR="006349D7" w:rsidRPr="00C60AD1" w:rsidRDefault="006349D7" w:rsidP="006349D7">
      <w:pPr>
        <w:tabs>
          <w:tab w:val="left" w:pos="540"/>
        </w:tabs>
        <w:ind w:left="540" w:right="29" w:hanging="540"/>
        <w:rPr>
          <w:b/>
          <w:bCs/>
          <w:i/>
          <w:iCs/>
        </w:rPr>
      </w:pPr>
      <w:r w:rsidRPr="00C60AD1" w:rsidDel="00A956BC">
        <w:rPr>
          <w:b/>
          <w:bCs/>
          <w:i/>
          <w:iCs/>
        </w:rPr>
        <w:t xml:space="preserve"> </w:t>
      </w:r>
    </w:p>
    <w:p w:rsidR="006349D7" w:rsidRPr="00C60AD1" w:rsidRDefault="006349D7" w:rsidP="006349D7">
      <w:pPr>
        <w:tabs>
          <w:tab w:val="left" w:pos="540"/>
        </w:tabs>
        <w:ind w:left="1080" w:right="29" w:hanging="540"/>
        <w:rPr>
          <w:b/>
          <w:bCs/>
        </w:rPr>
      </w:pPr>
      <w:r w:rsidRPr="00C60AD1">
        <w:rPr>
          <w:b/>
          <w:bCs/>
        </w:rPr>
        <w:t>(C)</w:t>
      </w:r>
      <w:r w:rsidRPr="00C60AD1">
        <w:rPr>
          <w:b/>
          <w:bCs/>
        </w:rPr>
        <w:tab/>
        <w:t>Consumers already existing under HV-2 category with metering arrangement at low voltage:</w:t>
      </w:r>
    </w:p>
    <w:p w:rsidR="006349D7" w:rsidRDefault="006349D7" w:rsidP="006349D7">
      <w:pPr>
        <w:tabs>
          <w:tab w:val="left" w:pos="540"/>
        </w:tabs>
        <w:ind w:left="720" w:right="29" w:hanging="540"/>
        <w:rPr>
          <w:rFonts w:cs="Arial"/>
        </w:rPr>
      </w:pPr>
      <w:r w:rsidRPr="00C60AD1">
        <w:rPr>
          <w:b/>
          <w:bCs/>
        </w:rPr>
        <w:tab/>
      </w:r>
      <w:r>
        <w:rPr>
          <w:b/>
          <w:bCs/>
        </w:rPr>
        <w:tab/>
      </w:r>
      <w:r w:rsidRPr="00C60AD1">
        <w:rPr>
          <w:rFonts w:cs="Arial"/>
        </w:rPr>
        <w:t xml:space="preserve">Existing consumer under HV-2 with metering at 0.4 kV shall be required to pay as per schedule applicable to 11 kV consumers under HV-2 category. </w:t>
      </w:r>
    </w:p>
    <w:p w:rsidR="006349D7" w:rsidRPr="00C60AD1" w:rsidRDefault="006349D7" w:rsidP="006349D7">
      <w:pPr>
        <w:tabs>
          <w:tab w:val="left" w:pos="540"/>
        </w:tabs>
        <w:ind w:right="29"/>
        <w:rPr>
          <w:b/>
          <w:bCs/>
          <w:i/>
          <w:iCs/>
        </w:rPr>
      </w:pPr>
    </w:p>
    <w:p w:rsidR="006349D7" w:rsidRPr="00C60AD1" w:rsidRDefault="006349D7" w:rsidP="006349D7">
      <w:pPr>
        <w:tabs>
          <w:tab w:val="left" w:pos="540"/>
        </w:tabs>
        <w:ind w:right="29"/>
        <w:rPr>
          <w:b/>
        </w:rPr>
      </w:pPr>
      <w:r w:rsidRPr="00C60AD1">
        <w:rPr>
          <w:b/>
        </w:rPr>
        <w:t>4.</w:t>
      </w:r>
      <w:r w:rsidRPr="00C60AD1">
        <w:rPr>
          <w:b/>
        </w:rPr>
        <w:tab/>
        <w:t xml:space="preserve">PROVISIONS RELATED TO SEASONAL INDUSTRIES: </w:t>
      </w:r>
    </w:p>
    <w:p w:rsidR="006349D7" w:rsidRPr="00C60AD1" w:rsidRDefault="006349D7" w:rsidP="006349D7">
      <w:pPr>
        <w:spacing w:before="60"/>
        <w:ind w:left="540" w:right="29"/>
      </w:pPr>
      <w:r w:rsidRPr="00C60AD1">
        <w:t>Seasonal industries will be determined in accordance with the criteria laid down below. No exhaustive list can be provided but some examples of industries exhibiting such characteristics are sugar, ice, rice mill and cold storage. The industries which operate during certain period of the year, i.e. have seasonality of operation, can avail the benefits of seasonal industries provided:</w:t>
      </w:r>
    </w:p>
    <w:p w:rsidR="006349D7" w:rsidRDefault="006349D7" w:rsidP="00EC6AAC">
      <w:pPr>
        <w:numPr>
          <w:ilvl w:val="0"/>
          <w:numId w:val="49"/>
        </w:numPr>
        <w:spacing w:before="60" w:line="288" w:lineRule="auto"/>
        <w:ind w:right="29"/>
      </w:pPr>
      <w:r w:rsidRPr="00C60AD1">
        <w:t xml:space="preserve">The continuous period of operation of such industries shall be at least 4 (four) months but not more than 9 (nine) months in a financial year. </w:t>
      </w:r>
    </w:p>
    <w:p w:rsidR="006349D7" w:rsidRDefault="006349D7" w:rsidP="00EC6AAC">
      <w:pPr>
        <w:numPr>
          <w:ilvl w:val="0"/>
          <w:numId w:val="49"/>
        </w:numPr>
        <w:spacing w:before="60" w:line="288" w:lineRule="auto"/>
        <w:ind w:right="29"/>
      </w:pPr>
      <w:r w:rsidRPr="00C60AD1">
        <w:lastRenderedPageBreak/>
        <w:t xml:space="preserve">Any prospective consumer, desirous of availing the seasonal benefit, shall specifically declare his season at the time of submission of declaration / execution of agreement mentioning the period of operation unambiguously. </w:t>
      </w:r>
    </w:p>
    <w:p w:rsidR="006349D7" w:rsidRDefault="006349D7" w:rsidP="00EC6AAC">
      <w:pPr>
        <w:numPr>
          <w:ilvl w:val="0"/>
          <w:numId w:val="49"/>
        </w:numPr>
        <w:spacing w:before="60" w:line="288" w:lineRule="auto"/>
        <w:ind w:right="29"/>
      </w:pPr>
      <w:r w:rsidRPr="00C60AD1">
        <w:t>The seasonal period once notified cannot be reduced during the next consecutive 12 months. The off-season tariff is not applicable to composite units having seasonal and other category loads.</w:t>
      </w:r>
    </w:p>
    <w:p w:rsidR="006349D7" w:rsidRDefault="006349D7" w:rsidP="00EC6AAC">
      <w:pPr>
        <w:numPr>
          <w:ilvl w:val="0"/>
          <w:numId w:val="49"/>
        </w:numPr>
        <w:spacing w:before="60" w:line="288" w:lineRule="auto"/>
        <w:ind w:right="29"/>
      </w:pPr>
      <w:r w:rsidRPr="00C60AD1">
        <w:t xml:space="preserve">The off-season tariff is also not available to those units who have captive generation exclusively for process during season and who avail Licensees supply for miscellaneous loads and other non-process loads.  </w:t>
      </w:r>
    </w:p>
    <w:p w:rsidR="006349D7" w:rsidRDefault="006349D7" w:rsidP="00EC6AAC">
      <w:pPr>
        <w:numPr>
          <w:ilvl w:val="0"/>
          <w:numId w:val="49"/>
        </w:numPr>
        <w:spacing w:before="60" w:line="288" w:lineRule="auto"/>
        <w:ind w:right="29"/>
      </w:pPr>
      <w:r w:rsidRPr="00C60AD1">
        <w:t>The consumer opting for seasonal benefit has a flexibility to declare his off seasonal maximum demand subject to a maximum of 25% of the contracted demand.  The tariff rates (demand charge per kW / kVA and energy charge per kWh / kVAh) for such industries during off-season period will be the same as for normal period.  Further, during the off season fixed charges shall be levied on the basis of maximum demand recorded by the meter (not on normal billable demand or on percentage contracted demand). Rates for the energy charges shall however be the same as during the operational season.  Further, first violation in the season would attract full billable demand charges and energy charges calculated at the unit rate 50% higher than the applicable tariff during normal period but only for the month in which the consumer has defaulted. However, on second default the consumer will forfeit the benefit of seasonal rates for the entire season.</w:t>
      </w:r>
    </w:p>
    <w:p w:rsidR="006349D7" w:rsidRDefault="006349D7" w:rsidP="006349D7">
      <w:pPr>
        <w:spacing w:line="240" w:lineRule="auto"/>
      </w:pPr>
    </w:p>
    <w:p w:rsidR="006349D7" w:rsidRPr="00C60AD1" w:rsidRDefault="006349D7" w:rsidP="006349D7">
      <w:pPr>
        <w:tabs>
          <w:tab w:val="left" w:pos="540"/>
        </w:tabs>
        <w:ind w:right="29"/>
        <w:rPr>
          <w:b/>
        </w:rPr>
      </w:pPr>
      <w:r w:rsidRPr="00C60AD1">
        <w:rPr>
          <w:b/>
        </w:rPr>
        <w:t xml:space="preserve">5.  FACTORY LIGHTING: </w:t>
      </w:r>
    </w:p>
    <w:p w:rsidR="006349D7" w:rsidRDefault="006349D7" w:rsidP="006349D7">
      <w:pPr>
        <w:ind w:left="720"/>
      </w:pPr>
      <w:r w:rsidRPr="00C60AD1">
        <w:t>The electrical energy supplied shall also be utilized in the factory premises for lights, fans, coolers, etc. which shall mean and include all energy consumed for factory lighting in the offices, the main factory building, stores, time keeper’s office, canteen, staff club, library, crèche, dispensary, staff welfare centres, compound lighting, etc. No separate connection for the same shall be provided.</w:t>
      </w:r>
    </w:p>
    <w:p w:rsidR="006349D7" w:rsidRPr="00C60AD1" w:rsidRDefault="006349D7" w:rsidP="006349D7">
      <w:pPr>
        <w:tabs>
          <w:tab w:val="left" w:pos="360"/>
        </w:tabs>
        <w:spacing w:before="100" w:beforeAutospacing="1" w:after="100" w:afterAutospacing="1"/>
        <w:ind w:left="720" w:right="29"/>
      </w:pPr>
    </w:p>
    <w:p w:rsidR="006349D7" w:rsidRPr="00C60AD1" w:rsidRDefault="006349D7" w:rsidP="006349D7">
      <w:pPr>
        <w:tabs>
          <w:tab w:val="left" w:pos="360"/>
        </w:tabs>
        <w:spacing w:before="100" w:beforeAutospacing="1" w:after="100" w:afterAutospacing="1"/>
        <w:ind w:left="720" w:right="29"/>
      </w:pPr>
    </w:p>
    <w:p w:rsidR="006349D7" w:rsidRDefault="006349D7" w:rsidP="006349D7">
      <w:pPr>
        <w:spacing w:before="0" w:after="200"/>
        <w:jc w:val="center"/>
        <w:rPr>
          <w:b/>
          <w:bCs/>
          <w:u w:val="single"/>
        </w:rPr>
      </w:pPr>
      <w:r w:rsidRPr="00C60AD1">
        <w:br w:type="page"/>
      </w:r>
      <w:r w:rsidRPr="00C60AD1">
        <w:rPr>
          <w:b/>
          <w:bCs/>
          <w:u w:val="single"/>
        </w:rPr>
        <w:lastRenderedPageBreak/>
        <w:t>RATE SCHEDULE HV – 3:</w:t>
      </w:r>
    </w:p>
    <w:p w:rsidR="006349D7" w:rsidRDefault="006349D7" w:rsidP="006349D7">
      <w:pPr>
        <w:spacing w:before="100" w:beforeAutospacing="1" w:after="100" w:afterAutospacing="1"/>
        <w:ind w:right="29"/>
        <w:jc w:val="left"/>
        <w:rPr>
          <w:rFonts w:cs="Arial"/>
          <w:b/>
        </w:rPr>
      </w:pPr>
      <w:r w:rsidRPr="00C60AD1">
        <w:rPr>
          <w:rFonts w:cs="Arial"/>
          <w:b/>
        </w:rPr>
        <w:t>A:  RAILWAY TRACTION:</w:t>
      </w:r>
    </w:p>
    <w:p w:rsidR="006349D7" w:rsidRPr="00C60AD1" w:rsidRDefault="006349D7" w:rsidP="006349D7">
      <w:pPr>
        <w:tabs>
          <w:tab w:val="left" w:pos="360"/>
        </w:tabs>
        <w:spacing w:before="100" w:beforeAutospacing="1" w:after="100" w:afterAutospacing="1"/>
        <w:ind w:right="29"/>
        <w:rPr>
          <w:rFonts w:cs="Arial"/>
          <w:b/>
        </w:rPr>
      </w:pPr>
      <w:r w:rsidRPr="00C60AD1">
        <w:rPr>
          <w:rFonts w:cs="Arial"/>
          <w:b/>
        </w:rPr>
        <w:t>1.</w:t>
      </w:r>
      <w:r w:rsidRPr="00C60AD1">
        <w:rPr>
          <w:rFonts w:cs="Arial"/>
          <w:b/>
        </w:rPr>
        <w:tab/>
        <w:t>APPLICABILITY:</w:t>
      </w:r>
    </w:p>
    <w:p w:rsidR="006349D7" w:rsidRPr="00C60AD1" w:rsidRDefault="006349D7" w:rsidP="006349D7">
      <w:pPr>
        <w:tabs>
          <w:tab w:val="left" w:pos="360"/>
        </w:tabs>
        <w:spacing w:before="100" w:beforeAutospacing="1"/>
        <w:ind w:left="360" w:right="11"/>
        <w:rPr>
          <w:rFonts w:cs="Arial"/>
        </w:rPr>
      </w:pPr>
      <w:r w:rsidRPr="00C60AD1">
        <w:rPr>
          <w:rFonts w:cs="Arial"/>
        </w:rPr>
        <w:t xml:space="preserve">This schedule shall apply to the Railways for Traction loads only. </w:t>
      </w:r>
    </w:p>
    <w:p w:rsidR="006349D7" w:rsidRPr="00C60AD1" w:rsidRDefault="006349D7" w:rsidP="006349D7"/>
    <w:p w:rsidR="006349D7" w:rsidRPr="00C60AD1" w:rsidRDefault="006349D7" w:rsidP="006349D7">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6349D7" w:rsidRDefault="006349D7" w:rsidP="006349D7">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6349D7" w:rsidRDefault="006349D7" w:rsidP="006349D7">
      <w:pPr>
        <w:tabs>
          <w:tab w:val="left" w:pos="360"/>
        </w:tabs>
        <w:spacing w:before="0"/>
        <w:ind w:left="360" w:right="11"/>
      </w:pPr>
    </w:p>
    <w:p w:rsidR="006349D7" w:rsidRPr="00C60AD1" w:rsidRDefault="006349D7" w:rsidP="006349D7">
      <w:pPr>
        <w:pStyle w:val="BodyText"/>
        <w:tabs>
          <w:tab w:val="left" w:pos="360"/>
        </w:tabs>
        <w:spacing w:before="100" w:beforeAutospacing="1" w:line="288" w:lineRule="auto"/>
        <w:ind w:right="29"/>
        <w:rPr>
          <w:rFonts w:cs="Arial"/>
          <w:b/>
        </w:rPr>
      </w:pPr>
      <w:r w:rsidRPr="00C60AD1">
        <w:rPr>
          <w:rFonts w:cs="Arial"/>
          <w:b/>
        </w:rPr>
        <w:t>3.</w:t>
      </w:r>
      <w:r w:rsidRPr="00C60AD1">
        <w:rPr>
          <w:rFonts w:cs="Arial"/>
          <w:b/>
        </w:rPr>
        <w:tab/>
        <w:t>RATE:</w:t>
      </w:r>
    </w:p>
    <w:p w:rsidR="006349D7" w:rsidRPr="00C60AD1" w:rsidRDefault="006349D7" w:rsidP="006349D7">
      <w:pPr>
        <w:spacing w:before="100" w:beforeAutospacing="1" w:after="240"/>
        <w:ind w:left="360" w:right="14"/>
      </w:pPr>
      <w:r w:rsidRPr="00C60AD1">
        <w:t>Rate, gives the demand and energy charges at which the consumer shall be billed for consumption during the billing period applicable to the category:</w:t>
      </w:r>
    </w:p>
    <w:p w:rsidR="006349D7" w:rsidRPr="00C60AD1" w:rsidRDefault="006349D7" w:rsidP="006349D7"/>
    <w:tbl>
      <w:tblPr>
        <w:tblW w:w="8067" w:type="dxa"/>
        <w:tblInd w:w="7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097"/>
        <w:gridCol w:w="2970"/>
      </w:tblGrid>
      <w:tr w:rsidR="006349D7" w:rsidRPr="00C60AD1" w:rsidTr="00BB5A5A">
        <w:tc>
          <w:tcPr>
            <w:tcW w:w="5097" w:type="dxa"/>
            <w:shd w:val="clear" w:color="auto" w:fill="DBE5F1" w:themeFill="accent1" w:themeFillTint="33"/>
          </w:tcPr>
          <w:p w:rsidR="006349D7" w:rsidRPr="00C60AD1" w:rsidRDefault="006349D7" w:rsidP="00BB5A5A">
            <w:pPr>
              <w:pStyle w:val="BodyText"/>
              <w:spacing w:line="288" w:lineRule="auto"/>
              <w:jc w:val="center"/>
              <w:rPr>
                <w:rFonts w:cs="Arial"/>
                <w:b/>
              </w:rPr>
            </w:pPr>
            <w:r w:rsidRPr="00C60AD1">
              <w:rPr>
                <w:rFonts w:cs="Arial"/>
                <w:b/>
              </w:rPr>
              <w:t>Description</w:t>
            </w:r>
          </w:p>
        </w:tc>
        <w:tc>
          <w:tcPr>
            <w:tcW w:w="2970" w:type="dxa"/>
            <w:shd w:val="clear" w:color="auto" w:fill="DBE5F1" w:themeFill="accent1" w:themeFillTint="33"/>
          </w:tcPr>
          <w:p w:rsidR="006349D7" w:rsidRPr="00C60AD1" w:rsidRDefault="006349D7" w:rsidP="00BB5A5A">
            <w:pPr>
              <w:pStyle w:val="BodyText"/>
              <w:spacing w:line="288" w:lineRule="auto"/>
              <w:jc w:val="center"/>
              <w:rPr>
                <w:rFonts w:cs="Arial"/>
                <w:b/>
                <w:bCs/>
              </w:rPr>
            </w:pPr>
            <w:r w:rsidRPr="00C60AD1">
              <w:rPr>
                <w:rFonts w:cs="Arial"/>
                <w:b/>
                <w:bCs/>
              </w:rPr>
              <w:t>Charges</w:t>
            </w:r>
          </w:p>
        </w:tc>
      </w:tr>
      <w:tr w:rsidR="006349D7" w:rsidRPr="00C60AD1" w:rsidTr="00BB5A5A">
        <w:tc>
          <w:tcPr>
            <w:tcW w:w="5097" w:type="dxa"/>
          </w:tcPr>
          <w:p w:rsidR="006349D7" w:rsidRPr="00C60AD1" w:rsidRDefault="006349D7" w:rsidP="00BB5A5A">
            <w:pPr>
              <w:pStyle w:val="BodyText"/>
              <w:spacing w:line="288" w:lineRule="auto"/>
              <w:jc w:val="left"/>
              <w:rPr>
                <w:rFonts w:cs="Arial"/>
              </w:rPr>
            </w:pPr>
            <w:r w:rsidRPr="00C60AD1">
              <w:rPr>
                <w:rFonts w:cs="Arial"/>
                <w:b/>
              </w:rPr>
              <w:t>(a) Demand Charge</w:t>
            </w:r>
          </w:p>
          <w:p w:rsidR="006349D7" w:rsidRPr="00C60AD1" w:rsidRDefault="006349D7" w:rsidP="00BB5A5A">
            <w:pPr>
              <w:pStyle w:val="BodyText"/>
              <w:spacing w:line="288" w:lineRule="auto"/>
              <w:jc w:val="left"/>
              <w:rPr>
                <w:rFonts w:cs="Arial"/>
              </w:rPr>
            </w:pPr>
            <w:r w:rsidRPr="00C60AD1">
              <w:rPr>
                <w:rFonts w:cs="Arial"/>
              </w:rPr>
              <w:t xml:space="preserve">For supply at and above 132 kV </w:t>
            </w:r>
          </w:p>
          <w:p w:rsidR="006349D7" w:rsidRPr="00C60AD1" w:rsidRDefault="006349D7" w:rsidP="00BB5A5A">
            <w:pPr>
              <w:pStyle w:val="BodyText"/>
              <w:spacing w:line="288" w:lineRule="auto"/>
              <w:jc w:val="left"/>
              <w:rPr>
                <w:rFonts w:cs="Arial"/>
              </w:rPr>
            </w:pPr>
            <w:r w:rsidRPr="00C60AD1">
              <w:rPr>
                <w:rFonts w:cs="Arial"/>
              </w:rPr>
              <w:t>Below 132 kV</w:t>
            </w:r>
          </w:p>
        </w:tc>
        <w:tc>
          <w:tcPr>
            <w:tcW w:w="2970" w:type="dxa"/>
          </w:tcPr>
          <w:p w:rsidR="006349D7" w:rsidRPr="00C60AD1" w:rsidRDefault="006349D7" w:rsidP="00BB5A5A">
            <w:pPr>
              <w:pStyle w:val="BodyText"/>
              <w:spacing w:line="288" w:lineRule="auto"/>
              <w:jc w:val="left"/>
              <w:rPr>
                <w:rFonts w:cs="Arial"/>
              </w:rPr>
            </w:pPr>
          </w:p>
          <w:p w:rsidR="006349D7" w:rsidRPr="00C60AD1" w:rsidRDefault="006349D7" w:rsidP="00BB5A5A">
            <w:pPr>
              <w:pStyle w:val="BodyText"/>
              <w:spacing w:line="288" w:lineRule="auto"/>
              <w:jc w:val="left"/>
              <w:rPr>
                <w:rFonts w:cs="Arial"/>
              </w:rPr>
            </w:pPr>
            <w:r w:rsidRPr="00C60AD1">
              <w:rPr>
                <w:rFonts w:cs="Arial"/>
              </w:rPr>
              <w:t xml:space="preserve">Rs. </w:t>
            </w:r>
            <w:r>
              <w:rPr>
                <w:rFonts w:cs="Arial"/>
              </w:rPr>
              <w:t>340</w:t>
            </w:r>
            <w:r w:rsidRPr="00C60AD1">
              <w:rPr>
                <w:rFonts w:cs="Arial"/>
              </w:rPr>
              <w:t>.00 / kVA / month</w:t>
            </w:r>
          </w:p>
          <w:p w:rsidR="006349D7" w:rsidRPr="00C60AD1" w:rsidRDefault="006349D7" w:rsidP="00BB5A5A">
            <w:pPr>
              <w:pStyle w:val="BodyText"/>
              <w:spacing w:line="288" w:lineRule="auto"/>
              <w:jc w:val="left"/>
              <w:rPr>
                <w:rFonts w:cs="Arial"/>
              </w:rPr>
            </w:pPr>
            <w:r w:rsidRPr="00C60AD1">
              <w:rPr>
                <w:rFonts w:cs="Arial"/>
                <w:lang w:val="sv-SE"/>
              </w:rPr>
              <w:t xml:space="preserve">Rs. </w:t>
            </w:r>
            <w:r>
              <w:rPr>
                <w:rFonts w:cs="Arial"/>
              </w:rPr>
              <w:t>350</w:t>
            </w:r>
            <w:r w:rsidRPr="00C60AD1">
              <w:rPr>
                <w:rFonts w:cs="Arial"/>
              </w:rPr>
              <w:t>.00</w:t>
            </w:r>
            <w:r w:rsidRPr="00C60AD1">
              <w:rPr>
                <w:rFonts w:cs="Arial"/>
                <w:lang w:val="sv-SE"/>
              </w:rPr>
              <w:t xml:space="preserve"> / kVA / month</w:t>
            </w:r>
            <w:r w:rsidRPr="00C60AD1">
              <w:rPr>
                <w:rFonts w:cs="Arial"/>
              </w:rPr>
              <w:t xml:space="preserve"> </w:t>
            </w:r>
          </w:p>
        </w:tc>
      </w:tr>
      <w:tr w:rsidR="006349D7" w:rsidRPr="00C60AD1" w:rsidTr="00BB5A5A">
        <w:tc>
          <w:tcPr>
            <w:tcW w:w="5097" w:type="dxa"/>
          </w:tcPr>
          <w:p w:rsidR="006349D7" w:rsidRPr="00C60AD1" w:rsidRDefault="006349D7" w:rsidP="00BB5A5A">
            <w:pPr>
              <w:pStyle w:val="BodyText"/>
              <w:spacing w:line="288" w:lineRule="auto"/>
              <w:jc w:val="left"/>
              <w:rPr>
                <w:rFonts w:cs="Arial"/>
              </w:rPr>
            </w:pPr>
            <w:r w:rsidRPr="00C60AD1">
              <w:rPr>
                <w:rFonts w:cs="Arial"/>
                <w:b/>
              </w:rPr>
              <w:t xml:space="preserve">(b) Energy Charge </w:t>
            </w:r>
            <w:r w:rsidRPr="00C60AD1">
              <w:rPr>
                <w:rFonts w:cs="Arial"/>
              </w:rPr>
              <w:t>(all consumption in a month)</w:t>
            </w:r>
          </w:p>
          <w:p w:rsidR="006349D7" w:rsidRPr="00C60AD1" w:rsidRDefault="006349D7" w:rsidP="00BB5A5A">
            <w:pPr>
              <w:pStyle w:val="BodyText"/>
              <w:spacing w:line="288" w:lineRule="auto"/>
              <w:jc w:val="left"/>
              <w:rPr>
                <w:rFonts w:cs="Arial"/>
              </w:rPr>
            </w:pPr>
            <w:r w:rsidRPr="00C60AD1">
              <w:rPr>
                <w:rFonts w:cs="Arial"/>
              </w:rPr>
              <w:t>For supply at and above 132 kV</w:t>
            </w:r>
          </w:p>
          <w:p w:rsidR="006349D7" w:rsidRPr="00C60AD1" w:rsidRDefault="006349D7" w:rsidP="00BB5A5A">
            <w:pPr>
              <w:pStyle w:val="BodyText"/>
              <w:spacing w:line="288" w:lineRule="auto"/>
              <w:jc w:val="left"/>
              <w:rPr>
                <w:rFonts w:cs="Arial"/>
              </w:rPr>
            </w:pPr>
            <w:r w:rsidRPr="00C60AD1">
              <w:rPr>
                <w:rFonts w:cs="Arial"/>
              </w:rPr>
              <w:t xml:space="preserve">Below 132 kV </w:t>
            </w:r>
          </w:p>
        </w:tc>
        <w:tc>
          <w:tcPr>
            <w:tcW w:w="2970" w:type="dxa"/>
          </w:tcPr>
          <w:p w:rsidR="006349D7" w:rsidRPr="00C60AD1" w:rsidRDefault="006349D7" w:rsidP="00BB5A5A">
            <w:pPr>
              <w:pStyle w:val="BodyText"/>
              <w:spacing w:line="288" w:lineRule="auto"/>
              <w:jc w:val="left"/>
              <w:rPr>
                <w:rFonts w:cs="Arial"/>
                <w:lang w:val="sv-SE"/>
              </w:rPr>
            </w:pPr>
          </w:p>
          <w:p w:rsidR="006349D7" w:rsidRPr="00C60AD1" w:rsidRDefault="006349D7" w:rsidP="00BB5A5A">
            <w:pPr>
              <w:pStyle w:val="BodyText"/>
              <w:spacing w:line="288" w:lineRule="auto"/>
              <w:jc w:val="left"/>
              <w:rPr>
                <w:rFonts w:cs="Arial"/>
                <w:lang w:val="sv-SE"/>
              </w:rPr>
            </w:pPr>
            <w:r w:rsidRPr="00C60AD1">
              <w:rPr>
                <w:rFonts w:cs="Arial"/>
              </w:rPr>
              <w:t>Rs. 6.</w:t>
            </w:r>
            <w:r>
              <w:rPr>
                <w:rFonts w:cs="Arial"/>
              </w:rPr>
              <w:t>95</w:t>
            </w:r>
            <w:r w:rsidRPr="00C60AD1">
              <w:rPr>
                <w:rFonts w:cs="Arial"/>
              </w:rPr>
              <w:t xml:space="preserve"> / kVAh</w:t>
            </w:r>
          </w:p>
          <w:p w:rsidR="006349D7" w:rsidRPr="00C60AD1" w:rsidRDefault="006349D7" w:rsidP="00BB5A5A">
            <w:pPr>
              <w:pStyle w:val="BodyText"/>
              <w:spacing w:line="288" w:lineRule="auto"/>
              <w:jc w:val="left"/>
              <w:rPr>
                <w:rFonts w:cs="Arial"/>
                <w:lang w:val="sv-SE"/>
              </w:rPr>
            </w:pPr>
            <w:r w:rsidRPr="00C60AD1">
              <w:rPr>
                <w:rFonts w:cs="Arial"/>
                <w:lang w:val="sv-SE"/>
              </w:rPr>
              <w:t xml:space="preserve">Rs. </w:t>
            </w:r>
            <w:r w:rsidRPr="00C60AD1">
              <w:rPr>
                <w:rFonts w:cs="Arial"/>
              </w:rPr>
              <w:t xml:space="preserve"> </w:t>
            </w:r>
            <w:r>
              <w:rPr>
                <w:rFonts w:cs="Arial"/>
              </w:rPr>
              <w:t>7.20</w:t>
            </w:r>
            <w:r w:rsidRPr="00C60AD1">
              <w:rPr>
                <w:rFonts w:cs="Arial"/>
                <w:lang w:val="sv-SE"/>
              </w:rPr>
              <w:t xml:space="preserve"> / kVAh</w:t>
            </w:r>
          </w:p>
        </w:tc>
      </w:tr>
    </w:tbl>
    <w:p w:rsidR="006349D7" w:rsidRPr="00C60AD1" w:rsidRDefault="006349D7" w:rsidP="006349D7">
      <w:pPr>
        <w:tabs>
          <w:tab w:val="left" w:pos="720"/>
        </w:tabs>
        <w:spacing w:before="100" w:after="100"/>
        <w:ind w:right="29"/>
        <w:rPr>
          <w:i/>
          <w:sz w:val="22"/>
        </w:rPr>
      </w:pPr>
      <w:r w:rsidRPr="000873E5">
        <w:rPr>
          <w:b/>
          <w:i/>
          <w:sz w:val="22"/>
        </w:rPr>
        <w:t>Note:</w:t>
      </w:r>
      <w:r w:rsidRPr="000873E5">
        <w:rPr>
          <w:i/>
          <w:sz w:val="22"/>
        </w:rPr>
        <w:t xml:space="preserve"> Minimum bill payable by a consumer under this category shall be Rs. 725.00 / kVA / month.</w:t>
      </w:r>
    </w:p>
    <w:p w:rsidR="006349D7" w:rsidRPr="00C60AD1" w:rsidRDefault="006349D7" w:rsidP="006349D7">
      <w:pPr>
        <w:tabs>
          <w:tab w:val="left" w:pos="720"/>
        </w:tabs>
        <w:spacing w:before="100" w:after="100"/>
        <w:ind w:right="29"/>
        <w:rPr>
          <w:rFonts w:cs="Arial"/>
        </w:rPr>
      </w:pPr>
    </w:p>
    <w:p w:rsidR="006349D7" w:rsidRDefault="006349D7" w:rsidP="00EC6AAC">
      <w:pPr>
        <w:numPr>
          <w:ilvl w:val="0"/>
          <w:numId w:val="50"/>
        </w:numPr>
        <w:spacing w:before="100"/>
        <w:ind w:right="29"/>
        <w:rPr>
          <w:b/>
        </w:rPr>
      </w:pPr>
      <w:r w:rsidRPr="00C60AD1">
        <w:rPr>
          <w:b/>
        </w:rPr>
        <w:t xml:space="preserve">DETERMINATION OF THE DEMAND: </w:t>
      </w:r>
    </w:p>
    <w:p w:rsidR="006349D7" w:rsidRPr="00C60AD1" w:rsidRDefault="006349D7" w:rsidP="006349D7">
      <w:pPr>
        <w:pStyle w:val="BodyText"/>
        <w:tabs>
          <w:tab w:val="left" w:pos="720"/>
        </w:tabs>
        <w:spacing w:line="288" w:lineRule="auto"/>
        <w:ind w:left="720" w:right="11"/>
      </w:pPr>
      <w:r w:rsidRPr="00C60AD1">
        <w:lastRenderedPageBreak/>
        <w:t>Demand measurement at a particular time will be made on basis of simultaneous maximum demands recorded in summation kilovolt-ampere meter installed at contiguous substation serviced by same grid transformer.</w:t>
      </w:r>
    </w:p>
    <w:p w:rsidR="006349D7" w:rsidRPr="000873E5" w:rsidRDefault="006349D7" w:rsidP="006349D7">
      <w:pPr>
        <w:pStyle w:val="BodyText"/>
        <w:tabs>
          <w:tab w:val="left" w:pos="720"/>
        </w:tabs>
        <w:spacing w:line="288" w:lineRule="auto"/>
        <w:ind w:left="720" w:right="11"/>
      </w:pPr>
      <w:r w:rsidRPr="00C60AD1">
        <w:t>The demand for any month shall be defined as the highest average load measured in Kilo Volt amperes during any fifteen consecutive minutes period of the month.</w:t>
      </w:r>
    </w:p>
    <w:p w:rsidR="006349D7" w:rsidRDefault="006349D7" w:rsidP="006349D7">
      <w:pPr>
        <w:spacing w:line="240" w:lineRule="auto"/>
        <w:jc w:val="left"/>
        <w:rPr>
          <w:rFonts w:cs="Arial"/>
          <w:b/>
        </w:rPr>
      </w:pPr>
      <w:r w:rsidRPr="00C60AD1">
        <w:rPr>
          <w:rFonts w:cs="Arial"/>
          <w:b/>
        </w:rPr>
        <w:br w:type="page"/>
      </w:r>
      <w:r w:rsidRPr="00C60AD1">
        <w:rPr>
          <w:rFonts w:cs="Arial"/>
          <w:b/>
        </w:rPr>
        <w:lastRenderedPageBreak/>
        <w:t>B: METRO RAIL:</w:t>
      </w:r>
    </w:p>
    <w:p w:rsidR="006349D7" w:rsidRPr="00C60AD1" w:rsidRDefault="006349D7" w:rsidP="006349D7">
      <w:pPr>
        <w:tabs>
          <w:tab w:val="left" w:pos="360"/>
        </w:tabs>
        <w:spacing w:before="100" w:beforeAutospacing="1" w:after="100" w:afterAutospacing="1"/>
        <w:ind w:right="29"/>
        <w:rPr>
          <w:rFonts w:cs="Arial"/>
          <w:b/>
        </w:rPr>
      </w:pPr>
      <w:r w:rsidRPr="00C60AD1">
        <w:rPr>
          <w:rFonts w:cs="Arial"/>
          <w:b/>
        </w:rPr>
        <w:t>1.   APPLICABILITY:</w:t>
      </w:r>
    </w:p>
    <w:p w:rsidR="006349D7" w:rsidRPr="00C60AD1" w:rsidRDefault="006349D7" w:rsidP="006349D7">
      <w:pPr>
        <w:tabs>
          <w:tab w:val="left" w:pos="360"/>
        </w:tabs>
        <w:spacing w:before="100" w:beforeAutospacing="1"/>
        <w:ind w:left="360" w:right="11"/>
        <w:rPr>
          <w:rFonts w:cs="Arial"/>
        </w:rPr>
      </w:pPr>
      <w:r w:rsidRPr="00C60AD1">
        <w:rPr>
          <w:rFonts w:cs="Arial"/>
        </w:rPr>
        <w:t xml:space="preserve">This schedule shall apply to the Metro Rail Corporation. </w:t>
      </w:r>
    </w:p>
    <w:p w:rsidR="006349D7" w:rsidRPr="00C60AD1" w:rsidRDefault="006349D7" w:rsidP="006349D7">
      <w:pPr>
        <w:tabs>
          <w:tab w:val="left" w:pos="1421"/>
        </w:tabs>
      </w:pPr>
      <w:r w:rsidRPr="00C60AD1">
        <w:tab/>
      </w:r>
    </w:p>
    <w:p w:rsidR="006349D7" w:rsidRPr="00C60AD1" w:rsidRDefault="006349D7" w:rsidP="006349D7">
      <w:pPr>
        <w:pStyle w:val="BodyText"/>
        <w:tabs>
          <w:tab w:val="left" w:pos="360"/>
        </w:tabs>
        <w:spacing w:line="288" w:lineRule="auto"/>
      </w:pPr>
      <w:r w:rsidRPr="00C60AD1">
        <w:rPr>
          <w:b/>
          <w:snapToGrid w:val="0"/>
        </w:rPr>
        <w:t>2.</w:t>
      </w:r>
      <w:r w:rsidRPr="00C60AD1">
        <w:rPr>
          <w:b/>
          <w:snapToGrid w:val="0"/>
        </w:rPr>
        <w:tab/>
      </w:r>
      <w:r w:rsidRPr="00C60AD1">
        <w:rPr>
          <w:rFonts w:cs="Arial"/>
          <w:b/>
        </w:rPr>
        <w:t>CHARACTER OF SERVICE AND POINT OF SUPPLY:</w:t>
      </w:r>
    </w:p>
    <w:p w:rsidR="006349D7" w:rsidRPr="00C60AD1" w:rsidRDefault="006349D7" w:rsidP="006349D7">
      <w:pPr>
        <w:tabs>
          <w:tab w:val="left" w:pos="360"/>
        </w:tabs>
        <w:spacing w:before="100"/>
        <w:ind w:left="360" w:right="11"/>
      </w:pPr>
      <w:r w:rsidRPr="00C60AD1">
        <w:t>Alternating Current, single phase, two phase or three phase, 50 cycles, 132 kV or below depending on the availability of voltage of supply and the sole discretion of the Licensee. The supply at each sub-station shall be separately metered and charged.</w:t>
      </w:r>
    </w:p>
    <w:p w:rsidR="006349D7" w:rsidRPr="00C60AD1" w:rsidRDefault="006349D7" w:rsidP="006349D7"/>
    <w:p w:rsidR="006349D7" w:rsidRPr="00C60AD1" w:rsidRDefault="006349D7" w:rsidP="006349D7">
      <w:pPr>
        <w:rPr>
          <w:b/>
        </w:rPr>
      </w:pPr>
      <w:r w:rsidRPr="00C60AD1">
        <w:rPr>
          <w:b/>
        </w:rPr>
        <w:t>3.   RATE:</w:t>
      </w:r>
    </w:p>
    <w:p w:rsidR="006349D7" w:rsidRPr="00C60AD1" w:rsidRDefault="006349D7" w:rsidP="006349D7">
      <w:pPr>
        <w:spacing w:before="100" w:beforeAutospacing="1" w:after="240"/>
        <w:ind w:left="360" w:right="14"/>
      </w:pPr>
      <w:r w:rsidRPr="00C60AD1">
        <w:t>Rate, gives the energy charges at which the consumer shall be billed for consumption during the billing period applicable to the category:</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3382"/>
      </w:tblGrid>
      <w:tr w:rsidR="006349D7" w:rsidRPr="00C60AD1" w:rsidTr="00BB5A5A">
        <w:trPr>
          <w:jc w:val="center"/>
        </w:trPr>
        <w:tc>
          <w:tcPr>
            <w:tcW w:w="0" w:type="auto"/>
          </w:tcPr>
          <w:p w:rsidR="006349D7" w:rsidRPr="00C60AD1" w:rsidRDefault="006349D7" w:rsidP="00BB5A5A">
            <w:pPr>
              <w:spacing w:line="240" w:lineRule="auto"/>
              <w:rPr>
                <w:b/>
              </w:rPr>
            </w:pPr>
            <w:r w:rsidRPr="00C60AD1">
              <w:rPr>
                <w:b/>
              </w:rPr>
              <w:t>Demand Charges</w:t>
            </w:r>
          </w:p>
        </w:tc>
        <w:tc>
          <w:tcPr>
            <w:tcW w:w="0" w:type="auto"/>
          </w:tcPr>
          <w:p w:rsidR="006349D7" w:rsidRPr="00C60AD1" w:rsidRDefault="006349D7" w:rsidP="00BB5A5A">
            <w:pPr>
              <w:pStyle w:val="BodyText"/>
              <w:spacing w:line="240" w:lineRule="auto"/>
              <w:ind w:left="720"/>
            </w:pPr>
            <w:r w:rsidRPr="00C60AD1">
              <w:t xml:space="preserve">Rs. </w:t>
            </w:r>
            <w:r w:rsidRPr="00C60AD1">
              <w:rPr>
                <w:rFonts w:cs="Arial"/>
              </w:rPr>
              <w:t>12</w:t>
            </w:r>
            <w:r w:rsidRPr="00C60AD1">
              <w:t>5.00 / kVA / month</w:t>
            </w:r>
          </w:p>
        </w:tc>
      </w:tr>
      <w:tr w:rsidR="006349D7" w:rsidRPr="00C60AD1" w:rsidTr="00BB5A5A">
        <w:trPr>
          <w:jc w:val="center"/>
        </w:trPr>
        <w:tc>
          <w:tcPr>
            <w:tcW w:w="0" w:type="auto"/>
          </w:tcPr>
          <w:p w:rsidR="006349D7" w:rsidRPr="00C60AD1" w:rsidRDefault="006349D7" w:rsidP="00BB5A5A">
            <w:pPr>
              <w:spacing w:line="240" w:lineRule="auto"/>
              <w:rPr>
                <w:b/>
              </w:rPr>
            </w:pPr>
            <w:r w:rsidRPr="00C60AD1">
              <w:rPr>
                <w:b/>
              </w:rPr>
              <w:t>Energy Charges</w:t>
            </w:r>
            <w:r w:rsidRPr="00C60AD1">
              <w:rPr>
                <w:b/>
              </w:rPr>
              <w:tab/>
              <w:t xml:space="preserve">                   </w:t>
            </w:r>
          </w:p>
        </w:tc>
        <w:tc>
          <w:tcPr>
            <w:tcW w:w="0" w:type="auto"/>
          </w:tcPr>
          <w:p w:rsidR="006349D7" w:rsidRPr="00C60AD1" w:rsidRDefault="006349D7" w:rsidP="00BB5A5A">
            <w:pPr>
              <w:pStyle w:val="BodyText"/>
              <w:spacing w:line="240" w:lineRule="auto"/>
              <w:ind w:left="720"/>
              <w:rPr>
                <w:lang w:val="en-US"/>
              </w:rPr>
            </w:pPr>
            <w:r w:rsidRPr="00C60AD1">
              <w:t>Rs. 5.</w:t>
            </w:r>
            <w:r w:rsidRPr="00C60AD1">
              <w:rPr>
                <w:rFonts w:cs="Arial"/>
              </w:rPr>
              <w:t>60</w:t>
            </w:r>
            <w:r w:rsidRPr="00C60AD1">
              <w:t xml:space="preserve"> / kVAh</w:t>
            </w:r>
          </w:p>
        </w:tc>
      </w:tr>
    </w:tbl>
    <w:p w:rsidR="006349D7" w:rsidRPr="00C60AD1" w:rsidRDefault="006349D7" w:rsidP="006349D7">
      <w:pPr>
        <w:rPr>
          <w:i/>
          <w:sz w:val="22"/>
        </w:rPr>
      </w:pPr>
      <w:r w:rsidRPr="000873E5">
        <w:rPr>
          <w:b/>
          <w:i/>
          <w:sz w:val="22"/>
        </w:rPr>
        <w:t>Note:</w:t>
      </w:r>
      <w:r w:rsidRPr="000873E5">
        <w:rPr>
          <w:i/>
          <w:sz w:val="22"/>
        </w:rPr>
        <w:t xml:space="preserve"> Minimum bill payable by a consumer under this category shall be Rs. 600 / kVA / month.</w:t>
      </w:r>
    </w:p>
    <w:p w:rsidR="006349D7" w:rsidRPr="00C60AD1" w:rsidRDefault="006349D7" w:rsidP="006349D7"/>
    <w:p w:rsidR="006349D7" w:rsidRPr="00332FD1" w:rsidRDefault="006349D7" w:rsidP="006349D7">
      <w:pPr>
        <w:numPr>
          <w:ilvl w:val="0"/>
          <w:numId w:val="36"/>
        </w:numPr>
        <w:spacing w:before="0"/>
        <w:ind w:right="11"/>
        <w:jc w:val="left"/>
        <w:rPr>
          <w:b/>
        </w:rPr>
      </w:pPr>
      <w:r w:rsidRPr="00C60AD1">
        <w:t>Penalty @ Rs. 540 / kVA will be charged on excess demand, if demand exceeds contracted load.</w:t>
      </w:r>
      <w:r w:rsidRPr="00C60AD1" w:rsidDel="0048717E">
        <w:t xml:space="preserve"> </w:t>
      </w:r>
    </w:p>
    <w:p w:rsidR="006349D7" w:rsidRDefault="006349D7" w:rsidP="006349D7">
      <w:pPr>
        <w:ind w:left="765" w:right="11"/>
        <w:jc w:val="left"/>
        <w:rPr>
          <w:b/>
        </w:rPr>
      </w:pPr>
    </w:p>
    <w:p w:rsidR="006349D7" w:rsidRPr="00C60AD1" w:rsidRDefault="006349D7" w:rsidP="006349D7">
      <w:pPr>
        <w:spacing w:before="100"/>
        <w:ind w:right="29"/>
        <w:rPr>
          <w:b/>
        </w:rPr>
      </w:pPr>
      <w:r w:rsidRPr="00C60AD1">
        <w:rPr>
          <w:b/>
        </w:rPr>
        <w:t xml:space="preserve">4.    DETERMINATION OF THE DEMAND: </w:t>
      </w:r>
    </w:p>
    <w:p w:rsidR="006349D7" w:rsidRPr="00C60AD1" w:rsidRDefault="006349D7" w:rsidP="006349D7">
      <w:pPr>
        <w:pStyle w:val="BodyText"/>
        <w:tabs>
          <w:tab w:val="left" w:pos="360"/>
          <w:tab w:val="left" w:pos="450"/>
        </w:tabs>
        <w:spacing w:line="288" w:lineRule="auto"/>
        <w:ind w:left="450" w:right="11"/>
      </w:pPr>
      <w:r w:rsidRPr="00C60AD1">
        <w:t>Demand measurement shall be made by suitable kilovolt ampere indicator at the point of delivery. The demand for any month shall be defined as the highest average load measured in Kilo Volt</w:t>
      </w:r>
      <w:r>
        <w:t xml:space="preserve"> </w:t>
      </w:r>
      <w:r w:rsidRPr="00C60AD1">
        <w:t>Amperes during any fifteen consecutive minutes period of the month.</w:t>
      </w:r>
    </w:p>
    <w:p w:rsidR="006349D7" w:rsidRDefault="006349D7" w:rsidP="006349D7">
      <w:pPr>
        <w:ind w:right="11"/>
        <w:jc w:val="center"/>
        <w:rPr>
          <w:b/>
          <w:bCs/>
          <w:u w:val="single"/>
        </w:rPr>
      </w:pPr>
      <w:r w:rsidRPr="00C60AD1">
        <w:br w:type="page"/>
      </w:r>
      <w:r w:rsidRPr="00C60AD1">
        <w:rPr>
          <w:b/>
          <w:bCs/>
          <w:u w:val="single"/>
        </w:rPr>
        <w:lastRenderedPageBreak/>
        <w:t>RATE SCHEDULE HV – 4:</w:t>
      </w:r>
    </w:p>
    <w:p w:rsidR="006349D7" w:rsidRPr="00C60AD1" w:rsidRDefault="006349D7" w:rsidP="006349D7">
      <w:pPr>
        <w:spacing w:before="0"/>
        <w:ind w:right="11"/>
        <w:jc w:val="center"/>
        <w:rPr>
          <w:b/>
          <w:bCs/>
          <w:u w:val="single"/>
        </w:rPr>
      </w:pPr>
    </w:p>
    <w:p w:rsidR="006349D7" w:rsidRPr="00C60AD1" w:rsidRDefault="006349D7" w:rsidP="006349D7">
      <w:pPr>
        <w:spacing w:before="100" w:beforeAutospacing="1"/>
        <w:ind w:right="29"/>
        <w:jc w:val="center"/>
        <w:rPr>
          <w:rFonts w:cs="Arial"/>
          <w:b/>
        </w:rPr>
      </w:pPr>
      <w:r w:rsidRPr="00C60AD1">
        <w:rPr>
          <w:rFonts w:cs="Arial"/>
          <w:b/>
        </w:rPr>
        <w:t>LIFT IRRIGATION WORKS:</w:t>
      </w:r>
    </w:p>
    <w:p w:rsidR="006349D7" w:rsidRDefault="006349D7" w:rsidP="00EC6AAC">
      <w:pPr>
        <w:numPr>
          <w:ilvl w:val="0"/>
          <w:numId w:val="43"/>
        </w:numPr>
        <w:spacing w:before="100" w:beforeAutospacing="1" w:line="288" w:lineRule="auto"/>
        <w:ind w:right="29"/>
        <w:rPr>
          <w:rFonts w:cs="Arial"/>
          <w:b/>
        </w:rPr>
      </w:pPr>
      <w:r w:rsidRPr="00C60AD1">
        <w:rPr>
          <w:rFonts w:cs="Arial"/>
          <w:b/>
        </w:rPr>
        <w:t>APPLICABILITY:</w:t>
      </w:r>
    </w:p>
    <w:p w:rsidR="006349D7" w:rsidRPr="00C60AD1" w:rsidRDefault="006349D7" w:rsidP="006349D7">
      <w:pPr>
        <w:tabs>
          <w:tab w:val="left" w:pos="360"/>
        </w:tabs>
        <w:ind w:left="360" w:right="29"/>
        <w:rPr>
          <w:rFonts w:cs="Arial"/>
        </w:rPr>
      </w:pPr>
      <w:r w:rsidRPr="00C60AD1">
        <w:rPr>
          <w:rFonts w:cs="Arial"/>
        </w:rPr>
        <w:t>This Rate Schedule shall apply to medium and large pumped canals having load of more than 100 BHP (75kW).</w:t>
      </w:r>
    </w:p>
    <w:p w:rsidR="006349D7" w:rsidRPr="00C60AD1" w:rsidRDefault="006349D7" w:rsidP="006349D7">
      <w:pPr>
        <w:tabs>
          <w:tab w:val="left" w:pos="360"/>
        </w:tabs>
        <w:ind w:left="360" w:right="29"/>
        <w:rPr>
          <w:rFonts w:cs="Arial"/>
        </w:rPr>
      </w:pPr>
      <w:r w:rsidRPr="00C60AD1">
        <w:rPr>
          <w:rFonts w:cs="Arial"/>
        </w:rPr>
        <w:tab/>
      </w:r>
    </w:p>
    <w:p w:rsidR="006349D7" w:rsidRDefault="006349D7" w:rsidP="00EC6AAC">
      <w:pPr>
        <w:numPr>
          <w:ilvl w:val="0"/>
          <w:numId w:val="43"/>
        </w:numPr>
        <w:tabs>
          <w:tab w:val="clear" w:pos="360"/>
          <w:tab w:val="num" w:pos="450"/>
        </w:tabs>
        <w:spacing w:before="60" w:after="100" w:line="288" w:lineRule="auto"/>
        <w:ind w:left="720" w:right="28" w:hanging="720"/>
        <w:rPr>
          <w:b/>
        </w:rPr>
      </w:pPr>
      <w:r w:rsidRPr="00C60AD1">
        <w:rPr>
          <w:b/>
        </w:rPr>
        <w:t>CHARACTER OF SERVICE &amp; POINT OF SUPPLY:</w:t>
      </w:r>
    </w:p>
    <w:p w:rsidR="006349D7" w:rsidRPr="00C60AD1" w:rsidRDefault="006349D7" w:rsidP="006349D7">
      <w:pPr>
        <w:spacing w:before="100" w:after="100"/>
        <w:ind w:left="360" w:right="29"/>
      </w:pPr>
      <w:r w:rsidRPr="00C60AD1">
        <w:t>As per applicable provisions of Electricity Supply Code.</w:t>
      </w:r>
    </w:p>
    <w:p w:rsidR="006349D7" w:rsidRDefault="006349D7" w:rsidP="006349D7">
      <w:pPr>
        <w:spacing w:before="0"/>
        <w:ind w:left="357" w:right="28"/>
      </w:pPr>
    </w:p>
    <w:p w:rsidR="006349D7" w:rsidRDefault="006349D7" w:rsidP="00EC6AAC">
      <w:pPr>
        <w:numPr>
          <w:ilvl w:val="0"/>
          <w:numId w:val="43"/>
        </w:numPr>
        <w:spacing w:before="60" w:after="100" w:afterAutospacing="1" w:line="288" w:lineRule="auto"/>
        <w:ind w:left="357" w:right="28" w:hanging="357"/>
        <w:rPr>
          <w:rFonts w:cs="Arial"/>
          <w:b/>
        </w:rPr>
      </w:pPr>
      <w:r w:rsidRPr="00C60AD1">
        <w:rPr>
          <w:rFonts w:cs="Arial"/>
          <w:b/>
        </w:rPr>
        <w:t xml:space="preserve">RATE: </w:t>
      </w:r>
    </w:p>
    <w:p w:rsidR="006349D7" w:rsidRPr="00C60AD1" w:rsidRDefault="006349D7" w:rsidP="006349D7">
      <w:pPr>
        <w:spacing w:before="100" w:beforeAutospacing="1" w:after="100" w:afterAutospacing="1"/>
        <w:ind w:left="360" w:right="29"/>
      </w:pPr>
      <w:r w:rsidRPr="00C60AD1">
        <w:t xml:space="preserve">Rate, gives the demand and energy charges at which the consumer shall be billed for his consumption during the billing period applicable to the category: </w:t>
      </w:r>
    </w:p>
    <w:p w:rsidR="006349D7" w:rsidRPr="00C60AD1" w:rsidRDefault="006349D7" w:rsidP="006349D7">
      <w:pPr>
        <w:ind w:left="360" w:right="29"/>
        <w:rPr>
          <w:rFonts w:cs="Arial"/>
          <w:b/>
        </w:rPr>
      </w:pPr>
      <w:r w:rsidRPr="00C60AD1">
        <w:rPr>
          <w:rFonts w:cs="Arial"/>
          <w:b/>
        </w:rPr>
        <w:t>(a)</w:t>
      </w:r>
      <w:r w:rsidRPr="00C60AD1">
        <w:rPr>
          <w:rFonts w:cs="Arial"/>
          <w:b/>
        </w:rPr>
        <w:tab/>
        <w:t>Demand Charges:</w:t>
      </w:r>
    </w:p>
    <w:tbl>
      <w:tblPr>
        <w:tblpPr w:leftFromText="180" w:rightFromText="180" w:vertAnchor="text" w:horzAnchor="margin" w:tblpXSpec="center" w:tblpY="16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6349D7" w:rsidRPr="00C60AD1" w:rsidTr="00BB5A5A">
        <w:trPr>
          <w:trHeight w:val="225"/>
        </w:trPr>
        <w:tc>
          <w:tcPr>
            <w:tcW w:w="4230" w:type="dxa"/>
            <w:tcBorders>
              <w:bottom w:val="single" w:sz="4" w:space="0" w:color="auto"/>
            </w:tcBorders>
            <w:shd w:val="clear" w:color="auto" w:fill="DBE5F1" w:themeFill="accent1" w:themeFillTint="33"/>
          </w:tcPr>
          <w:p w:rsidR="006349D7" w:rsidRPr="00C60AD1" w:rsidRDefault="006349D7"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6349D7" w:rsidRPr="00C60AD1" w:rsidRDefault="006349D7" w:rsidP="00BB5A5A">
            <w:pPr>
              <w:pStyle w:val="BodyText"/>
              <w:spacing w:line="288" w:lineRule="auto"/>
              <w:jc w:val="center"/>
              <w:rPr>
                <w:rFonts w:cs="Arial"/>
                <w:b/>
                <w:bCs/>
              </w:rPr>
            </w:pPr>
            <w:r w:rsidRPr="00C60AD1">
              <w:rPr>
                <w:rFonts w:cs="Arial"/>
                <w:b/>
                <w:bCs/>
              </w:rPr>
              <w:t>Rate of Charge</w:t>
            </w:r>
          </w:p>
        </w:tc>
      </w:tr>
      <w:tr w:rsidR="006349D7" w:rsidRPr="00C60AD1" w:rsidTr="00BB5A5A">
        <w:trPr>
          <w:trHeight w:val="893"/>
        </w:trPr>
        <w:tc>
          <w:tcPr>
            <w:tcW w:w="4230" w:type="dxa"/>
            <w:tcBorders>
              <w:top w:val="single" w:sz="4" w:space="0" w:color="auto"/>
            </w:tcBorders>
          </w:tcPr>
          <w:p w:rsidR="006349D7" w:rsidRPr="00C60AD1" w:rsidRDefault="006349D7" w:rsidP="00BB5A5A">
            <w:pPr>
              <w:pStyle w:val="BodyText"/>
              <w:spacing w:line="288" w:lineRule="auto"/>
              <w:jc w:val="left"/>
              <w:rPr>
                <w:rFonts w:cs="Arial"/>
              </w:rPr>
            </w:pPr>
            <w:r w:rsidRPr="00C60AD1">
              <w:rPr>
                <w:rFonts w:cs="Arial"/>
              </w:rPr>
              <w:t xml:space="preserve">For supply at 11 kV </w:t>
            </w:r>
          </w:p>
          <w:p w:rsidR="006349D7" w:rsidRPr="00C60AD1" w:rsidRDefault="006349D7" w:rsidP="00BB5A5A">
            <w:pPr>
              <w:pStyle w:val="BodyText"/>
              <w:spacing w:line="288" w:lineRule="auto"/>
              <w:jc w:val="left"/>
              <w:rPr>
                <w:rFonts w:cs="Arial"/>
              </w:rPr>
            </w:pPr>
            <w:r w:rsidRPr="00C60AD1">
              <w:rPr>
                <w:rFonts w:cs="Arial"/>
              </w:rPr>
              <w:t xml:space="preserve">For supply at 33 kV and 66 kV </w:t>
            </w:r>
          </w:p>
          <w:p w:rsidR="006349D7" w:rsidRPr="00C60AD1" w:rsidRDefault="006349D7" w:rsidP="00BB5A5A">
            <w:pPr>
              <w:pStyle w:val="BodyText"/>
              <w:spacing w:line="288" w:lineRule="auto"/>
              <w:jc w:val="left"/>
              <w:rPr>
                <w:rFonts w:cs="Arial"/>
                <w:b/>
              </w:rPr>
            </w:pPr>
            <w:r w:rsidRPr="00C60AD1">
              <w:rPr>
                <w:rFonts w:cs="Arial"/>
              </w:rPr>
              <w:t>For supply at  132 kV</w:t>
            </w:r>
          </w:p>
        </w:tc>
        <w:tc>
          <w:tcPr>
            <w:tcW w:w="3078" w:type="dxa"/>
            <w:tcBorders>
              <w:top w:val="single" w:sz="4" w:space="0" w:color="auto"/>
            </w:tcBorders>
          </w:tcPr>
          <w:p w:rsidR="006349D7" w:rsidRPr="00C60AD1" w:rsidRDefault="006349D7" w:rsidP="00BB5A5A">
            <w:pPr>
              <w:pStyle w:val="BodyText"/>
              <w:spacing w:line="288" w:lineRule="auto"/>
              <w:jc w:val="center"/>
              <w:rPr>
                <w:rFonts w:cs="Arial"/>
              </w:rPr>
            </w:pPr>
            <w:r w:rsidRPr="00C60AD1">
              <w:rPr>
                <w:rFonts w:cs="Arial"/>
              </w:rPr>
              <w:t>Rs. 2</w:t>
            </w:r>
            <w:r>
              <w:t>9</w:t>
            </w:r>
            <w:r w:rsidRPr="00C60AD1">
              <w:t xml:space="preserve">0.00 </w:t>
            </w:r>
            <w:r w:rsidRPr="00C60AD1">
              <w:rPr>
                <w:rFonts w:cs="Arial"/>
              </w:rPr>
              <w:t>/ kVA / month</w:t>
            </w:r>
          </w:p>
          <w:p w:rsidR="006349D7" w:rsidRPr="00C60AD1" w:rsidRDefault="006349D7" w:rsidP="00BB5A5A">
            <w:pPr>
              <w:pStyle w:val="BodyText"/>
              <w:spacing w:line="288" w:lineRule="auto"/>
              <w:jc w:val="center"/>
              <w:rPr>
                <w:rFonts w:cs="Arial"/>
              </w:rPr>
            </w:pPr>
            <w:r w:rsidRPr="00C60AD1">
              <w:rPr>
                <w:rFonts w:cs="Arial"/>
              </w:rPr>
              <w:t>Rs. 2</w:t>
            </w:r>
            <w:r>
              <w:rPr>
                <w:rFonts w:cs="Arial"/>
              </w:rPr>
              <w:t>8</w:t>
            </w:r>
            <w:r w:rsidRPr="00C60AD1">
              <w:rPr>
                <w:rFonts w:cs="Arial"/>
              </w:rPr>
              <w:t>0.00 / kVA / month</w:t>
            </w:r>
          </w:p>
          <w:p w:rsidR="006349D7" w:rsidRPr="00C60AD1" w:rsidRDefault="006349D7" w:rsidP="00BB5A5A">
            <w:pPr>
              <w:pStyle w:val="BodyText"/>
              <w:spacing w:line="288" w:lineRule="auto"/>
              <w:jc w:val="center"/>
              <w:rPr>
                <w:rFonts w:cs="Arial"/>
              </w:rPr>
            </w:pPr>
            <w:r w:rsidRPr="00C60AD1">
              <w:rPr>
                <w:rFonts w:cs="Arial"/>
              </w:rPr>
              <w:t>Rs.  2</w:t>
            </w:r>
            <w:r>
              <w:rPr>
                <w:rFonts w:cs="Arial"/>
              </w:rPr>
              <w:t>7</w:t>
            </w:r>
            <w:r w:rsidRPr="00C60AD1">
              <w:rPr>
                <w:rFonts w:cs="Arial"/>
              </w:rPr>
              <w:t>0.00 / kVA / month</w:t>
            </w:r>
          </w:p>
        </w:tc>
      </w:tr>
    </w:tbl>
    <w:p w:rsidR="006349D7" w:rsidRPr="00C60AD1" w:rsidRDefault="006349D7" w:rsidP="006349D7">
      <w:pPr>
        <w:pStyle w:val="BodyText"/>
        <w:spacing w:line="288" w:lineRule="auto"/>
        <w:jc w:val="left"/>
      </w:pPr>
      <w:r w:rsidRPr="00C60AD1">
        <w:tab/>
      </w:r>
    </w:p>
    <w:p w:rsidR="006349D7" w:rsidRPr="00C60AD1" w:rsidRDefault="006349D7" w:rsidP="006349D7">
      <w:pPr>
        <w:pStyle w:val="BodyText"/>
        <w:spacing w:before="100" w:beforeAutospacing="1" w:after="100" w:afterAutospacing="1" w:line="288" w:lineRule="auto"/>
        <w:ind w:left="720" w:hanging="360"/>
        <w:jc w:val="left"/>
        <w:rPr>
          <w:b/>
        </w:rPr>
      </w:pPr>
    </w:p>
    <w:p w:rsidR="006349D7" w:rsidRPr="00C60AD1" w:rsidRDefault="006349D7" w:rsidP="006349D7">
      <w:pPr>
        <w:pStyle w:val="BodyText"/>
        <w:spacing w:before="100" w:beforeAutospacing="1" w:after="100" w:afterAutospacing="1" w:line="288" w:lineRule="auto"/>
        <w:ind w:left="720" w:hanging="360"/>
        <w:jc w:val="left"/>
        <w:rPr>
          <w:b/>
        </w:rPr>
      </w:pPr>
    </w:p>
    <w:p w:rsidR="006349D7" w:rsidRPr="00C60AD1" w:rsidRDefault="006349D7" w:rsidP="00EC6AAC">
      <w:pPr>
        <w:pStyle w:val="BodyText"/>
        <w:numPr>
          <w:ilvl w:val="0"/>
          <w:numId w:val="46"/>
        </w:numPr>
        <w:spacing w:before="100" w:beforeAutospacing="1" w:line="288" w:lineRule="auto"/>
        <w:ind w:left="714" w:hanging="357"/>
        <w:jc w:val="left"/>
      </w:pPr>
      <w:r w:rsidRPr="00C60AD1">
        <w:rPr>
          <w:b/>
        </w:rPr>
        <w:t>Energy Charges</w:t>
      </w:r>
      <w:r w:rsidRPr="00C60AD1">
        <w:t>:</w:t>
      </w:r>
    </w:p>
    <w:tbl>
      <w:tblPr>
        <w:tblpPr w:leftFromText="180" w:rightFromText="180" w:vertAnchor="text" w:horzAnchor="margin" w:tblpXSpec="center" w:tblpY="9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230"/>
        <w:gridCol w:w="3078"/>
      </w:tblGrid>
      <w:tr w:rsidR="006349D7" w:rsidRPr="00C60AD1" w:rsidTr="00BB5A5A">
        <w:trPr>
          <w:trHeight w:val="252"/>
        </w:trPr>
        <w:tc>
          <w:tcPr>
            <w:tcW w:w="4230" w:type="dxa"/>
            <w:tcBorders>
              <w:bottom w:val="single" w:sz="4" w:space="0" w:color="auto"/>
            </w:tcBorders>
            <w:shd w:val="clear" w:color="auto" w:fill="DBE5F1" w:themeFill="accent1" w:themeFillTint="33"/>
          </w:tcPr>
          <w:p w:rsidR="006349D7" w:rsidRPr="00C60AD1" w:rsidRDefault="006349D7" w:rsidP="00BB5A5A">
            <w:pPr>
              <w:pStyle w:val="BodyText"/>
              <w:spacing w:line="288" w:lineRule="auto"/>
              <w:jc w:val="center"/>
              <w:rPr>
                <w:rFonts w:cs="Arial"/>
                <w:b/>
                <w:bCs/>
              </w:rPr>
            </w:pPr>
            <w:r w:rsidRPr="00C60AD1">
              <w:rPr>
                <w:rFonts w:cs="Arial"/>
                <w:b/>
                <w:bCs/>
              </w:rPr>
              <w:t>Voltage Level</w:t>
            </w:r>
          </w:p>
        </w:tc>
        <w:tc>
          <w:tcPr>
            <w:tcW w:w="3078" w:type="dxa"/>
            <w:tcBorders>
              <w:bottom w:val="single" w:sz="4" w:space="0" w:color="auto"/>
            </w:tcBorders>
            <w:shd w:val="clear" w:color="auto" w:fill="DBE5F1" w:themeFill="accent1" w:themeFillTint="33"/>
          </w:tcPr>
          <w:p w:rsidR="006349D7" w:rsidRPr="00C60AD1" w:rsidRDefault="006349D7" w:rsidP="00BB5A5A">
            <w:pPr>
              <w:pStyle w:val="BodyText"/>
              <w:spacing w:line="288" w:lineRule="auto"/>
              <w:jc w:val="center"/>
              <w:rPr>
                <w:rFonts w:cs="Arial"/>
                <w:b/>
                <w:bCs/>
              </w:rPr>
            </w:pPr>
            <w:r w:rsidRPr="00C60AD1">
              <w:rPr>
                <w:rFonts w:cs="Arial"/>
                <w:b/>
                <w:bCs/>
              </w:rPr>
              <w:t>Rate of Charge</w:t>
            </w:r>
          </w:p>
        </w:tc>
      </w:tr>
      <w:tr w:rsidR="006349D7" w:rsidRPr="00C60AD1" w:rsidTr="00BB5A5A">
        <w:trPr>
          <w:trHeight w:val="887"/>
        </w:trPr>
        <w:tc>
          <w:tcPr>
            <w:tcW w:w="4230" w:type="dxa"/>
            <w:tcBorders>
              <w:top w:val="single" w:sz="4" w:space="0" w:color="auto"/>
              <w:bottom w:val="single" w:sz="4" w:space="0" w:color="auto"/>
            </w:tcBorders>
          </w:tcPr>
          <w:p w:rsidR="006349D7" w:rsidRPr="00C60AD1" w:rsidRDefault="006349D7" w:rsidP="00BB5A5A">
            <w:pPr>
              <w:pStyle w:val="BodyText"/>
              <w:spacing w:line="288" w:lineRule="auto"/>
              <w:jc w:val="left"/>
              <w:rPr>
                <w:rFonts w:cs="Arial"/>
              </w:rPr>
            </w:pPr>
            <w:r w:rsidRPr="00C60AD1">
              <w:rPr>
                <w:rFonts w:cs="Arial"/>
              </w:rPr>
              <w:t xml:space="preserve">For supply at 11 kV </w:t>
            </w:r>
          </w:p>
          <w:p w:rsidR="006349D7" w:rsidRPr="00C60AD1" w:rsidRDefault="006349D7" w:rsidP="00BB5A5A">
            <w:pPr>
              <w:pStyle w:val="BodyText"/>
              <w:spacing w:line="288" w:lineRule="auto"/>
              <w:jc w:val="left"/>
              <w:rPr>
                <w:rFonts w:cs="Arial"/>
              </w:rPr>
            </w:pPr>
            <w:r w:rsidRPr="00C60AD1">
              <w:rPr>
                <w:rFonts w:cs="Arial"/>
              </w:rPr>
              <w:t xml:space="preserve">For supply at 33 kV and 66 kV </w:t>
            </w:r>
          </w:p>
          <w:p w:rsidR="006349D7" w:rsidRPr="00C60AD1" w:rsidRDefault="006349D7" w:rsidP="00BB5A5A">
            <w:pPr>
              <w:pStyle w:val="BodyText"/>
              <w:spacing w:line="288" w:lineRule="auto"/>
              <w:jc w:val="left"/>
              <w:rPr>
                <w:rFonts w:cs="Arial"/>
              </w:rPr>
            </w:pPr>
            <w:r w:rsidRPr="00C60AD1">
              <w:rPr>
                <w:rFonts w:cs="Arial"/>
              </w:rPr>
              <w:t>For supply at 132 kV</w:t>
            </w:r>
          </w:p>
        </w:tc>
        <w:tc>
          <w:tcPr>
            <w:tcW w:w="3078" w:type="dxa"/>
            <w:tcBorders>
              <w:top w:val="single" w:sz="4" w:space="0" w:color="auto"/>
              <w:bottom w:val="single" w:sz="4" w:space="0" w:color="auto"/>
            </w:tcBorders>
          </w:tcPr>
          <w:p w:rsidR="006349D7" w:rsidRPr="00C60AD1" w:rsidRDefault="006349D7" w:rsidP="00BB5A5A">
            <w:pPr>
              <w:pStyle w:val="BodyText"/>
              <w:spacing w:line="288" w:lineRule="auto"/>
              <w:jc w:val="center"/>
              <w:rPr>
                <w:rFonts w:cs="Arial"/>
                <w:lang w:val="sv-SE"/>
              </w:rPr>
            </w:pPr>
            <w:r w:rsidRPr="00C60AD1">
              <w:rPr>
                <w:rFonts w:cs="Arial"/>
                <w:lang w:val="sv-SE"/>
              </w:rPr>
              <w:t xml:space="preserve">Rs. </w:t>
            </w:r>
            <w:r>
              <w:rPr>
                <w:rFonts w:cs="Arial"/>
                <w:lang w:val="sv-SE"/>
              </w:rPr>
              <w:t>7.40</w:t>
            </w:r>
            <w:r w:rsidRPr="00C60AD1">
              <w:rPr>
                <w:rFonts w:cs="Arial"/>
                <w:lang w:val="sv-SE"/>
              </w:rPr>
              <w:t xml:space="preserve"> / kVAh</w:t>
            </w:r>
          </w:p>
          <w:p w:rsidR="006349D7" w:rsidRPr="00C60AD1" w:rsidRDefault="006349D7" w:rsidP="00BB5A5A">
            <w:pPr>
              <w:pStyle w:val="BodyText"/>
              <w:spacing w:line="288" w:lineRule="auto"/>
              <w:jc w:val="center"/>
              <w:rPr>
                <w:rFonts w:cs="Arial"/>
                <w:lang w:val="sv-SE"/>
              </w:rPr>
            </w:pPr>
            <w:r w:rsidRPr="00C60AD1">
              <w:rPr>
                <w:rFonts w:cs="Arial"/>
                <w:lang w:val="sv-SE"/>
              </w:rPr>
              <w:t xml:space="preserve">Rs. </w:t>
            </w:r>
            <w:r>
              <w:rPr>
                <w:rFonts w:cs="Arial"/>
              </w:rPr>
              <w:t>7.25</w:t>
            </w:r>
            <w:r w:rsidRPr="00C60AD1">
              <w:rPr>
                <w:rFonts w:cs="Arial"/>
                <w:lang w:val="sv-SE"/>
              </w:rPr>
              <w:t xml:space="preserve"> / kVAh</w:t>
            </w:r>
          </w:p>
          <w:p w:rsidR="006349D7" w:rsidRPr="00C60AD1" w:rsidRDefault="006349D7" w:rsidP="00BB5A5A">
            <w:pPr>
              <w:pStyle w:val="BodyText"/>
              <w:spacing w:line="288" w:lineRule="auto"/>
              <w:jc w:val="center"/>
              <w:rPr>
                <w:rFonts w:cs="Arial"/>
                <w:lang w:val="sv-SE"/>
              </w:rPr>
            </w:pPr>
            <w:r w:rsidRPr="00C60AD1">
              <w:rPr>
                <w:rFonts w:cs="Arial"/>
                <w:lang w:val="sv-SE"/>
              </w:rPr>
              <w:t xml:space="preserve">Rs. </w:t>
            </w:r>
            <w:r>
              <w:rPr>
                <w:rFonts w:cs="Arial"/>
                <w:lang w:val="sv-SE"/>
              </w:rPr>
              <w:t>7.05</w:t>
            </w:r>
            <w:r w:rsidRPr="00C60AD1">
              <w:rPr>
                <w:rFonts w:cs="Arial"/>
                <w:lang w:val="sv-SE"/>
              </w:rPr>
              <w:t xml:space="preserve"> / kVAh</w:t>
            </w:r>
          </w:p>
        </w:tc>
      </w:tr>
    </w:tbl>
    <w:p w:rsidR="006349D7" w:rsidRPr="00C60AD1" w:rsidRDefault="006349D7" w:rsidP="006349D7">
      <w:pPr>
        <w:pStyle w:val="BodyText"/>
        <w:spacing w:before="100" w:beforeAutospacing="1" w:after="100" w:afterAutospacing="1" w:line="288" w:lineRule="auto"/>
        <w:jc w:val="left"/>
        <w:rPr>
          <w:lang w:val="sv-SE"/>
        </w:rPr>
      </w:pPr>
    </w:p>
    <w:p w:rsidR="006349D7" w:rsidRPr="00C60AD1" w:rsidRDefault="006349D7" w:rsidP="006349D7">
      <w:pPr>
        <w:pStyle w:val="BodyText"/>
        <w:spacing w:before="100" w:beforeAutospacing="1" w:after="100" w:afterAutospacing="1" w:line="288" w:lineRule="auto"/>
        <w:jc w:val="left"/>
        <w:rPr>
          <w:lang w:val="sv-SE"/>
        </w:rPr>
      </w:pPr>
    </w:p>
    <w:p w:rsidR="006349D7" w:rsidRPr="00C60AD1" w:rsidRDefault="006349D7" w:rsidP="006349D7">
      <w:pPr>
        <w:ind w:left="720" w:hanging="360"/>
        <w:rPr>
          <w:rFonts w:cs="Arial"/>
          <w:b/>
          <w:lang w:val="sv-SE"/>
        </w:rPr>
      </w:pPr>
    </w:p>
    <w:p w:rsidR="006349D7" w:rsidRDefault="006349D7" w:rsidP="006349D7">
      <w:pPr>
        <w:ind w:left="360"/>
        <w:jc w:val="left"/>
        <w:rPr>
          <w:rFonts w:cs="Arial"/>
          <w:b/>
          <w:lang w:val="sv-SE"/>
        </w:rPr>
      </w:pPr>
    </w:p>
    <w:p w:rsidR="006349D7" w:rsidRPr="00C60AD1" w:rsidRDefault="006349D7" w:rsidP="006349D7">
      <w:pPr>
        <w:ind w:left="360"/>
      </w:pPr>
    </w:p>
    <w:p w:rsidR="006349D7" w:rsidRPr="00C60AD1" w:rsidRDefault="006349D7" w:rsidP="00EC6AAC">
      <w:pPr>
        <w:pStyle w:val="ListParagraph"/>
        <w:numPr>
          <w:ilvl w:val="0"/>
          <w:numId w:val="45"/>
        </w:numPr>
        <w:spacing w:before="0" w:line="240" w:lineRule="auto"/>
        <w:jc w:val="left"/>
        <w:rPr>
          <w:b/>
        </w:rPr>
      </w:pPr>
      <w:r w:rsidRPr="00C60AD1">
        <w:rPr>
          <w:b/>
        </w:rPr>
        <w:t>Minimum Charges:</w:t>
      </w:r>
    </w:p>
    <w:p w:rsidR="006349D7" w:rsidRDefault="006349D7" w:rsidP="006349D7">
      <w:pPr>
        <w:pStyle w:val="ListParagraph"/>
        <w:spacing w:line="240" w:lineRule="auto"/>
        <w:jc w:val="left"/>
      </w:pPr>
      <w:r w:rsidRPr="00C60AD1">
        <w:lastRenderedPageBreak/>
        <w:t>Minimum bill payable by a consumer under this category shall be Rs. 800.00 / kVA / month irrespective of supply voltage</w:t>
      </w:r>
    </w:p>
    <w:p w:rsidR="006349D7" w:rsidRDefault="006349D7" w:rsidP="006349D7">
      <w:pPr>
        <w:pStyle w:val="ListParagraph"/>
        <w:spacing w:after="240" w:line="240" w:lineRule="auto"/>
        <w:jc w:val="left"/>
        <w:rPr>
          <w:b/>
        </w:rPr>
      </w:pPr>
    </w:p>
    <w:p w:rsidR="006349D7" w:rsidRPr="00C60AD1" w:rsidRDefault="006349D7" w:rsidP="006349D7">
      <w:pPr>
        <w:tabs>
          <w:tab w:val="left" w:pos="360"/>
          <w:tab w:val="left" w:pos="900"/>
        </w:tabs>
        <w:spacing w:before="100" w:after="100"/>
        <w:ind w:right="29"/>
        <w:rPr>
          <w:b/>
        </w:rPr>
      </w:pPr>
      <w:r w:rsidRPr="00C60AD1">
        <w:rPr>
          <w:b/>
        </w:rPr>
        <w:t>4.</w:t>
      </w:r>
      <w:r w:rsidRPr="00C60AD1">
        <w:rPr>
          <w:b/>
        </w:rPr>
        <w:tab/>
        <w:t xml:space="preserve">DETERMINATION OF THE DEMAND: </w:t>
      </w:r>
    </w:p>
    <w:p w:rsidR="006349D7" w:rsidRPr="00C60AD1" w:rsidRDefault="006349D7" w:rsidP="006349D7">
      <w:pPr>
        <w:tabs>
          <w:tab w:val="left" w:pos="360"/>
        </w:tabs>
        <w:ind w:left="360" w:right="29"/>
      </w:pPr>
      <w:r w:rsidRPr="00C60AD1">
        <w:t xml:space="preserve">Demand measurement shall be made by suitable kilovolt ampere indicator at the point of supply. In the absence of suitable demand indicator, the demand as assessed by the Licensee shall be final and binding. If, however, the number of circuits is more than one, demand and energy measurement will be done on the principle of current transformer summation metering. </w:t>
      </w:r>
    </w:p>
    <w:p w:rsidR="006349D7" w:rsidRDefault="006349D7" w:rsidP="006349D7">
      <w:pPr>
        <w:spacing w:line="240" w:lineRule="auto"/>
        <w:jc w:val="left"/>
        <w:rPr>
          <w:b/>
          <w:u w:val="single"/>
        </w:rPr>
      </w:pPr>
    </w:p>
    <w:p w:rsidR="006349D7" w:rsidRDefault="006349D7" w:rsidP="006349D7">
      <w:pPr>
        <w:spacing w:before="0" w:line="240" w:lineRule="auto"/>
        <w:jc w:val="left"/>
        <w:rPr>
          <w:rFonts w:cs="Arial"/>
          <w:b/>
          <w:bCs/>
          <w:szCs w:val="26"/>
        </w:rPr>
      </w:pPr>
      <w:r w:rsidRPr="00C60AD1">
        <w:rPr>
          <w:b/>
        </w:rPr>
        <w:br w:type="page"/>
      </w:r>
    </w:p>
    <w:p w:rsidR="006349D7" w:rsidRPr="00C60AD1" w:rsidRDefault="006349D7" w:rsidP="006349D7">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lastRenderedPageBreak/>
        <w:t>PUBLIC LAMPS:</w:t>
      </w:r>
    </w:p>
    <w:p w:rsidR="006349D7" w:rsidRPr="00C60AD1" w:rsidRDefault="006349D7" w:rsidP="006349D7">
      <w:pPr>
        <w:rPr>
          <w:b/>
        </w:rPr>
      </w:pPr>
      <w:r w:rsidRPr="00C60AD1">
        <w:rPr>
          <w:b/>
          <w:lang w:val="fr-FR"/>
        </w:rPr>
        <w:t>1.</w:t>
      </w:r>
      <w:r w:rsidRPr="00C60AD1">
        <w:rPr>
          <w:b/>
          <w:lang w:val="fr-FR"/>
        </w:rPr>
        <w:tab/>
      </w:r>
      <w:r w:rsidRPr="00C60AD1">
        <w:rPr>
          <w:b/>
        </w:rPr>
        <w:t>MAINTENANCE CHARGE:</w:t>
      </w:r>
    </w:p>
    <w:p w:rsidR="006349D7" w:rsidRPr="00C60AD1" w:rsidRDefault="006349D7" w:rsidP="006349D7">
      <w:pPr>
        <w:spacing w:before="100"/>
        <w:ind w:left="720" w:right="29"/>
      </w:pPr>
      <w:r w:rsidRPr="00C60AD1">
        <w:t>In addition to the “Rate of Charge” mentioned above, a sum of Rs. 10.00 per light point per month will be charged for operation and maintenance of street lights. This Maintenance Charge will cover only labour charges, where all required materials are supplied by the local bodies.  However, the local bodies will have an option to operate and maintain the public lamps themselves and in such case, no maintenance charge shall be recovered. This charge shall not apply to the consumers with metered supply.</w:t>
      </w:r>
    </w:p>
    <w:p w:rsidR="006349D7" w:rsidRPr="00C60AD1" w:rsidRDefault="006349D7" w:rsidP="006349D7">
      <w:pPr>
        <w:spacing w:before="100"/>
        <w:ind w:left="720" w:right="29"/>
      </w:pPr>
      <w:r w:rsidRPr="00C60AD1">
        <w:t xml:space="preserve">     </w:t>
      </w:r>
    </w:p>
    <w:p w:rsidR="006349D7" w:rsidRPr="00C60AD1" w:rsidRDefault="006349D7" w:rsidP="006349D7">
      <w:pPr>
        <w:spacing w:before="100"/>
        <w:ind w:right="29"/>
      </w:pPr>
      <w:r w:rsidRPr="00C60AD1">
        <w:rPr>
          <w:b/>
        </w:rPr>
        <w:t xml:space="preserve">   2.</w:t>
      </w:r>
      <w:r w:rsidRPr="00C60AD1">
        <w:tab/>
      </w:r>
      <w:r w:rsidRPr="00C60AD1">
        <w:rPr>
          <w:rFonts w:cs="Arial"/>
          <w:b/>
          <w:bCs/>
          <w:iCs/>
        </w:rPr>
        <w:t>PROVISION OF LAMPS:</w:t>
      </w:r>
    </w:p>
    <w:p w:rsidR="006349D7" w:rsidRPr="00C60AD1" w:rsidRDefault="006349D7" w:rsidP="006349D7">
      <w:pPr>
        <w:tabs>
          <w:tab w:val="left" w:pos="360"/>
        </w:tabs>
        <w:spacing w:before="100"/>
        <w:ind w:left="720" w:right="29"/>
      </w:pPr>
      <w:r w:rsidRPr="00C60AD1">
        <w:t>Streets where distribution mains already exist, the Licensee will provide a separate single-phase, 2-wire system for the street lights including light fitting and incandescent lamps of rating not exceeding 100 Watts each.  In case the above maintenance charge is being levied, the labour involved in replacements or renewal of lamps shall be provided by the Licensee. However, all the required materials shall be provided by the local bodies. The cost of all other types of street light fittings shall be paid by the local bodies.</w:t>
      </w:r>
    </w:p>
    <w:p w:rsidR="006349D7" w:rsidRDefault="006349D7" w:rsidP="006349D7">
      <w:pPr>
        <w:spacing w:before="100"/>
        <w:ind w:left="720" w:right="29"/>
      </w:pPr>
      <w:r w:rsidRPr="00C60AD1">
        <w:t>The cost involved in extension of street light mains (including cost of sub -stations, if any) in areas where distribution mains of the Licensee have not been laid, will be paid for by the local bodies.</w:t>
      </w:r>
    </w:p>
    <w:p w:rsidR="006349D7" w:rsidRPr="00C60AD1" w:rsidRDefault="006349D7" w:rsidP="006349D7">
      <w:pPr>
        <w:spacing w:before="100"/>
        <w:ind w:left="720" w:right="29"/>
      </w:pPr>
    </w:p>
    <w:p w:rsidR="006349D7" w:rsidRPr="00C60AD1" w:rsidRDefault="006349D7" w:rsidP="006349D7">
      <w:pPr>
        <w:rPr>
          <w:b/>
        </w:rPr>
      </w:pPr>
      <w:r w:rsidRPr="00C60AD1">
        <w:rPr>
          <w:b/>
        </w:rPr>
        <w:t xml:space="preserve">3. </w:t>
      </w:r>
      <w:r w:rsidRPr="00C60AD1">
        <w:rPr>
          <w:b/>
        </w:rPr>
        <w:tab/>
        <w:t>VERIFICATION OF LOAD:</w:t>
      </w:r>
    </w:p>
    <w:p w:rsidR="006349D7" w:rsidRPr="00C60AD1" w:rsidRDefault="006349D7" w:rsidP="006349D7">
      <w:pPr>
        <w:tabs>
          <w:tab w:val="left" w:pos="360"/>
        </w:tabs>
        <w:spacing w:before="100"/>
        <w:ind w:left="720" w:right="29"/>
      </w:pPr>
      <w:r w:rsidRPr="00C60AD1">
        <w:t>The number of light points including that of traffic signals together with their wattage will be verified jointly by the representatives of Licensee and Town Area / Municipal Board / Corporation at least once in a year.  However, additions will be intimated by the Town Area / Municipal Board / Corporation on monthly basis.  The Licensee will carry out the checking of such statements to satisfy themselves of the correctness of the same.  The monthly bills shall be issued on the basis of verified number of points at the beginning of the year and additions, if any, during the months as intimated above. The difference, if any, detected during joint verification in the following year shall be reconciled and supplementary bills shall be issued.</w:t>
      </w:r>
    </w:p>
    <w:p w:rsidR="006349D7" w:rsidRDefault="006349D7" w:rsidP="006349D7">
      <w:pPr>
        <w:tabs>
          <w:tab w:val="left" w:pos="360"/>
        </w:tabs>
        <w:spacing w:before="60" w:after="120"/>
        <w:ind w:left="720" w:right="29"/>
      </w:pPr>
      <w:r w:rsidRPr="00C60AD1">
        <w:lastRenderedPageBreak/>
        <w:t>Further, if the authorized representative of concerned local body does not participate in the work of verification of light points, a notice will be sent by concerned Executive Engineer in writing to such local bodies for deputing representative on specific date(s), failing which the verification of the light points shall be done by the concerned representative of Licensee which shall be final and binding upon such local body.</w:t>
      </w:r>
    </w:p>
    <w:p w:rsidR="006349D7" w:rsidRPr="00C60AD1" w:rsidRDefault="006349D7" w:rsidP="006349D7">
      <w:pPr>
        <w:tabs>
          <w:tab w:val="left" w:pos="360"/>
        </w:tabs>
        <w:spacing w:before="60" w:after="120"/>
        <w:ind w:left="720" w:right="29"/>
      </w:pPr>
    </w:p>
    <w:p w:rsidR="006349D7" w:rsidRPr="00C60AD1" w:rsidRDefault="006349D7" w:rsidP="006349D7">
      <w:pPr>
        <w:pStyle w:val="Heading3"/>
        <w:numPr>
          <w:ilvl w:val="2"/>
          <w:numId w:val="5"/>
        </w:numPr>
        <w:tabs>
          <w:tab w:val="clear" w:pos="1929"/>
          <w:tab w:val="num" w:pos="720"/>
          <w:tab w:val="num" w:pos="1296"/>
          <w:tab w:val="num" w:pos="1646"/>
        </w:tabs>
        <w:spacing w:before="0"/>
        <w:ind w:left="810" w:hanging="810"/>
        <w:rPr>
          <w:rFonts w:cs="Calibri"/>
          <w:b/>
          <w:szCs w:val="24"/>
        </w:rPr>
      </w:pPr>
      <w:r w:rsidRPr="00C60AD1">
        <w:rPr>
          <w:rFonts w:cs="Calibri"/>
          <w:b/>
          <w:szCs w:val="24"/>
        </w:rPr>
        <w:t>STATE TUBE-WELLS</w:t>
      </w:r>
    </w:p>
    <w:p w:rsidR="006349D7" w:rsidRPr="00C60AD1" w:rsidRDefault="006349D7" w:rsidP="006349D7">
      <w:pPr>
        <w:tabs>
          <w:tab w:val="left" w:pos="8730"/>
        </w:tabs>
        <w:spacing w:before="100"/>
        <w:ind w:right="11"/>
        <w:jc w:val="center"/>
        <w:rPr>
          <w:b/>
          <w:u w:val="single"/>
        </w:rPr>
      </w:pPr>
      <w:r w:rsidRPr="00C60AD1">
        <w:rPr>
          <w:b/>
          <w:u w:val="single"/>
        </w:rPr>
        <w:t>NET LOAD:</w:t>
      </w:r>
    </w:p>
    <w:p w:rsidR="006349D7" w:rsidRDefault="006349D7" w:rsidP="00EC6AAC">
      <w:pPr>
        <w:numPr>
          <w:ilvl w:val="0"/>
          <w:numId w:val="52"/>
        </w:numPr>
        <w:tabs>
          <w:tab w:val="clear" w:pos="1080"/>
          <w:tab w:val="num" w:pos="720"/>
          <w:tab w:val="num" w:pos="2880"/>
        </w:tabs>
        <w:spacing w:line="288" w:lineRule="auto"/>
        <w:ind w:right="11" w:hanging="720"/>
      </w:pPr>
      <w:r w:rsidRPr="00C60AD1">
        <w:t>Net load hereinafter shall mean the total load connected during the quarter less the load of failed and abandoned tube-wells accounted for during that quarter.</w:t>
      </w:r>
    </w:p>
    <w:p w:rsidR="006349D7" w:rsidRDefault="006349D7" w:rsidP="00EC6AAC">
      <w:pPr>
        <w:numPr>
          <w:ilvl w:val="0"/>
          <w:numId w:val="52"/>
        </w:numPr>
        <w:tabs>
          <w:tab w:val="clear" w:pos="1080"/>
          <w:tab w:val="left" w:pos="0"/>
          <w:tab w:val="num" w:pos="720"/>
          <w:tab w:val="num" w:pos="2880"/>
        </w:tabs>
        <w:spacing w:before="100" w:line="288" w:lineRule="auto"/>
        <w:ind w:right="28" w:hanging="720"/>
      </w:pPr>
      <w:r w:rsidRPr="00C60AD1">
        <w:t>The connected load as on 31</w:t>
      </w:r>
      <w:r w:rsidRPr="00C60AD1">
        <w:rPr>
          <w:vertAlign w:val="superscript"/>
        </w:rPr>
        <w:t>st</w:t>
      </w:r>
      <w:r w:rsidRPr="00C60AD1">
        <w:t xml:space="preserve"> March  of the preceding year will be worked out on the basis of ‘Net load’ reported by the Executive Engineers of concerned Divisions after joint inspection and verification of the same by the concerned officers of the State Government / Panchayat, joint meter reading shall also be taken during the inspection on quarterly basis.  The monthly bills for three months of the first quarter will be issued on the connected load worked out as such at the above rates. The same process shall be repeated for subsequent quarters.</w:t>
      </w:r>
    </w:p>
    <w:p w:rsidR="006349D7" w:rsidRDefault="006349D7" w:rsidP="006349D7">
      <w:pPr>
        <w:spacing w:before="0" w:line="240" w:lineRule="auto"/>
        <w:jc w:val="left"/>
      </w:pPr>
      <w:r>
        <w:br w:type="page"/>
      </w:r>
    </w:p>
    <w:p w:rsidR="006349D7" w:rsidRPr="00C60AD1" w:rsidRDefault="006349D7" w:rsidP="006349D7">
      <w:pPr>
        <w:pStyle w:val="Heading2"/>
        <w:numPr>
          <w:ilvl w:val="1"/>
          <w:numId w:val="23"/>
        </w:numPr>
      </w:pPr>
      <w:bookmarkStart w:id="1641" w:name="_Toc457453998"/>
      <w:r>
        <w:lastRenderedPageBreak/>
        <w:t>SCHEDULE OF MISCELLANEOUS CHARGES</w:t>
      </w:r>
      <w:bookmarkEnd w:id="1641"/>
    </w:p>
    <w:p w:rsidR="006349D7" w:rsidRPr="00C60AD1" w:rsidRDefault="006349D7" w:rsidP="006349D7">
      <w:pPr>
        <w:rPr>
          <w:rStyle w:val="Emphasis"/>
          <w:b/>
          <w:i w:val="0"/>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5"/>
        <w:gridCol w:w="5198"/>
        <w:gridCol w:w="1764"/>
        <w:gridCol w:w="2031"/>
      </w:tblGrid>
      <w:tr w:rsidR="006349D7" w:rsidRPr="00C60AD1" w:rsidTr="00BB5A5A">
        <w:trPr>
          <w:trHeight w:val="285"/>
          <w:tblHeader/>
          <w:jc w:val="center"/>
        </w:trPr>
        <w:tc>
          <w:tcPr>
            <w:tcW w:w="935" w:type="dxa"/>
            <w:shd w:val="clear" w:color="auto" w:fill="DBE5F1" w:themeFill="accent1" w:themeFillTint="33"/>
          </w:tcPr>
          <w:p w:rsidR="006349D7" w:rsidRDefault="006349D7" w:rsidP="00BB5A5A">
            <w:pPr>
              <w:spacing w:before="0" w:line="240" w:lineRule="auto"/>
              <w:jc w:val="center"/>
              <w:rPr>
                <w:b/>
              </w:rPr>
            </w:pPr>
            <w:r w:rsidRPr="00C60AD1">
              <w:rPr>
                <w:b/>
              </w:rPr>
              <w:t>Sl. No.</w:t>
            </w:r>
          </w:p>
        </w:tc>
        <w:tc>
          <w:tcPr>
            <w:tcW w:w="5198" w:type="dxa"/>
            <w:shd w:val="clear" w:color="auto" w:fill="DBE5F1" w:themeFill="accent1" w:themeFillTint="33"/>
          </w:tcPr>
          <w:p w:rsidR="006349D7" w:rsidRDefault="006349D7" w:rsidP="00BB5A5A">
            <w:pPr>
              <w:spacing w:before="0" w:line="240" w:lineRule="auto"/>
              <w:jc w:val="center"/>
              <w:rPr>
                <w:b/>
              </w:rPr>
            </w:pPr>
            <w:r w:rsidRPr="00C60AD1">
              <w:rPr>
                <w:b/>
              </w:rPr>
              <w:t>NATURE OF CHARGES</w:t>
            </w:r>
          </w:p>
        </w:tc>
        <w:tc>
          <w:tcPr>
            <w:tcW w:w="1764" w:type="dxa"/>
            <w:shd w:val="clear" w:color="auto" w:fill="DBE5F1" w:themeFill="accent1" w:themeFillTint="33"/>
          </w:tcPr>
          <w:p w:rsidR="006349D7" w:rsidRDefault="006349D7" w:rsidP="00BB5A5A">
            <w:pPr>
              <w:spacing w:before="0" w:line="240" w:lineRule="auto"/>
              <w:jc w:val="center"/>
              <w:rPr>
                <w:b/>
              </w:rPr>
            </w:pPr>
            <w:r w:rsidRPr="00C60AD1">
              <w:rPr>
                <w:b/>
              </w:rPr>
              <w:t>UNIT</w:t>
            </w:r>
          </w:p>
        </w:tc>
        <w:tc>
          <w:tcPr>
            <w:tcW w:w="2031" w:type="dxa"/>
            <w:shd w:val="clear" w:color="auto" w:fill="DBE5F1" w:themeFill="accent1" w:themeFillTint="33"/>
          </w:tcPr>
          <w:p w:rsidR="006349D7" w:rsidRDefault="006349D7" w:rsidP="00BB5A5A">
            <w:pPr>
              <w:spacing w:before="0" w:line="240" w:lineRule="auto"/>
              <w:jc w:val="center"/>
              <w:rPr>
                <w:b/>
              </w:rPr>
            </w:pPr>
            <w:r w:rsidRPr="00C60AD1">
              <w:rPr>
                <w:b/>
              </w:rPr>
              <w:t>RATES (</w:t>
            </w:r>
            <w:r>
              <w:rPr>
                <w:b/>
                <w:noProof/>
                <w:lang w:val="en-IN" w:eastAsia="en-IN"/>
              </w:rPr>
              <w:drawing>
                <wp:inline distT="0" distB="0" distL="0" distR="0">
                  <wp:extent cx="86360" cy="120650"/>
                  <wp:effectExtent l="19050" t="0" r="8890" b="0"/>
                  <wp:docPr id="6" name="Picture 8" descr="Rupee 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pee Symbol.jpg"/>
                          <pic:cNvPicPr>
                            <a:picLocks noChangeAspect="1" noChangeArrowheads="1"/>
                          </pic:cNvPicPr>
                        </pic:nvPicPr>
                        <pic:blipFill>
                          <a:blip r:embed="rId19" cstate="print"/>
                          <a:srcRect/>
                          <a:stretch>
                            <a:fillRect/>
                          </a:stretch>
                        </pic:blipFill>
                        <pic:spPr bwMode="auto">
                          <a:xfrm>
                            <a:off x="0" y="0"/>
                            <a:ext cx="86360" cy="120650"/>
                          </a:xfrm>
                          <a:prstGeom prst="rect">
                            <a:avLst/>
                          </a:prstGeom>
                          <a:noFill/>
                          <a:ln w="9525">
                            <a:noFill/>
                            <a:miter lim="800000"/>
                            <a:headEnd/>
                            <a:tailEnd/>
                          </a:ln>
                        </pic:spPr>
                      </pic:pic>
                    </a:graphicData>
                  </a:graphic>
                </wp:inline>
              </w:drawing>
            </w:r>
            <w:r w:rsidRPr="00C60AD1">
              <w:rPr>
                <w:b/>
              </w:rPr>
              <w:t>)</w:t>
            </w:r>
          </w:p>
        </w:tc>
      </w:tr>
      <w:tr w:rsidR="006349D7" w:rsidRPr="00C60AD1" w:rsidTr="00BB5A5A">
        <w:trPr>
          <w:trHeight w:val="57"/>
          <w:jc w:val="center"/>
        </w:trPr>
        <w:tc>
          <w:tcPr>
            <w:tcW w:w="935" w:type="dxa"/>
          </w:tcPr>
          <w:p w:rsidR="006349D7" w:rsidRDefault="006349D7" w:rsidP="00BB5A5A">
            <w:pPr>
              <w:spacing w:before="0" w:line="240" w:lineRule="auto"/>
            </w:pPr>
            <w:r w:rsidRPr="00C60AD1">
              <w:t>1.</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2.</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3.</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4.</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5.</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6.</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tc>
        <w:tc>
          <w:tcPr>
            <w:tcW w:w="5198" w:type="dxa"/>
          </w:tcPr>
          <w:p w:rsidR="006349D7" w:rsidRDefault="006349D7" w:rsidP="00BB5A5A">
            <w:pPr>
              <w:spacing w:before="0" w:line="240" w:lineRule="auto"/>
            </w:pPr>
            <w:r w:rsidRPr="00C60AD1">
              <w:lastRenderedPageBreak/>
              <w:t>Checking and Testing of Meters:</w:t>
            </w:r>
          </w:p>
          <w:p w:rsidR="006349D7" w:rsidRDefault="006349D7" w:rsidP="00BB5A5A">
            <w:pPr>
              <w:spacing w:before="0" w:line="240" w:lineRule="auto"/>
              <w:rPr>
                <w:bCs/>
                <w:szCs w:val="26"/>
              </w:rPr>
            </w:pPr>
          </w:p>
          <w:p w:rsidR="006349D7" w:rsidRDefault="006349D7" w:rsidP="00BB5A5A">
            <w:pPr>
              <w:spacing w:before="0" w:line="240" w:lineRule="auto"/>
            </w:pPr>
            <w:r w:rsidRPr="00C60AD1">
              <w:t>a.  Single Phase Meters</w:t>
            </w:r>
          </w:p>
          <w:p w:rsidR="006349D7" w:rsidRDefault="006349D7" w:rsidP="00BB5A5A">
            <w:pPr>
              <w:spacing w:before="0" w:line="240" w:lineRule="auto"/>
            </w:pPr>
            <w:r w:rsidRPr="00C60AD1">
              <w:t>b.  Three Phase Meters</w:t>
            </w:r>
          </w:p>
          <w:p w:rsidR="006349D7" w:rsidRDefault="006349D7" w:rsidP="00BB5A5A">
            <w:pPr>
              <w:spacing w:before="0" w:line="240" w:lineRule="auto"/>
            </w:pPr>
            <w:r w:rsidRPr="00C60AD1">
              <w:t>c.  Recording Type Watt-hour Meters / Prepaid Meters</w:t>
            </w:r>
          </w:p>
          <w:p w:rsidR="006349D7" w:rsidRDefault="006349D7" w:rsidP="00BB5A5A">
            <w:pPr>
              <w:spacing w:before="0" w:line="240" w:lineRule="auto"/>
            </w:pPr>
            <w:r w:rsidRPr="00C60AD1">
              <w:t>d.  Maximum Demand Indicator</w:t>
            </w:r>
          </w:p>
          <w:p w:rsidR="006349D7" w:rsidRDefault="006349D7" w:rsidP="00BB5A5A">
            <w:pPr>
              <w:spacing w:before="0" w:line="240" w:lineRule="auto"/>
            </w:pPr>
            <w:r w:rsidRPr="00C60AD1">
              <w:t>e.  Tri-vector Meters</w:t>
            </w:r>
          </w:p>
          <w:p w:rsidR="006349D7" w:rsidRDefault="006349D7" w:rsidP="00BB5A5A">
            <w:pPr>
              <w:spacing w:before="0" w:line="240" w:lineRule="auto"/>
            </w:pPr>
            <w:r w:rsidRPr="00C60AD1">
              <w:t>f.  Ammeters and Volt Meters</w:t>
            </w:r>
          </w:p>
          <w:p w:rsidR="006349D7" w:rsidRDefault="006349D7" w:rsidP="00BB5A5A">
            <w:pPr>
              <w:spacing w:before="0" w:line="240" w:lineRule="auto"/>
            </w:pPr>
            <w:r w:rsidRPr="00C60AD1">
              <w:t>g.  Special Meters / Net Meters</w:t>
            </w:r>
          </w:p>
          <w:p w:rsidR="006349D7" w:rsidRDefault="006349D7" w:rsidP="00BB5A5A">
            <w:pPr>
              <w:spacing w:before="0" w:line="240" w:lineRule="auto"/>
            </w:pPr>
            <w:r w:rsidRPr="00C60AD1">
              <w:t xml:space="preserve">h.  Initial Testing of Meters </w:t>
            </w:r>
          </w:p>
          <w:p w:rsidR="006349D7" w:rsidRDefault="006349D7" w:rsidP="00BB5A5A">
            <w:pPr>
              <w:spacing w:before="0" w:line="240" w:lineRule="auto"/>
              <w:rPr>
                <w:bCs/>
                <w:szCs w:val="26"/>
              </w:rPr>
            </w:pPr>
          </w:p>
          <w:p w:rsidR="006349D7" w:rsidRDefault="006349D7" w:rsidP="00BB5A5A">
            <w:pPr>
              <w:spacing w:before="0" w:line="240" w:lineRule="auto"/>
            </w:pPr>
            <w:r w:rsidRPr="00C60AD1">
              <w:t>Disconnection and Reconnection of supply for any reason whatsoever (Disconnection &amp; Reconnection to be separately treated as single job)</w:t>
            </w:r>
          </w:p>
          <w:p w:rsidR="006349D7" w:rsidRDefault="006349D7" w:rsidP="00BB5A5A">
            <w:pPr>
              <w:spacing w:before="0" w:line="240" w:lineRule="auto"/>
              <w:ind w:left="229" w:hanging="229"/>
              <w:rPr>
                <w:bCs/>
                <w:szCs w:val="26"/>
              </w:rPr>
            </w:pPr>
          </w:p>
          <w:p w:rsidR="006349D7" w:rsidRDefault="006349D7" w:rsidP="00BB5A5A">
            <w:pPr>
              <w:spacing w:before="0" w:line="240" w:lineRule="auto"/>
              <w:ind w:left="229" w:hanging="229"/>
            </w:pPr>
            <w:r w:rsidRPr="00C60AD1">
              <w:t>a. Consumer having load above 100 BHP/75kW</w:t>
            </w:r>
          </w:p>
          <w:p w:rsidR="006349D7" w:rsidRDefault="006349D7" w:rsidP="00BB5A5A">
            <w:pPr>
              <w:spacing w:before="0" w:line="240" w:lineRule="auto"/>
            </w:pPr>
            <w:r w:rsidRPr="00C60AD1">
              <w:t>b. Power consumers up to 100BHP/75kW</w:t>
            </w:r>
          </w:p>
          <w:p w:rsidR="006349D7" w:rsidRDefault="006349D7" w:rsidP="00BB5A5A">
            <w:pPr>
              <w:spacing w:before="0" w:line="240" w:lineRule="auto"/>
            </w:pPr>
            <w:r w:rsidRPr="00C60AD1">
              <w:t>c. All other categories of consumers.</w:t>
            </w:r>
          </w:p>
          <w:p w:rsidR="006349D7" w:rsidRDefault="006349D7" w:rsidP="00BB5A5A">
            <w:pPr>
              <w:spacing w:before="0" w:line="240" w:lineRule="auto"/>
              <w:rPr>
                <w:bCs/>
                <w:szCs w:val="26"/>
              </w:rPr>
            </w:pPr>
          </w:p>
          <w:p w:rsidR="006349D7" w:rsidRDefault="006349D7" w:rsidP="00BB5A5A">
            <w:pPr>
              <w:spacing w:before="0" w:line="240" w:lineRule="auto"/>
            </w:pPr>
            <w:r w:rsidRPr="00C60AD1">
              <w:t>Replacement of Meters:</w:t>
            </w:r>
          </w:p>
          <w:p w:rsidR="006349D7" w:rsidRDefault="006349D7" w:rsidP="00BB5A5A">
            <w:pPr>
              <w:spacing w:before="0" w:line="240" w:lineRule="auto"/>
              <w:rPr>
                <w:bCs/>
                <w:szCs w:val="26"/>
              </w:rPr>
            </w:pPr>
          </w:p>
          <w:p w:rsidR="006349D7" w:rsidRDefault="006349D7" w:rsidP="00BB5A5A">
            <w:pPr>
              <w:spacing w:before="0" w:line="240" w:lineRule="auto"/>
            </w:pPr>
            <w:r w:rsidRPr="00C60AD1">
              <w:t>a. By higher capacity Meter</w:t>
            </w:r>
          </w:p>
          <w:p w:rsidR="006349D7" w:rsidRDefault="006349D7" w:rsidP="00BB5A5A">
            <w:pPr>
              <w:spacing w:before="0" w:line="240" w:lineRule="auto"/>
            </w:pPr>
            <w:r w:rsidRPr="00C60AD1">
              <w:t>b. Installation of Meter and its subsequent</w:t>
            </w:r>
          </w:p>
          <w:p w:rsidR="006349D7" w:rsidRDefault="006349D7" w:rsidP="00BB5A5A">
            <w:pPr>
              <w:spacing w:before="0" w:line="240" w:lineRule="auto"/>
            </w:pPr>
            <w:r w:rsidRPr="00C60AD1">
              <w:t>removal in case of Temporary     Connections</w:t>
            </w:r>
          </w:p>
          <w:p w:rsidR="006349D7" w:rsidRDefault="006349D7" w:rsidP="00BB5A5A">
            <w:pPr>
              <w:spacing w:before="0" w:line="240" w:lineRule="auto"/>
            </w:pPr>
            <w:r w:rsidRPr="00C60AD1">
              <w:t>c. Changing of position of Meter Board at the   consumer's request</w:t>
            </w:r>
          </w:p>
          <w:p w:rsidR="006349D7" w:rsidRDefault="006349D7" w:rsidP="00BB5A5A">
            <w:pPr>
              <w:spacing w:before="0" w:line="240" w:lineRule="auto"/>
              <w:rPr>
                <w:bCs/>
                <w:szCs w:val="26"/>
              </w:rPr>
            </w:pPr>
          </w:p>
          <w:p w:rsidR="006349D7" w:rsidRDefault="006349D7" w:rsidP="00BB5A5A">
            <w:pPr>
              <w:spacing w:before="0" w:line="240" w:lineRule="auto"/>
            </w:pPr>
            <w:r w:rsidRPr="00C60AD1">
              <w:t>Service of Wireman :</w:t>
            </w:r>
          </w:p>
          <w:p w:rsidR="006349D7" w:rsidRDefault="006349D7" w:rsidP="00BB5A5A">
            <w:pPr>
              <w:spacing w:before="0" w:line="240" w:lineRule="auto"/>
              <w:rPr>
                <w:bCs/>
                <w:szCs w:val="26"/>
              </w:rPr>
            </w:pPr>
          </w:p>
          <w:p w:rsidR="006349D7" w:rsidRDefault="006349D7" w:rsidP="00BB5A5A">
            <w:pPr>
              <w:spacing w:before="0" w:line="240" w:lineRule="auto"/>
            </w:pPr>
            <w:r w:rsidRPr="00C60AD1">
              <w:t>a. Replacement of Fuse</w:t>
            </w:r>
          </w:p>
          <w:p w:rsidR="006349D7" w:rsidRDefault="006349D7" w:rsidP="00BB5A5A">
            <w:pPr>
              <w:spacing w:before="0" w:line="240" w:lineRule="auto"/>
            </w:pPr>
            <w:r w:rsidRPr="00C60AD1">
              <w:t>b. Inserting and Removal of Fuse in respect   of night loads.</w:t>
            </w:r>
          </w:p>
          <w:p w:rsidR="006349D7" w:rsidRDefault="006349D7" w:rsidP="00BB5A5A">
            <w:pPr>
              <w:spacing w:before="0" w:line="240" w:lineRule="auto"/>
            </w:pPr>
            <w:r w:rsidRPr="00C60AD1">
              <w:t>c. Hiring of services by the consumer during     temporary supply or otherwise.</w:t>
            </w:r>
          </w:p>
          <w:p w:rsidR="006349D7" w:rsidRDefault="006349D7" w:rsidP="00BB5A5A">
            <w:pPr>
              <w:spacing w:before="0" w:line="240" w:lineRule="auto"/>
              <w:rPr>
                <w:bCs/>
                <w:szCs w:val="26"/>
              </w:rPr>
            </w:pPr>
          </w:p>
          <w:p w:rsidR="006349D7" w:rsidRDefault="006349D7" w:rsidP="00BB5A5A">
            <w:pPr>
              <w:spacing w:before="0" w:line="240" w:lineRule="auto"/>
            </w:pPr>
            <w:r w:rsidRPr="00C60AD1">
              <w:t xml:space="preserve">Resealing of Meters on account of any reason in addition to other charges payable in terms of </w:t>
            </w:r>
            <w:r w:rsidRPr="00C60AD1">
              <w:lastRenderedPageBreak/>
              <w:t>other provision of charging of penalties, etc.)</w:t>
            </w:r>
          </w:p>
          <w:p w:rsidR="006349D7" w:rsidRDefault="006349D7" w:rsidP="00BB5A5A">
            <w:pPr>
              <w:spacing w:before="0" w:line="240" w:lineRule="auto"/>
              <w:rPr>
                <w:bCs/>
                <w:szCs w:val="26"/>
              </w:rPr>
            </w:pPr>
          </w:p>
          <w:p w:rsidR="006349D7" w:rsidRDefault="006349D7" w:rsidP="00BB5A5A">
            <w:pPr>
              <w:spacing w:before="0" w:line="240" w:lineRule="auto"/>
            </w:pPr>
            <w:r w:rsidRPr="00C60AD1">
              <w:t>Checking of Capacitors (other than initial checking) on consumer's request:</w:t>
            </w:r>
          </w:p>
          <w:p w:rsidR="006349D7" w:rsidRDefault="006349D7" w:rsidP="00BB5A5A">
            <w:pPr>
              <w:spacing w:before="0" w:line="240" w:lineRule="auto"/>
            </w:pPr>
            <w:r w:rsidRPr="00C60AD1">
              <w:t>a. At 400 V / 230 V</w:t>
            </w:r>
          </w:p>
          <w:p w:rsidR="006349D7" w:rsidRDefault="006349D7" w:rsidP="00BB5A5A">
            <w:pPr>
              <w:spacing w:before="0" w:line="240" w:lineRule="auto"/>
            </w:pPr>
            <w:r w:rsidRPr="00C60AD1">
              <w:t>b. At 11 kV and above.</w:t>
            </w:r>
          </w:p>
        </w:tc>
        <w:tc>
          <w:tcPr>
            <w:tcW w:w="1764" w:type="dxa"/>
          </w:tcPr>
          <w:p w:rsidR="006349D7" w:rsidRDefault="006349D7" w:rsidP="00BB5A5A">
            <w:pPr>
              <w:spacing w:before="0" w:line="240" w:lineRule="auto"/>
              <w:rPr>
                <w:bCs/>
                <w:szCs w:val="26"/>
              </w:rPr>
            </w:pPr>
          </w:p>
          <w:p w:rsidR="006349D7" w:rsidRDefault="006349D7" w:rsidP="00BB5A5A">
            <w:pPr>
              <w:spacing w:before="0" w:line="240" w:lineRule="auto"/>
              <w:rPr>
                <w:bCs/>
                <w:szCs w:val="26"/>
                <w:lang w:val="sv-SE"/>
              </w:rPr>
            </w:pP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bCs/>
                <w:szCs w:val="26"/>
                <w:lang w:val="sv-SE"/>
              </w:rPr>
            </w:pP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lang w:val="sv-SE"/>
              </w:rPr>
            </w:pPr>
            <w:r w:rsidRPr="00C60AD1">
              <w:rPr>
                <w:lang w:val="sv-SE"/>
              </w:rPr>
              <w:t>Per Meter</w:t>
            </w:r>
          </w:p>
          <w:p w:rsidR="006349D7" w:rsidRDefault="006349D7" w:rsidP="00BB5A5A">
            <w:pPr>
              <w:spacing w:before="0" w:line="240" w:lineRule="auto"/>
              <w:rPr>
                <w:bCs/>
                <w:szCs w:val="26"/>
                <w:lang w:val="sv-SE"/>
              </w:rPr>
            </w:pPr>
          </w:p>
          <w:p w:rsidR="006349D7" w:rsidRDefault="006349D7" w:rsidP="00BB5A5A">
            <w:pPr>
              <w:spacing w:before="0" w:line="240" w:lineRule="auto"/>
              <w:rPr>
                <w:bCs/>
                <w:szCs w:val="26"/>
                <w:lang w:val="sv-SE"/>
              </w:rPr>
            </w:pPr>
          </w:p>
          <w:p w:rsidR="006349D7" w:rsidRDefault="006349D7" w:rsidP="00BB5A5A">
            <w:pPr>
              <w:spacing w:before="0" w:line="240" w:lineRule="auto"/>
              <w:rPr>
                <w:bCs/>
                <w:szCs w:val="26"/>
                <w:lang w:val="sv-SE"/>
              </w:rPr>
            </w:pPr>
          </w:p>
          <w:p w:rsidR="006349D7" w:rsidRDefault="006349D7" w:rsidP="00BB5A5A">
            <w:pPr>
              <w:spacing w:before="0" w:line="240" w:lineRule="auto"/>
              <w:rPr>
                <w:bCs/>
                <w:szCs w:val="26"/>
                <w:lang w:val="sv-SE"/>
              </w:rPr>
            </w:pPr>
          </w:p>
          <w:p w:rsidR="006349D7" w:rsidRDefault="006349D7" w:rsidP="00BB5A5A">
            <w:pPr>
              <w:spacing w:before="0" w:line="240" w:lineRule="auto"/>
              <w:rPr>
                <w:bCs/>
                <w:szCs w:val="26"/>
                <w:lang w:val="sv-SE"/>
              </w:rPr>
            </w:pPr>
          </w:p>
          <w:p w:rsidR="006349D7" w:rsidRDefault="006349D7" w:rsidP="00BB5A5A">
            <w:pPr>
              <w:spacing w:before="0" w:line="240" w:lineRule="auto"/>
              <w:rPr>
                <w:bCs/>
                <w:szCs w:val="26"/>
                <w:lang w:val="sv-SE"/>
              </w:rPr>
            </w:pPr>
          </w:p>
          <w:p w:rsidR="006349D7" w:rsidRDefault="006349D7" w:rsidP="00BB5A5A">
            <w:pPr>
              <w:spacing w:before="0" w:line="240" w:lineRule="auto"/>
              <w:rPr>
                <w:lang w:val="sv-SE"/>
              </w:rPr>
            </w:pPr>
            <w:r w:rsidRPr="00C60AD1">
              <w:rPr>
                <w:lang w:val="sv-SE"/>
              </w:rPr>
              <w:t>Per Job</w:t>
            </w:r>
          </w:p>
          <w:p w:rsidR="006349D7" w:rsidRDefault="006349D7" w:rsidP="00BB5A5A">
            <w:pPr>
              <w:spacing w:before="0" w:line="240" w:lineRule="auto"/>
            </w:pPr>
            <w:r w:rsidRPr="00C60AD1">
              <w:t>Per Job</w:t>
            </w:r>
          </w:p>
          <w:p w:rsidR="006349D7" w:rsidRDefault="006349D7" w:rsidP="00BB5A5A">
            <w:pPr>
              <w:spacing w:before="0" w:line="240" w:lineRule="auto"/>
            </w:pPr>
            <w:r w:rsidRPr="00C60AD1">
              <w:t>Per Job</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Per Job</w:t>
            </w:r>
          </w:p>
          <w:p w:rsidR="006349D7" w:rsidRDefault="006349D7" w:rsidP="00BB5A5A">
            <w:pPr>
              <w:spacing w:before="0" w:line="240" w:lineRule="auto"/>
            </w:pPr>
            <w:r w:rsidRPr="00C60AD1">
              <w:t>Per Job</w:t>
            </w:r>
          </w:p>
          <w:p w:rsidR="006349D7" w:rsidRDefault="006349D7" w:rsidP="00BB5A5A">
            <w:pPr>
              <w:spacing w:before="0" w:line="240" w:lineRule="auto"/>
              <w:rPr>
                <w:bCs/>
                <w:szCs w:val="26"/>
              </w:rPr>
            </w:pPr>
          </w:p>
          <w:p w:rsidR="006349D7" w:rsidRDefault="006349D7" w:rsidP="00BB5A5A">
            <w:pPr>
              <w:spacing w:before="0" w:line="240" w:lineRule="auto"/>
            </w:pPr>
            <w:r w:rsidRPr="00C60AD1">
              <w:t>Per Job</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Per Job</w:t>
            </w:r>
          </w:p>
          <w:p w:rsidR="006349D7" w:rsidRDefault="006349D7" w:rsidP="00BB5A5A">
            <w:pPr>
              <w:spacing w:before="0" w:line="240" w:lineRule="auto"/>
            </w:pPr>
            <w:r w:rsidRPr="00C60AD1">
              <w:t>Per Job</w:t>
            </w:r>
          </w:p>
          <w:p w:rsidR="006349D7" w:rsidRDefault="006349D7" w:rsidP="00BB5A5A">
            <w:pPr>
              <w:spacing w:before="0" w:line="240" w:lineRule="auto"/>
              <w:rPr>
                <w:bCs/>
                <w:szCs w:val="26"/>
              </w:rPr>
            </w:pPr>
          </w:p>
          <w:p w:rsidR="006349D7" w:rsidRDefault="006349D7" w:rsidP="00BB5A5A">
            <w:pPr>
              <w:spacing w:before="0" w:line="240" w:lineRule="auto"/>
            </w:pPr>
            <w:r w:rsidRPr="00C60AD1">
              <w:t xml:space="preserve">Per wireman /day of 6 Hrs. </w:t>
            </w:r>
          </w:p>
          <w:p w:rsidR="006349D7" w:rsidRDefault="006349D7" w:rsidP="00BB5A5A">
            <w:pPr>
              <w:spacing w:before="0" w:line="240" w:lineRule="auto"/>
            </w:pPr>
            <w:r w:rsidRPr="00C60AD1">
              <w:t>Per Meter</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Per Job</w:t>
            </w:r>
          </w:p>
          <w:p w:rsidR="006349D7" w:rsidRDefault="006349D7" w:rsidP="00BB5A5A">
            <w:pPr>
              <w:spacing w:before="0" w:line="240" w:lineRule="auto"/>
            </w:pPr>
            <w:r w:rsidRPr="00C60AD1">
              <w:t>Per Job</w:t>
            </w:r>
          </w:p>
        </w:tc>
        <w:tc>
          <w:tcPr>
            <w:tcW w:w="2031" w:type="dxa"/>
          </w:tcPr>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50.00</w:t>
            </w:r>
          </w:p>
          <w:p w:rsidR="006349D7" w:rsidRDefault="006349D7" w:rsidP="00BB5A5A">
            <w:pPr>
              <w:spacing w:before="0" w:line="240" w:lineRule="auto"/>
            </w:pPr>
            <w:r w:rsidRPr="00C60AD1">
              <w:t>50.00</w:t>
            </w:r>
          </w:p>
          <w:p w:rsidR="006349D7" w:rsidRDefault="006349D7" w:rsidP="00BB5A5A">
            <w:pPr>
              <w:spacing w:before="0" w:line="240" w:lineRule="auto"/>
            </w:pPr>
            <w:r w:rsidRPr="00C60AD1">
              <w:t>175.00</w:t>
            </w:r>
          </w:p>
          <w:p w:rsidR="006349D7" w:rsidRDefault="006349D7" w:rsidP="00BB5A5A">
            <w:pPr>
              <w:spacing w:before="0" w:line="240" w:lineRule="auto"/>
              <w:rPr>
                <w:bCs/>
                <w:szCs w:val="26"/>
              </w:rPr>
            </w:pPr>
          </w:p>
          <w:p w:rsidR="006349D7" w:rsidRDefault="006349D7" w:rsidP="00BB5A5A">
            <w:pPr>
              <w:spacing w:before="0" w:line="240" w:lineRule="auto"/>
            </w:pPr>
            <w:r w:rsidRPr="00C60AD1">
              <w:t>350.00</w:t>
            </w:r>
          </w:p>
          <w:p w:rsidR="006349D7" w:rsidRDefault="006349D7" w:rsidP="00BB5A5A">
            <w:pPr>
              <w:spacing w:before="0" w:line="240" w:lineRule="auto"/>
            </w:pPr>
            <w:r w:rsidRPr="00C60AD1">
              <w:t>1000.00</w:t>
            </w:r>
          </w:p>
          <w:p w:rsidR="006349D7" w:rsidRDefault="006349D7" w:rsidP="00BB5A5A">
            <w:pPr>
              <w:spacing w:before="0" w:line="240" w:lineRule="auto"/>
            </w:pPr>
            <w:r w:rsidRPr="00C60AD1">
              <w:t>50.00</w:t>
            </w:r>
          </w:p>
          <w:p w:rsidR="006349D7" w:rsidRDefault="006349D7" w:rsidP="00BB5A5A">
            <w:pPr>
              <w:spacing w:before="0" w:line="240" w:lineRule="auto"/>
            </w:pPr>
            <w:r w:rsidRPr="00C60AD1">
              <w:t>400.00</w:t>
            </w:r>
          </w:p>
          <w:p w:rsidR="006349D7" w:rsidRDefault="006349D7" w:rsidP="00BB5A5A">
            <w:pPr>
              <w:spacing w:before="0" w:line="240" w:lineRule="auto"/>
            </w:pPr>
            <w:r w:rsidRPr="00C60AD1">
              <w:t>Nil</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500.00</w:t>
            </w:r>
          </w:p>
          <w:p w:rsidR="006349D7" w:rsidRDefault="006349D7" w:rsidP="00BB5A5A">
            <w:pPr>
              <w:spacing w:before="0" w:line="240" w:lineRule="auto"/>
            </w:pPr>
            <w:r w:rsidRPr="00C60AD1">
              <w:t>275.00</w:t>
            </w:r>
          </w:p>
          <w:p w:rsidR="006349D7" w:rsidRDefault="006349D7" w:rsidP="00BB5A5A">
            <w:pPr>
              <w:spacing w:before="0" w:line="240" w:lineRule="auto"/>
            </w:pPr>
            <w:r w:rsidRPr="00C60AD1">
              <w:t>150.00</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50.00</w:t>
            </w:r>
          </w:p>
          <w:p w:rsidR="006349D7" w:rsidRDefault="006349D7" w:rsidP="00BB5A5A">
            <w:pPr>
              <w:spacing w:before="0" w:line="240" w:lineRule="auto"/>
            </w:pPr>
            <w:r w:rsidRPr="00C60AD1">
              <w:t>75.00</w:t>
            </w:r>
          </w:p>
          <w:p w:rsidR="006349D7" w:rsidRDefault="006349D7" w:rsidP="00BB5A5A">
            <w:pPr>
              <w:spacing w:before="0" w:line="240" w:lineRule="auto"/>
              <w:rPr>
                <w:bCs/>
                <w:szCs w:val="26"/>
              </w:rPr>
            </w:pPr>
          </w:p>
          <w:p w:rsidR="006349D7" w:rsidRDefault="006349D7" w:rsidP="00BB5A5A">
            <w:pPr>
              <w:spacing w:before="0" w:line="240" w:lineRule="auto"/>
            </w:pPr>
            <w:r w:rsidRPr="00C60AD1">
              <w:t>100.00</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20.00</w:t>
            </w:r>
          </w:p>
          <w:p w:rsidR="006349D7" w:rsidRDefault="006349D7" w:rsidP="00BB5A5A">
            <w:pPr>
              <w:spacing w:before="0" w:line="240" w:lineRule="auto"/>
            </w:pPr>
            <w:r w:rsidRPr="00C60AD1">
              <w:t>25.00</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r w:rsidRPr="00C60AD1">
              <w:t>60.00</w:t>
            </w:r>
          </w:p>
          <w:p w:rsidR="006349D7" w:rsidRDefault="006349D7" w:rsidP="00BB5A5A">
            <w:pPr>
              <w:tabs>
                <w:tab w:val="left" w:pos="720"/>
              </w:tabs>
              <w:spacing w:before="0" w:line="240" w:lineRule="auto"/>
              <w:outlineLvl w:val="2"/>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100.00</w:t>
            </w: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rPr>
                <w:bCs/>
                <w:szCs w:val="26"/>
              </w:rPr>
            </w:pPr>
          </w:p>
          <w:p w:rsidR="006349D7" w:rsidRDefault="006349D7" w:rsidP="00BB5A5A">
            <w:pPr>
              <w:spacing w:before="0" w:line="240" w:lineRule="auto"/>
            </w:pPr>
            <w:r w:rsidRPr="00C60AD1">
              <w:t>100.00</w:t>
            </w:r>
          </w:p>
          <w:p w:rsidR="006349D7" w:rsidRDefault="006349D7" w:rsidP="00BB5A5A">
            <w:pPr>
              <w:spacing w:before="0" w:line="240" w:lineRule="auto"/>
            </w:pPr>
            <w:r w:rsidRPr="00C60AD1">
              <w:t>200.00</w:t>
            </w:r>
          </w:p>
        </w:tc>
      </w:tr>
    </w:tbl>
    <w:p w:rsidR="00EF14E5" w:rsidRDefault="00EF14E5" w:rsidP="00EF14E5">
      <w:pPr>
        <w:spacing w:before="0"/>
        <w:rPr>
          <w:b/>
          <w:u w:val="single"/>
        </w:rPr>
      </w:pPr>
    </w:p>
    <w:p w:rsidR="006349D7" w:rsidRDefault="006349D7">
      <w:pPr>
        <w:spacing w:before="0" w:line="240" w:lineRule="auto"/>
        <w:jc w:val="left"/>
        <w:rPr>
          <w:b/>
          <w:u w:val="single"/>
        </w:rPr>
      </w:pPr>
      <w:r>
        <w:rPr>
          <w:b/>
          <w:u w:val="single"/>
        </w:rPr>
        <w:br w:type="page"/>
      </w:r>
    </w:p>
    <w:p w:rsidR="00E922D9" w:rsidRPr="00C60AD1" w:rsidRDefault="00E922D9" w:rsidP="00BA3941">
      <w:pPr>
        <w:pStyle w:val="Heading2"/>
        <w:numPr>
          <w:ilvl w:val="1"/>
          <w:numId w:val="23"/>
        </w:numPr>
      </w:pPr>
      <w:bookmarkStart w:id="1642" w:name="_Toc455673709"/>
      <w:bookmarkStart w:id="1643" w:name="_Toc455673710"/>
      <w:bookmarkStart w:id="1644" w:name="_Toc455673711"/>
      <w:bookmarkStart w:id="1645" w:name="_Toc455673712"/>
      <w:bookmarkStart w:id="1646" w:name="_Toc455673713"/>
      <w:bookmarkStart w:id="1647" w:name="_Toc455673714"/>
      <w:bookmarkStart w:id="1648" w:name="_Toc338336087"/>
      <w:bookmarkStart w:id="1649" w:name="_Toc357345060"/>
      <w:bookmarkStart w:id="1650" w:name="_Toc357714436"/>
      <w:bookmarkStart w:id="1651" w:name="_Toc357720912"/>
      <w:bookmarkStart w:id="1652" w:name="_Toc399320617"/>
      <w:bookmarkStart w:id="1653" w:name="_Ref399326723"/>
      <w:bookmarkStart w:id="1654" w:name="_Toc399623773"/>
      <w:bookmarkStart w:id="1655" w:name="_Toc422310099"/>
      <w:bookmarkStart w:id="1656" w:name="_Toc457355527"/>
      <w:bookmarkEnd w:id="1642"/>
      <w:bookmarkEnd w:id="1643"/>
      <w:bookmarkEnd w:id="1644"/>
      <w:bookmarkEnd w:id="1645"/>
      <w:bookmarkEnd w:id="1646"/>
      <w:bookmarkEnd w:id="1647"/>
      <w:r w:rsidRPr="00C60AD1">
        <w:lastRenderedPageBreak/>
        <w:t>LIST OF POWER FACTOR APPARATUS</w:t>
      </w:r>
      <w:bookmarkEnd w:id="1648"/>
      <w:bookmarkEnd w:id="1649"/>
      <w:bookmarkEnd w:id="1650"/>
      <w:bookmarkEnd w:id="1651"/>
      <w:bookmarkEnd w:id="1652"/>
      <w:bookmarkEnd w:id="1653"/>
      <w:bookmarkEnd w:id="1654"/>
      <w:bookmarkEnd w:id="1655"/>
      <w:bookmarkEnd w:id="1656"/>
    </w:p>
    <w:p w:rsidR="00E922D9" w:rsidRPr="00C60AD1" w:rsidRDefault="00E922D9" w:rsidP="00E922D9">
      <w:pPr>
        <w:ind w:left="360"/>
        <w:rPr>
          <w:b/>
          <w:u w:val="single"/>
        </w:rPr>
      </w:pPr>
      <w:r w:rsidRPr="00C60AD1">
        <w:rPr>
          <w:b/>
          <w:u w:val="single"/>
        </w:rPr>
        <w:t>FOR MOTORS:</w:t>
      </w:r>
    </w:p>
    <w:p w:rsidR="00E922D9" w:rsidRPr="00C60AD1" w:rsidRDefault="00E922D9" w:rsidP="00E922D9">
      <w:pPr>
        <w:ind w:left="360"/>
        <w:rPr>
          <w:b/>
          <w:u w:val="single"/>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038"/>
        <w:gridCol w:w="2104"/>
        <w:gridCol w:w="1350"/>
        <w:gridCol w:w="1350"/>
        <w:gridCol w:w="1260"/>
        <w:gridCol w:w="1482"/>
      </w:tblGrid>
      <w:tr w:rsidR="00E922D9" w:rsidRPr="00C60AD1" w:rsidTr="00EB02EF">
        <w:trPr>
          <w:cantSplit/>
          <w:tblHeader/>
          <w:jc w:val="center"/>
        </w:trPr>
        <w:tc>
          <w:tcPr>
            <w:tcW w:w="1038" w:type="dxa"/>
            <w:vMerge w:val="restart"/>
            <w:shd w:val="clear" w:color="000000" w:fill="DBE5F1"/>
          </w:tcPr>
          <w:p w:rsidR="00E922D9" w:rsidRPr="00C60AD1" w:rsidRDefault="00E922D9" w:rsidP="00EB02EF">
            <w:pPr>
              <w:spacing w:before="0"/>
              <w:jc w:val="center"/>
            </w:pPr>
            <w:r w:rsidRPr="00C60AD1">
              <w:rPr>
                <w:b/>
              </w:rPr>
              <w:t>Sl. No.</w:t>
            </w:r>
          </w:p>
        </w:tc>
        <w:tc>
          <w:tcPr>
            <w:tcW w:w="2104" w:type="dxa"/>
            <w:vMerge w:val="restart"/>
            <w:shd w:val="clear" w:color="000000" w:fill="DBE5F1"/>
          </w:tcPr>
          <w:p w:rsidR="00E922D9" w:rsidRPr="00C60AD1" w:rsidRDefault="00E922D9" w:rsidP="00EB02EF">
            <w:pPr>
              <w:spacing w:before="0"/>
              <w:jc w:val="center"/>
            </w:pPr>
            <w:r w:rsidRPr="00C60AD1">
              <w:rPr>
                <w:b/>
              </w:rPr>
              <w:t>Rating of Individual Motor</w:t>
            </w:r>
          </w:p>
        </w:tc>
        <w:tc>
          <w:tcPr>
            <w:tcW w:w="5442" w:type="dxa"/>
            <w:gridSpan w:val="4"/>
            <w:tcBorders>
              <w:bottom w:val="dotted" w:sz="4" w:space="0" w:color="auto"/>
            </w:tcBorders>
            <w:shd w:val="clear" w:color="000000" w:fill="DBE5F1"/>
          </w:tcPr>
          <w:p w:rsidR="00E922D9" w:rsidRPr="00C60AD1" w:rsidRDefault="00E922D9" w:rsidP="00EB02EF">
            <w:pPr>
              <w:spacing w:before="0"/>
              <w:jc w:val="center"/>
              <w:rPr>
                <w:b/>
              </w:rPr>
            </w:pPr>
            <w:r w:rsidRPr="00C60AD1">
              <w:rPr>
                <w:b/>
              </w:rPr>
              <w:t>KVAR Rating of Capacitor</w:t>
            </w:r>
          </w:p>
        </w:tc>
      </w:tr>
      <w:tr w:rsidR="00E922D9" w:rsidRPr="00C60AD1" w:rsidTr="00EB02EF">
        <w:trPr>
          <w:cantSplit/>
          <w:tblHeader/>
          <w:jc w:val="center"/>
        </w:trPr>
        <w:tc>
          <w:tcPr>
            <w:tcW w:w="1038" w:type="dxa"/>
            <w:vMerge/>
          </w:tcPr>
          <w:p w:rsidR="00E922D9" w:rsidRPr="00C60AD1" w:rsidRDefault="00E922D9" w:rsidP="00EB02EF">
            <w:pPr>
              <w:spacing w:before="0"/>
              <w:jc w:val="center"/>
              <w:rPr>
                <w:rFonts w:cs="Arial"/>
                <w:b/>
                <w:bCs/>
                <w:caps/>
                <w:kern w:val="32"/>
                <w:szCs w:val="32"/>
              </w:rPr>
            </w:pPr>
          </w:p>
        </w:tc>
        <w:tc>
          <w:tcPr>
            <w:tcW w:w="2104" w:type="dxa"/>
            <w:vMerge/>
          </w:tcPr>
          <w:p w:rsidR="00E922D9" w:rsidRPr="00C60AD1" w:rsidRDefault="00E922D9" w:rsidP="00EB02EF">
            <w:pPr>
              <w:spacing w:before="0"/>
              <w:jc w:val="center"/>
              <w:rPr>
                <w:rFonts w:cs="Arial"/>
                <w:b/>
                <w:bCs/>
                <w:caps/>
                <w:kern w:val="32"/>
                <w:szCs w:val="32"/>
              </w:rPr>
            </w:pPr>
          </w:p>
        </w:tc>
        <w:tc>
          <w:tcPr>
            <w:tcW w:w="1350" w:type="dxa"/>
            <w:shd w:val="clear" w:color="auto" w:fill="DBE5F1"/>
          </w:tcPr>
          <w:p w:rsidR="00E922D9" w:rsidRPr="00C60AD1" w:rsidRDefault="00E922D9" w:rsidP="00EB02EF">
            <w:pPr>
              <w:spacing w:before="0"/>
              <w:jc w:val="center"/>
              <w:rPr>
                <w:b/>
              </w:rPr>
            </w:pPr>
            <w:r w:rsidRPr="00C60AD1">
              <w:rPr>
                <w:b/>
              </w:rPr>
              <w:t>750 RPM</w:t>
            </w:r>
          </w:p>
        </w:tc>
        <w:tc>
          <w:tcPr>
            <w:tcW w:w="1350" w:type="dxa"/>
            <w:shd w:val="clear" w:color="auto" w:fill="DBE5F1"/>
          </w:tcPr>
          <w:p w:rsidR="00E922D9" w:rsidRPr="00C60AD1" w:rsidRDefault="00E922D9" w:rsidP="00EB02EF">
            <w:pPr>
              <w:spacing w:before="0"/>
              <w:jc w:val="center"/>
              <w:rPr>
                <w:b/>
              </w:rPr>
            </w:pPr>
            <w:r w:rsidRPr="00C60AD1">
              <w:rPr>
                <w:b/>
              </w:rPr>
              <w:t>1000 RPM</w:t>
            </w:r>
          </w:p>
        </w:tc>
        <w:tc>
          <w:tcPr>
            <w:tcW w:w="1260" w:type="dxa"/>
            <w:shd w:val="clear" w:color="auto" w:fill="DBE5F1"/>
          </w:tcPr>
          <w:p w:rsidR="00E922D9" w:rsidRPr="00C60AD1" w:rsidRDefault="00E922D9" w:rsidP="00EB02EF">
            <w:pPr>
              <w:spacing w:before="0"/>
              <w:jc w:val="center"/>
              <w:rPr>
                <w:b/>
              </w:rPr>
            </w:pPr>
            <w:r w:rsidRPr="00C60AD1">
              <w:rPr>
                <w:b/>
              </w:rPr>
              <w:t>1500 RPM</w:t>
            </w:r>
          </w:p>
        </w:tc>
        <w:tc>
          <w:tcPr>
            <w:tcW w:w="1482" w:type="dxa"/>
            <w:shd w:val="clear" w:color="auto" w:fill="DBE5F1"/>
          </w:tcPr>
          <w:p w:rsidR="00E922D9" w:rsidRPr="00C60AD1" w:rsidRDefault="00E922D9" w:rsidP="00EB02EF">
            <w:pPr>
              <w:spacing w:before="0"/>
              <w:jc w:val="center"/>
              <w:rPr>
                <w:b/>
              </w:rPr>
            </w:pPr>
            <w:r w:rsidRPr="00C60AD1">
              <w:rPr>
                <w:b/>
              </w:rPr>
              <w:t>3000 RPM</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w:t>
            </w:r>
          </w:p>
        </w:tc>
        <w:tc>
          <w:tcPr>
            <w:tcW w:w="2104" w:type="dxa"/>
          </w:tcPr>
          <w:p w:rsidR="00E922D9" w:rsidRPr="00C60AD1" w:rsidRDefault="00E922D9" w:rsidP="00EB02EF">
            <w:pPr>
              <w:spacing w:before="0"/>
              <w:jc w:val="center"/>
            </w:pPr>
            <w:r w:rsidRPr="00C60AD1">
              <w:t>Up to 3 HP</w:t>
            </w:r>
          </w:p>
        </w:tc>
        <w:tc>
          <w:tcPr>
            <w:tcW w:w="1350" w:type="dxa"/>
          </w:tcPr>
          <w:p w:rsidR="00E922D9" w:rsidRPr="00C60AD1" w:rsidRDefault="00E922D9" w:rsidP="00EB02EF">
            <w:pPr>
              <w:spacing w:before="0"/>
              <w:jc w:val="center"/>
            </w:pPr>
            <w:r w:rsidRPr="00C60AD1">
              <w:t>1</w:t>
            </w:r>
          </w:p>
        </w:tc>
        <w:tc>
          <w:tcPr>
            <w:tcW w:w="1350" w:type="dxa"/>
          </w:tcPr>
          <w:p w:rsidR="00E922D9" w:rsidRPr="00C60AD1" w:rsidRDefault="00E922D9" w:rsidP="00EB02EF">
            <w:pPr>
              <w:spacing w:before="0"/>
              <w:jc w:val="center"/>
            </w:pPr>
            <w:r w:rsidRPr="00C60AD1">
              <w:t>1</w:t>
            </w:r>
          </w:p>
        </w:tc>
        <w:tc>
          <w:tcPr>
            <w:tcW w:w="1260" w:type="dxa"/>
          </w:tcPr>
          <w:p w:rsidR="00E922D9" w:rsidRPr="00C60AD1" w:rsidRDefault="00E922D9" w:rsidP="00EB02EF">
            <w:pPr>
              <w:spacing w:before="0"/>
              <w:jc w:val="center"/>
            </w:pPr>
            <w:r w:rsidRPr="00C60AD1">
              <w:t>1</w:t>
            </w:r>
          </w:p>
        </w:tc>
        <w:tc>
          <w:tcPr>
            <w:tcW w:w="1482" w:type="dxa"/>
          </w:tcPr>
          <w:p w:rsidR="00E922D9" w:rsidRPr="00C60AD1" w:rsidRDefault="00E922D9" w:rsidP="00EB02EF">
            <w:pPr>
              <w:spacing w:before="0"/>
              <w:jc w:val="center"/>
            </w:pPr>
            <w:r w:rsidRPr="00C60AD1">
              <w:t>1</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2.</w:t>
            </w:r>
          </w:p>
        </w:tc>
        <w:tc>
          <w:tcPr>
            <w:tcW w:w="2104" w:type="dxa"/>
          </w:tcPr>
          <w:p w:rsidR="00E922D9" w:rsidRPr="00C60AD1" w:rsidRDefault="00E922D9" w:rsidP="00EB02EF">
            <w:pPr>
              <w:spacing w:before="0"/>
              <w:jc w:val="center"/>
            </w:pPr>
            <w:r w:rsidRPr="00C60AD1">
              <w:t>5 HP</w:t>
            </w:r>
          </w:p>
        </w:tc>
        <w:tc>
          <w:tcPr>
            <w:tcW w:w="1350" w:type="dxa"/>
          </w:tcPr>
          <w:p w:rsidR="00E922D9" w:rsidRPr="00C60AD1" w:rsidRDefault="00E922D9" w:rsidP="00EB02EF">
            <w:pPr>
              <w:spacing w:before="0"/>
              <w:jc w:val="center"/>
            </w:pPr>
            <w:r w:rsidRPr="00C60AD1">
              <w:t>2</w:t>
            </w:r>
          </w:p>
        </w:tc>
        <w:tc>
          <w:tcPr>
            <w:tcW w:w="1350" w:type="dxa"/>
          </w:tcPr>
          <w:p w:rsidR="00E922D9" w:rsidRPr="00C60AD1" w:rsidRDefault="00E922D9" w:rsidP="00EB02EF">
            <w:pPr>
              <w:spacing w:before="0"/>
              <w:jc w:val="center"/>
            </w:pPr>
            <w:r w:rsidRPr="00C60AD1">
              <w:t>2</w:t>
            </w:r>
          </w:p>
        </w:tc>
        <w:tc>
          <w:tcPr>
            <w:tcW w:w="1260" w:type="dxa"/>
          </w:tcPr>
          <w:p w:rsidR="00E922D9" w:rsidRPr="00C60AD1" w:rsidRDefault="00E922D9" w:rsidP="00EB02EF">
            <w:pPr>
              <w:spacing w:before="0"/>
              <w:jc w:val="center"/>
            </w:pPr>
            <w:r w:rsidRPr="00C60AD1">
              <w:t>2</w:t>
            </w:r>
          </w:p>
        </w:tc>
        <w:tc>
          <w:tcPr>
            <w:tcW w:w="1482" w:type="dxa"/>
          </w:tcPr>
          <w:p w:rsidR="00E922D9" w:rsidRPr="00C60AD1" w:rsidRDefault="00E922D9" w:rsidP="00EB02EF">
            <w:pPr>
              <w:spacing w:before="0"/>
              <w:jc w:val="center"/>
            </w:pPr>
            <w:r w:rsidRPr="00C60AD1">
              <w:t>2</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3.</w:t>
            </w:r>
          </w:p>
        </w:tc>
        <w:tc>
          <w:tcPr>
            <w:tcW w:w="2104" w:type="dxa"/>
          </w:tcPr>
          <w:p w:rsidR="00E922D9" w:rsidRPr="00C60AD1" w:rsidRDefault="00E922D9" w:rsidP="00EB02EF">
            <w:pPr>
              <w:spacing w:before="0"/>
              <w:jc w:val="center"/>
            </w:pPr>
            <w:r w:rsidRPr="00C60AD1">
              <w:t>7.5 HP</w:t>
            </w:r>
          </w:p>
        </w:tc>
        <w:tc>
          <w:tcPr>
            <w:tcW w:w="1350" w:type="dxa"/>
          </w:tcPr>
          <w:p w:rsidR="00E922D9" w:rsidRPr="00C60AD1" w:rsidRDefault="00E922D9" w:rsidP="00EB02EF">
            <w:pPr>
              <w:spacing w:before="0"/>
              <w:jc w:val="center"/>
            </w:pPr>
            <w:r w:rsidRPr="00C60AD1">
              <w:t>3</w:t>
            </w:r>
          </w:p>
        </w:tc>
        <w:tc>
          <w:tcPr>
            <w:tcW w:w="1350" w:type="dxa"/>
          </w:tcPr>
          <w:p w:rsidR="00E922D9" w:rsidRPr="00C60AD1" w:rsidRDefault="00E922D9" w:rsidP="00EB02EF">
            <w:pPr>
              <w:spacing w:before="0"/>
              <w:jc w:val="center"/>
            </w:pPr>
            <w:r w:rsidRPr="00C60AD1">
              <w:t>3</w:t>
            </w:r>
          </w:p>
        </w:tc>
        <w:tc>
          <w:tcPr>
            <w:tcW w:w="1260" w:type="dxa"/>
          </w:tcPr>
          <w:p w:rsidR="00E922D9" w:rsidRPr="00C60AD1" w:rsidRDefault="00E922D9" w:rsidP="00EB02EF">
            <w:pPr>
              <w:spacing w:before="0"/>
              <w:jc w:val="center"/>
            </w:pPr>
            <w:r w:rsidRPr="00C60AD1">
              <w:t>3</w:t>
            </w:r>
          </w:p>
        </w:tc>
        <w:tc>
          <w:tcPr>
            <w:tcW w:w="1482" w:type="dxa"/>
          </w:tcPr>
          <w:p w:rsidR="00E922D9" w:rsidRPr="00C60AD1" w:rsidRDefault="00E922D9" w:rsidP="00EB02EF">
            <w:pPr>
              <w:spacing w:before="0"/>
              <w:jc w:val="center"/>
            </w:pPr>
            <w:r w:rsidRPr="00C60AD1">
              <w:t>3</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4.</w:t>
            </w:r>
          </w:p>
        </w:tc>
        <w:tc>
          <w:tcPr>
            <w:tcW w:w="2104" w:type="dxa"/>
          </w:tcPr>
          <w:p w:rsidR="00E922D9" w:rsidRPr="00C60AD1" w:rsidRDefault="00E922D9" w:rsidP="00EB02EF">
            <w:pPr>
              <w:spacing w:before="0"/>
              <w:jc w:val="center"/>
            </w:pPr>
            <w:r w:rsidRPr="00C60AD1">
              <w:t>10 HP</w:t>
            </w:r>
          </w:p>
        </w:tc>
        <w:tc>
          <w:tcPr>
            <w:tcW w:w="1350" w:type="dxa"/>
          </w:tcPr>
          <w:p w:rsidR="00E922D9" w:rsidRPr="00C60AD1" w:rsidRDefault="00E922D9" w:rsidP="00EB02EF">
            <w:pPr>
              <w:spacing w:before="0"/>
              <w:jc w:val="center"/>
            </w:pPr>
            <w:r w:rsidRPr="00C60AD1">
              <w:t>4</w:t>
            </w:r>
          </w:p>
        </w:tc>
        <w:tc>
          <w:tcPr>
            <w:tcW w:w="1350" w:type="dxa"/>
          </w:tcPr>
          <w:p w:rsidR="00E922D9" w:rsidRPr="00C60AD1" w:rsidRDefault="00E922D9" w:rsidP="00EB02EF">
            <w:pPr>
              <w:spacing w:before="0"/>
              <w:jc w:val="center"/>
            </w:pPr>
            <w:r w:rsidRPr="00C60AD1">
              <w:t>4</w:t>
            </w:r>
          </w:p>
        </w:tc>
        <w:tc>
          <w:tcPr>
            <w:tcW w:w="1260" w:type="dxa"/>
          </w:tcPr>
          <w:p w:rsidR="00E922D9" w:rsidRPr="00C60AD1" w:rsidRDefault="00E922D9" w:rsidP="00EB02EF">
            <w:pPr>
              <w:spacing w:before="0"/>
              <w:jc w:val="center"/>
            </w:pPr>
            <w:r w:rsidRPr="00C60AD1">
              <w:t>4</w:t>
            </w:r>
          </w:p>
        </w:tc>
        <w:tc>
          <w:tcPr>
            <w:tcW w:w="1482" w:type="dxa"/>
          </w:tcPr>
          <w:p w:rsidR="00E922D9" w:rsidRPr="00C60AD1" w:rsidRDefault="00E922D9" w:rsidP="00EB02EF">
            <w:pPr>
              <w:spacing w:before="0"/>
              <w:jc w:val="center"/>
            </w:pPr>
            <w:r w:rsidRPr="00C60AD1">
              <w:t>3</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5.</w:t>
            </w:r>
          </w:p>
        </w:tc>
        <w:tc>
          <w:tcPr>
            <w:tcW w:w="2104" w:type="dxa"/>
          </w:tcPr>
          <w:p w:rsidR="00E922D9" w:rsidRPr="00C60AD1" w:rsidRDefault="00E922D9" w:rsidP="00EB02EF">
            <w:pPr>
              <w:spacing w:before="0"/>
              <w:jc w:val="center"/>
            </w:pPr>
            <w:r w:rsidRPr="00C60AD1">
              <w:t>15 HP</w:t>
            </w:r>
          </w:p>
        </w:tc>
        <w:tc>
          <w:tcPr>
            <w:tcW w:w="1350" w:type="dxa"/>
          </w:tcPr>
          <w:p w:rsidR="00E922D9" w:rsidRPr="00C60AD1" w:rsidRDefault="00E922D9" w:rsidP="00EB02EF">
            <w:pPr>
              <w:spacing w:before="0"/>
              <w:jc w:val="center"/>
            </w:pPr>
            <w:r w:rsidRPr="00C60AD1">
              <w:t>6</w:t>
            </w:r>
          </w:p>
        </w:tc>
        <w:tc>
          <w:tcPr>
            <w:tcW w:w="1350" w:type="dxa"/>
          </w:tcPr>
          <w:p w:rsidR="00E922D9" w:rsidRPr="00C60AD1" w:rsidRDefault="00E922D9" w:rsidP="00EB02EF">
            <w:pPr>
              <w:spacing w:before="0"/>
              <w:jc w:val="center"/>
            </w:pPr>
            <w:r w:rsidRPr="00C60AD1">
              <w:t>5</w:t>
            </w:r>
          </w:p>
        </w:tc>
        <w:tc>
          <w:tcPr>
            <w:tcW w:w="1260" w:type="dxa"/>
          </w:tcPr>
          <w:p w:rsidR="00E922D9" w:rsidRPr="00C60AD1" w:rsidRDefault="00E922D9" w:rsidP="00EB02EF">
            <w:pPr>
              <w:spacing w:before="0"/>
              <w:jc w:val="center"/>
            </w:pPr>
            <w:r w:rsidRPr="00C60AD1">
              <w:t>5</w:t>
            </w:r>
          </w:p>
        </w:tc>
        <w:tc>
          <w:tcPr>
            <w:tcW w:w="1482" w:type="dxa"/>
          </w:tcPr>
          <w:p w:rsidR="00E922D9" w:rsidRPr="00C60AD1" w:rsidRDefault="00E922D9" w:rsidP="00EB02EF">
            <w:pPr>
              <w:spacing w:before="0"/>
              <w:jc w:val="center"/>
            </w:pPr>
            <w:r w:rsidRPr="00C60AD1">
              <w:t>4</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6.</w:t>
            </w:r>
          </w:p>
        </w:tc>
        <w:tc>
          <w:tcPr>
            <w:tcW w:w="2104" w:type="dxa"/>
          </w:tcPr>
          <w:p w:rsidR="00E922D9" w:rsidRPr="00C60AD1" w:rsidRDefault="00E922D9" w:rsidP="00EB02EF">
            <w:pPr>
              <w:spacing w:before="0"/>
              <w:jc w:val="center"/>
            </w:pPr>
            <w:r w:rsidRPr="00C60AD1">
              <w:t>20 HP</w:t>
            </w:r>
          </w:p>
        </w:tc>
        <w:tc>
          <w:tcPr>
            <w:tcW w:w="1350" w:type="dxa"/>
          </w:tcPr>
          <w:p w:rsidR="00E922D9" w:rsidRPr="00C60AD1" w:rsidRDefault="00E922D9" w:rsidP="00EB02EF">
            <w:pPr>
              <w:spacing w:before="0"/>
              <w:jc w:val="center"/>
            </w:pPr>
            <w:r w:rsidRPr="00C60AD1">
              <w:t>8</w:t>
            </w:r>
          </w:p>
        </w:tc>
        <w:tc>
          <w:tcPr>
            <w:tcW w:w="1350" w:type="dxa"/>
          </w:tcPr>
          <w:p w:rsidR="00E922D9" w:rsidRPr="00C60AD1" w:rsidRDefault="00E922D9" w:rsidP="00EB02EF">
            <w:pPr>
              <w:spacing w:before="0"/>
              <w:jc w:val="center"/>
            </w:pPr>
            <w:r w:rsidRPr="00C60AD1">
              <w:t>7</w:t>
            </w:r>
          </w:p>
        </w:tc>
        <w:tc>
          <w:tcPr>
            <w:tcW w:w="1260" w:type="dxa"/>
          </w:tcPr>
          <w:p w:rsidR="00E922D9" w:rsidRPr="00C60AD1" w:rsidRDefault="00E922D9" w:rsidP="00EB02EF">
            <w:pPr>
              <w:spacing w:before="0"/>
              <w:jc w:val="center"/>
            </w:pPr>
            <w:r w:rsidRPr="00C60AD1">
              <w:t>6</w:t>
            </w:r>
          </w:p>
        </w:tc>
        <w:tc>
          <w:tcPr>
            <w:tcW w:w="1482" w:type="dxa"/>
          </w:tcPr>
          <w:p w:rsidR="00E922D9" w:rsidRPr="00C60AD1" w:rsidRDefault="00E922D9" w:rsidP="00EB02EF">
            <w:pPr>
              <w:spacing w:before="0"/>
              <w:jc w:val="center"/>
            </w:pPr>
            <w:r w:rsidRPr="00C60AD1">
              <w:t>5</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7.</w:t>
            </w:r>
          </w:p>
        </w:tc>
        <w:tc>
          <w:tcPr>
            <w:tcW w:w="2104" w:type="dxa"/>
          </w:tcPr>
          <w:p w:rsidR="00E922D9" w:rsidRPr="00C60AD1" w:rsidRDefault="00E922D9" w:rsidP="00EB02EF">
            <w:pPr>
              <w:spacing w:before="0"/>
              <w:jc w:val="center"/>
            </w:pPr>
            <w:r w:rsidRPr="00C60AD1">
              <w:t>25 HP</w:t>
            </w:r>
          </w:p>
        </w:tc>
        <w:tc>
          <w:tcPr>
            <w:tcW w:w="1350" w:type="dxa"/>
          </w:tcPr>
          <w:p w:rsidR="00E922D9" w:rsidRPr="00C60AD1" w:rsidRDefault="00E922D9" w:rsidP="00EB02EF">
            <w:pPr>
              <w:spacing w:before="0"/>
              <w:jc w:val="center"/>
            </w:pPr>
            <w:r w:rsidRPr="00C60AD1">
              <w:t>9</w:t>
            </w:r>
          </w:p>
        </w:tc>
        <w:tc>
          <w:tcPr>
            <w:tcW w:w="1350" w:type="dxa"/>
          </w:tcPr>
          <w:p w:rsidR="00E922D9" w:rsidRPr="00C60AD1" w:rsidRDefault="00E922D9" w:rsidP="00EB02EF">
            <w:pPr>
              <w:spacing w:before="0"/>
              <w:jc w:val="center"/>
            </w:pPr>
            <w:r w:rsidRPr="00C60AD1">
              <w:t>8</w:t>
            </w:r>
          </w:p>
        </w:tc>
        <w:tc>
          <w:tcPr>
            <w:tcW w:w="1260" w:type="dxa"/>
          </w:tcPr>
          <w:p w:rsidR="00E922D9" w:rsidRPr="00C60AD1" w:rsidRDefault="00E922D9" w:rsidP="00EB02EF">
            <w:pPr>
              <w:spacing w:before="0"/>
              <w:jc w:val="center"/>
            </w:pPr>
            <w:r w:rsidRPr="00C60AD1">
              <w:t>7</w:t>
            </w:r>
          </w:p>
        </w:tc>
        <w:tc>
          <w:tcPr>
            <w:tcW w:w="1482" w:type="dxa"/>
          </w:tcPr>
          <w:p w:rsidR="00E922D9" w:rsidRPr="00C60AD1" w:rsidRDefault="00E922D9" w:rsidP="00EB02EF">
            <w:pPr>
              <w:spacing w:before="0"/>
              <w:jc w:val="center"/>
            </w:pPr>
            <w:r w:rsidRPr="00C60AD1">
              <w:t>6</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8.</w:t>
            </w:r>
          </w:p>
        </w:tc>
        <w:tc>
          <w:tcPr>
            <w:tcW w:w="2104" w:type="dxa"/>
          </w:tcPr>
          <w:p w:rsidR="00E922D9" w:rsidRPr="00C60AD1" w:rsidRDefault="00E922D9" w:rsidP="00EB02EF">
            <w:pPr>
              <w:spacing w:before="0"/>
              <w:jc w:val="center"/>
            </w:pPr>
            <w:r w:rsidRPr="00C60AD1">
              <w:t>30 HP</w:t>
            </w:r>
          </w:p>
        </w:tc>
        <w:tc>
          <w:tcPr>
            <w:tcW w:w="1350" w:type="dxa"/>
          </w:tcPr>
          <w:p w:rsidR="00E922D9" w:rsidRPr="00C60AD1" w:rsidRDefault="00E922D9" w:rsidP="00EB02EF">
            <w:pPr>
              <w:spacing w:before="0"/>
              <w:jc w:val="center"/>
            </w:pPr>
            <w:r w:rsidRPr="00C60AD1">
              <w:t>10</w:t>
            </w:r>
          </w:p>
        </w:tc>
        <w:tc>
          <w:tcPr>
            <w:tcW w:w="1350" w:type="dxa"/>
          </w:tcPr>
          <w:p w:rsidR="00E922D9" w:rsidRPr="00C60AD1" w:rsidRDefault="00E922D9" w:rsidP="00EB02EF">
            <w:pPr>
              <w:spacing w:before="0"/>
              <w:jc w:val="center"/>
            </w:pPr>
            <w:r w:rsidRPr="00C60AD1">
              <w:t>9</w:t>
            </w:r>
          </w:p>
        </w:tc>
        <w:tc>
          <w:tcPr>
            <w:tcW w:w="1260" w:type="dxa"/>
          </w:tcPr>
          <w:p w:rsidR="00E922D9" w:rsidRPr="00C60AD1" w:rsidRDefault="00E922D9" w:rsidP="00EB02EF">
            <w:pPr>
              <w:spacing w:before="0"/>
              <w:jc w:val="center"/>
            </w:pPr>
            <w:r w:rsidRPr="00C60AD1">
              <w:t>8</w:t>
            </w:r>
          </w:p>
        </w:tc>
        <w:tc>
          <w:tcPr>
            <w:tcW w:w="1482" w:type="dxa"/>
          </w:tcPr>
          <w:p w:rsidR="00E922D9" w:rsidRPr="00C60AD1" w:rsidRDefault="00E922D9" w:rsidP="00EB02EF">
            <w:pPr>
              <w:spacing w:before="0"/>
              <w:jc w:val="center"/>
            </w:pPr>
            <w:r w:rsidRPr="00C60AD1">
              <w:t>7</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9.</w:t>
            </w:r>
          </w:p>
        </w:tc>
        <w:tc>
          <w:tcPr>
            <w:tcW w:w="2104" w:type="dxa"/>
          </w:tcPr>
          <w:p w:rsidR="00E922D9" w:rsidRPr="00C60AD1" w:rsidRDefault="00E922D9" w:rsidP="00EB02EF">
            <w:pPr>
              <w:spacing w:before="0"/>
              <w:jc w:val="center"/>
            </w:pPr>
            <w:r w:rsidRPr="00C60AD1">
              <w:t>40 HP</w:t>
            </w:r>
          </w:p>
        </w:tc>
        <w:tc>
          <w:tcPr>
            <w:tcW w:w="1350" w:type="dxa"/>
          </w:tcPr>
          <w:p w:rsidR="00E922D9" w:rsidRPr="00C60AD1" w:rsidRDefault="00E922D9" w:rsidP="00EB02EF">
            <w:pPr>
              <w:spacing w:before="0"/>
              <w:jc w:val="center"/>
            </w:pPr>
            <w:r w:rsidRPr="00C60AD1">
              <w:t>13</w:t>
            </w:r>
          </w:p>
        </w:tc>
        <w:tc>
          <w:tcPr>
            <w:tcW w:w="1350" w:type="dxa"/>
          </w:tcPr>
          <w:p w:rsidR="00E922D9" w:rsidRPr="00C60AD1" w:rsidRDefault="00E922D9" w:rsidP="00EB02EF">
            <w:pPr>
              <w:spacing w:before="0"/>
              <w:jc w:val="center"/>
            </w:pPr>
            <w:r w:rsidRPr="00C60AD1">
              <w:t>11</w:t>
            </w:r>
          </w:p>
        </w:tc>
        <w:tc>
          <w:tcPr>
            <w:tcW w:w="1260" w:type="dxa"/>
          </w:tcPr>
          <w:p w:rsidR="00E922D9" w:rsidRPr="00C60AD1" w:rsidRDefault="00E922D9" w:rsidP="00EB02EF">
            <w:pPr>
              <w:spacing w:before="0"/>
              <w:jc w:val="center"/>
            </w:pPr>
            <w:r w:rsidRPr="00C60AD1">
              <w:t>10</w:t>
            </w:r>
          </w:p>
        </w:tc>
        <w:tc>
          <w:tcPr>
            <w:tcW w:w="1482" w:type="dxa"/>
          </w:tcPr>
          <w:p w:rsidR="00E922D9" w:rsidRPr="00C60AD1" w:rsidRDefault="00E922D9" w:rsidP="00EB02EF">
            <w:pPr>
              <w:spacing w:before="0"/>
              <w:jc w:val="center"/>
            </w:pPr>
            <w:r w:rsidRPr="00C60AD1">
              <w:t>9</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10.</w:t>
            </w:r>
          </w:p>
        </w:tc>
        <w:tc>
          <w:tcPr>
            <w:tcW w:w="2104" w:type="dxa"/>
          </w:tcPr>
          <w:p w:rsidR="00E922D9" w:rsidRPr="00C60AD1" w:rsidRDefault="00E922D9" w:rsidP="00EB02EF">
            <w:pPr>
              <w:spacing w:before="0"/>
              <w:jc w:val="center"/>
            </w:pPr>
            <w:r w:rsidRPr="00C60AD1">
              <w:t>50 HP</w:t>
            </w:r>
          </w:p>
        </w:tc>
        <w:tc>
          <w:tcPr>
            <w:tcW w:w="1350" w:type="dxa"/>
          </w:tcPr>
          <w:p w:rsidR="00E922D9" w:rsidRPr="00C60AD1" w:rsidRDefault="00E922D9" w:rsidP="00EB02EF">
            <w:pPr>
              <w:spacing w:before="0"/>
              <w:jc w:val="center"/>
            </w:pPr>
            <w:r w:rsidRPr="00C60AD1">
              <w:t>15</w:t>
            </w:r>
          </w:p>
        </w:tc>
        <w:tc>
          <w:tcPr>
            <w:tcW w:w="1350" w:type="dxa"/>
          </w:tcPr>
          <w:p w:rsidR="00E922D9" w:rsidRPr="00C60AD1" w:rsidRDefault="00E922D9" w:rsidP="00EB02EF">
            <w:pPr>
              <w:spacing w:before="0"/>
              <w:jc w:val="center"/>
            </w:pPr>
            <w:r w:rsidRPr="00C60AD1">
              <w:t>15</w:t>
            </w:r>
          </w:p>
        </w:tc>
        <w:tc>
          <w:tcPr>
            <w:tcW w:w="1260" w:type="dxa"/>
          </w:tcPr>
          <w:p w:rsidR="00E922D9" w:rsidRPr="00C60AD1" w:rsidRDefault="00E922D9" w:rsidP="00EB02EF">
            <w:pPr>
              <w:spacing w:before="0"/>
              <w:jc w:val="center"/>
            </w:pPr>
            <w:r w:rsidRPr="00C60AD1">
              <w:t>12</w:t>
            </w:r>
          </w:p>
        </w:tc>
        <w:tc>
          <w:tcPr>
            <w:tcW w:w="1482" w:type="dxa"/>
          </w:tcPr>
          <w:p w:rsidR="00E922D9" w:rsidRPr="00C60AD1" w:rsidRDefault="00E922D9" w:rsidP="00EB02EF">
            <w:pPr>
              <w:spacing w:before="0"/>
              <w:jc w:val="center"/>
            </w:pPr>
            <w:r w:rsidRPr="00C60AD1">
              <w:t>10</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11.</w:t>
            </w:r>
          </w:p>
        </w:tc>
        <w:tc>
          <w:tcPr>
            <w:tcW w:w="2104" w:type="dxa"/>
          </w:tcPr>
          <w:p w:rsidR="00E922D9" w:rsidRPr="00C60AD1" w:rsidRDefault="00E922D9" w:rsidP="00EB02EF">
            <w:pPr>
              <w:spacing w:before="0"/>
              <w:jc w:val="center"/>
            </w:pPr>
            <w:r w:rsidRPr="00C60AD1">
              <w:t>60 HP</w:t>
            </w:r>
          </w:p>
        </w:tc>
        <w:tc>
          <w:tcPr>
            <w:tcW w:w="1350" w:type="dxa"/>
          </w:tcPr>
          <w:p w:rsidR="00E922D9" w:rsidRPr="00C60AD1" w:rsidRDefault="00E922D9" w:rsidP="00EB02EF">
            <w:pPr>
              <w:spacing w:before="0"/>
              <w:jc w:val="center"/>
            </w:pPr>
            <w:r w:rsidRPr="00C60AD1">
              <w:t>20</w:t>
            </w:r>
          </w:p>
        </w:tc>
        <w:tc>
          <w:tcPr>
            <w:tcW w:w="1350" w:type="dxa"/>
          </w:tcPr>
          <w:p w:rsidR="00E922D9" w:rsidRPr="00C60AD1" w:rsidRDefault="00E922D9" w:rsidP="00EB02EF">
            <w:pPr>
              <w:spacing w:before="0"/>
              <w:jc w:val="center"/>
            </w:pPr>
            <w:r w:rsidRPr="00C60AD1">
              <w:t>20</w:t>
            </w:r>
          </w:p>
        </w:tc>
        <w:tc>
          <w:tcPr>
            <w:tcW w:w="1260" w:type="dxa"/>
          </w:tcPr>
          <w:p w:rsidR="00E922D9" w:rsidRPr="00C60AD1" w:rsidRDefault="00E922D9" w:rsidP="00EB02EF">
            <w:pPr>
              <w:spacing w:before="0"/>
              <w:jc w:val="center"/>
            </w:pPr>
            <w:r w:rsidRPr="00C60AD1">
              <w:t>16</w:t>
            </w:r>
          </w:p>
        </w:tc>
        <w:tc>
          <w:tcPr>
            <w:tcW w:w="1482" w:type="dxa"/>
          </w:tcPr>
          <w:p w:rsidR="00E922D9" w:rsidRPr="00C60AD1" w:rsidRDefault="00E922D9" w:rsidP="00EB02EF">
            <w:pPr>
              <w:spacing w:before="0"/>
              <w:jc w:val="center"/>
            </w:pPr>
            <w:r w:rsidRPr="00C60AD1">
              <w:t>14</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12.</w:t>
            </w:r>
          </w:p>
        </w:tc>
        <w:tc>
          <w:tcPr>
            <w:tcW w:w="2104" w:type="dxa"/>
          </w:tcPr>
          <w:p w:rsidR="00E922D9" w:rsidRPr="00C60AD1" w:rsidRDefault="00E922D9" w:rsidP="00EB02EF">
            <w:pPr>
              <w:spacing w:before="0"/>
              <w:jc w:val="center"/>
            </w:pPr>
            <w:r w:rsidRPr="00C60AD1">
              <w:t>75 HP</w:t>
            </w:r>
          </w:p>
        </w:tc>
        <w:tc>
          <w:tcPr>
            <w:tcW w:w="1350" w:type="dxa"/>
          </w:tcPr>
          <w:p w:rsidR="00E922D9" w:rsidRPr="00C60AD1" w:rsidRDefault="00E922D9" w:rsidP="00EB02EF">
            <w:pPr>
              <w:spacing w:before="0"/>
              <w:jc w:val="center"/>
            </w:pPr>
            <w:r w:rsidRPr="00C60AD1">
              <w:t>24</w:t>
            </w:r>
          </w:p>
        </w:tc>
        <w:tc>
          <w:tcPr>
            <w:tcW w:w="1350" w:type="dxa"/>
          </w:tcPr>
          <w:p w:rsidR="00E922D9" w:rsidRPr="00C60AD1" w:rsidRDefault="00E922D9" w:rsidP="00EB02EF">
            <w:pPr>
              <w:spacing w:before="0"/>
              <w:jc w:val="center"/>
            </w:pPr>
            <w:r w:rsidRPr="00C60AD1">
              <w:t>23</w:t>
            </w:r>
          </w:p>
        </w:tc>
        <w:tc>
          <w:tcPr>
            <w:tcW w:w="1260" w:type="dxa"/>
          </w:tcPr>
          <w:p w:rsidR="00E922D9" w:rsidRPr="00C60AD1" w:rsidRDefault="00E922D9" w:rsidP="00EB02EF">
            <w:pPr>
              <w:spacing w:before="0"/>
              <w:jc w:val="center"/>
            </w:pPr>
            <w:r w:rsidRPr="00C60AD1">
              <w:t>19</w:t>
            </w:r>
          </w:p>
        </w:tc>
        <w:tc>
          <w:tcPr>
            <w:tcW w:w="1482" w:type="dxa"/>
          </w:tcPr>
          <w:p w:rsidR="00E922D9" w:rsidRPr="00C60AD1" w:rsidRDefault="00E922D9" w:rsidP="00EB02EF">
            <w:pPr>
              <w:spacing w:before="0"/>
              <w:jc w:val="center"/>
            </w:pPr>
            <w:r w:rsidRPr="00C60AD1">
              <w:t>16</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13.</w:t>
            </w:r>
          </w:p>
        </w:tc>
        <w:tc>
          <w:tcPr>
            <w:tcW w:w="2104" w:type="dxa"/>
          </w:tcPr>
          <w:p w:rsidR="00E922D9" w:rsidRPr="00C60AD1" w:rsidRDefault="00E922D9" w:rsidP="00EB02EF">
            <w:pPr>
              <w:spacing w:before="0"/>
              <w:jc w:val="center"/>
            </w:pPr>
            <w:r w:rsidRPr="00C60AD1">
              <w:t>100 HP</w:t>
            </w:r>
          </w:p>
        </w:tc>
        <w:tc>
          <w:tcPr>
            <w:tcW w:w="1350" w:type="dxa"/>
          </w:tcPr>
          <w:p w:rsidR="00E922D9" w:rsidRPr="00C60AD1" w:rsidRDefault="00E922D9" w:rsidP="00EB02EF">
            <w:pPr>
              <w:spacing w:before="0"/>
              <w:jc w:val="center"/>
            </w:pPr>
            <w:r w:rsidRPr="00C60AD1">
              <w:t>30</w:t>
            </w:r>
          </w:p>
        </w:tc>
        <w:tc>
          <w:tcPr>
            <w:tcW w:w="1350" w:type="dxa"/>
          </w:tcPr>
          <w:p w:rsidR="00E922D9" w:rsidRPr="00C60AD1" w:rsidRDefault="00E922D9" w:rsidP="00EB02EF">
            <w:pPr>
              <w:spacing w:before="0"/>
              <w:jc w:val="center"/>
            </w:pPr>
            <w:r w:rsidRPr="00C60AD1">
              <w:t>30</w:t>
            </w:r>
          </w:p>
        </w:tc>
        <w:tc>
          <w:tcPr>
            <w:tcW w:w="1260" w:type="dxa"/>
          </w:tcPr>
          <w:p w:rsidR="00E922D9" w:rsidRPr="00C60AD1" w:rsidRDefault="00E922D9" w:rsidP="00EB02EF">
            <w:pPr>
              <w:spacing w:before="0"/>
              <w:jc w:val="center"/>
            </w:pPr>
            <w:r w:rsidRPr="00C60AD1">
              <w:t>24</w:t>
            </w:r>
          </w:p>
        </w:tc>
        <w:tc>
          <w:tcPr>
            <w:tcW w:w="1482" w:type="dxa"/>
          </w:tcPr>
          <w:p w:rsidR="00E922D9" w:rsidRPr="00C60AD1" w:rsidRDefault="00E922D9" w:rsidP="00EB02EF">
            <w:pPr>
              <w:spacing w:before="0"/>
              <w:jc w:val="center"/>
            </w:pPr>
            <w:r w:rsidRPr="00C60AD1">
              <w:t>20</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14.</w:t>
            </w:r>
          </w:p>
        </w:tc>
        <w:tc>
          <w:tcPr>
            <w:tcW w:w="2104" w:type="dxa"/>
          </w:tcPr>
          <w:p w:rsidR="00E922D9" w:rsidRPr="00C60AD1" w:rsidRDefault="00E922D9" w:rsidP="00EB02EF">
            <w:pPr>
              <w:spacing w:before="0"/>
              <w:jc w:val="center"/>
            </w:pPr>
            <w:r w:rsidRPr="00C60AD1">
              <w:t>125 HP</w:t>
            </w:r>
          </w:p>
        </w:tc>
        <w:tc>
          <w:tcPr>
            <w:tcW w:w="1350" w:type="dxa"/>
          </w:tcPr>
          <w:p w:rsidR="00E922D9" w:rsidRPr="00C60AD1" w:rsidRDefault="00E922D9" w:rsidP="00EB02EF">
            <w:pPr>
              <w:spacing w:before="0"/>
              <w:jc w:val="center"/>
            </w:pPr>
            <w:r w:rsidRPr="00C60AD1">
              <w:t>39</w:t>
            </w:r>
          </w:p>
        </w:tc>
        <w:tc>
          <w:tcPr>
            <w:tcW w:w="1350" w:type="dxa"/>
          </w:tcPr>
          <w:p w:rsidR="00E922D9" w:rsidRPr="00C60AD1" w:rsidRDefault="00E922D9" w:rsidP="00EB02EF">
            <w:pPr>
              <w:spacing w:before="0"/>
              <w:jc w:val="center"/>
            </w:pPr>
            <w:r w:rsidRPr="00C60AD1">
              <w:t>38</w:t>
            </w:r>
          </w:p>
        </w:tc>
        <w:tc>
          <w:tcPr>
            <w:tcW w:w="1260" w:type="dxa"/>
          </w:tcPr>
          <w:p w:rsidR="00E922D9" w:rsidRPr="00C60AD1" w:rsidRDefault="00E922D9" w:rsidP="00EB02EF">
            <w:pPr>
              <w:spacing w:before="0"/>
              <w:jc w:val="center"/>
            </w:pPr>
            <w:r w:rsidRPr="00C60AD1">
              <w:t>31</w:t>
            </w:r>
          </w:p>
        </w:tc>
        <w:tc>
          <w:tcPr>
            <w:tcW w:w="1482" w:type="dxa"/>
          </w:tcPr>
          <w:p w:rsidR="00E922D9" w:rsidRPr="00C60AD1" w:rsidRDefault="00E922D9" w:rsidP="00EB02EF">
            <w:pPr>
              <w:spacing w:before="0"/>
              <w:jc w:val="center"/>
            </w:pPr>
            <w:r w:rsidRPr="00C60AD1">
              <w:t>26</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15.</w:t>
            </w:r>
          </w:p>
        </w:tc>
        <w:tc>
          <w:tcPr>
            <w:tcW w:w="2104" w:type="dxa"/>
          </w:tcPr>
          <w:p w:rsidR="00E922D9" w:rsidRPr="00C60AD1" w:rsidRDefault="00E922D9" w:rsidP="00EB02EF">
            <w:pPr>
              <w:spacing w:before="0"/>
              <w:jc w:val="center"/>
            </w:pPr>
            <w:r w:rsidRPr="00C60AD1">
              <w:t>150 HP</w:t>
            </w:r>
          </w:p>
        </w:tc>
        <w:tc>
          <w:tcPr>
            <w:tcW w:w="1350" w:type="dxa"/>
          </w:tcPr>
          <w:p w:rsidR="00E922D9" w:rsidRPr="00C60AD1" w:rsidRDefault="00E922D9" w:rsidP="00EB02EF">
            <w:pPr>
              <w:spacing w:before="0"/>
              <w:jc w:val="center"/>
            </w:pPr>
            <w:r w:rsidRPr="00C60AD1">
              <w:t>45</w:t>
            </w:r>
          </w:p>
        </w:tc>
        <w:tc>
          <w:tcPr>
            <w:tcW w:w="1350" w:type="dxa"/>
          </w:tcPr>
          <w:p w:rsidR="00E922D9" w:rsidRPr="00C60AD1" w:rsidRDefault="00E922D9" w:rsidP="00EB02EF">
            <w:pPr>
              <w:spacing w:before="0"/>
              <w:jc w:val="center"/>
            </w:pPr>
            <w:r w:rsidRPr="00C60AD1">
              <w:t>45</w:t>
            </w:r>
          </w:p>
        </w:tc>
        <w:tc>
          <w:tcPr>
            <w:tcW w:w="1260" w:type="dxa"/>
          </w:tcPr>
          <w:p w:rsidR="00E922D9" w:rsidRPr="00C60AD1" w:rsidRDefault="00E922D9" w:rsidP="00EB02EF">
            <w:pPr>
              <w:spacing w:before="0"/>
              <w:jc w:val="center"/>
            </w:pPr>
            <w:r w:rsidRPr="00C60AD1">
              <w:t>36</w:t>
            </w:r>
          </w:p>
        </w:tc>
        <w:tc>
          <w:tcPr>
            <w:tcW w:w="1482" w:type="dxa"/>
          </w:tcPr>
          <w:p w:rsidR="00E922D9" w:rsidRPr="00C60AD1" w:rsidRDefault="00E922D9" w:rsidP="00EB02EF">
            <w:pPr>
              <w:spacing w:before="0"/>
              <w:jc w:val="center"/>
            </w:pPr>
            <w:r w:rsidRPr="00C60AD1">
              <w:t>30</w:t>
            </w:r>
          </w:p>
        </w:tc>
      </w:tr>
      <w:tr w:rsidR="00E922D9" w:rsidRPr="00C60AD1" w:rsidTr="00EB02EF">
        <w:trPr>
          <w:cantSplit/>
          <w:jc w:val="center"/>
        </w:trPr>
        <w:tc>
          <w:tcPr>
            <w:tcW w:w="1038" w:type="dxa"/>
          </w:tcPr>
          <w:p w:rsidR="00E922D9" w:rsidRPr="00C60AD1" w:rsidRDefault="00E922D9" w:rsidP="00EB02EF">
            <w:pPr>
              <w:spacing w:before="0"/>
              <w:jc w:val="center"/>
            </w:pPr>
            <w:r w:rsidRPr="00C60AD1">
              <w:t>16.</w:t>
            </w:r>
          </w:p>
        </w:tc>
        <w:tc>
          <w:tcPr>
            <w:tcW w:w="2104" w:type="dxa"/>
          </w:tcPr>
          <w:p w:rsidR="00E922D9" w:rsidRPr="00C60AD1" w:rsidRDefault="00E922D9" w:rsidP="00EB02EF">
            <w:pPr>
              <w:spacing w:before="0"/>
              <w:jc w:val="center"/>
            </w:pPr>
            <w:r w:rsidRPr="00C60AD1">
              <w:t>200 HP</w:t>
            </w:r>
          </w:p>
        </w:tc>
        <w:tc>
          <w:tcPr>
            <w:tcW w:w="1350" w:type="dxa"/>
          </w:tcPr>
          <w:p w:rsidR="00E922D9" w:rsidRPr="00C60AD1" w:rsidRDefault="00E922D9" w:rsidP="00EB02EF">
            <w:pPr>
              <w:spacing w:before="0"/>
              <w:jc w:val="center"/>
            </w:pPr>
            <w:r w:rsidRPr="00C60AD1">
              <w:t>60</w:t>
            </w:r>
          </w:p>
        </w:tc>
        <w:tc>
          <w:tcPr>
            <w:tcW w:w="1350" w:type="dxa"/>
          </w:tcPr>
          <w:p w:rsidR="00E922D9" w:rsidRPr="00C60AD1" w:rsidRDefault="00E922D9" w:rsidP="00EB02EF">
            <w:pPr>
              <w:spacing w:before="0"/>
              <w:jc w:val="center"/>
            </w:pPr>
            <w:r w:rsidRPr="00C60AD1">
              <w:t>60</w:t>
            </w:r>
          </w:p>
        </w:tc>
        <w:tc>
          <w:tcPr>
            <w:tcW w:w="1260" w:type="dxa"/>
          </w:tcPr>
          <w:p w:rsidR="00E922D9" w:rsidRPr="00C60AD1" w:rsidRDefault="00E922D9" w:rsidP="00EB02EF">
            <w:pPr>
              <w:spacing w:before="0"/>
              <w:jc w:val="center"/>
            </w:pPr>
            <w:r w:rsidRPr="00C60AD1">
              <w:t>48</w:t>
            </w:r>
          </w:p>
        </w:tc>
        <w:tc>
          <w:tcPr>
            <w:tcW w:w="1482" w:type="dxa"/>
          </w:tcPr>
          <w:p w:rsidR="00E922D9" w:rsidRPr="00C60AD1" w:rsidRDefault="00E922D9" w:rsidP="00EB02EF">
            <w:pPr>
              <w:spacing w:before="0"/>
              <w:jc w:val="center"/>
            </w:pPr>
            <w:r w:rsidRPr="00C60AD1">
              <w:t>40</w:t>
            </w:r>
          </w:p>
        </w:tc>
      </w:tr>
    </w:tbl>
    <w:p w:rsidR="00E922D9" w:rsidRPr="00C60AD1" w:rsidRDefault="00E922D9" w:rsidP="00E922D9">
      <w:pPr>
        <w:spacing w:before="0"/>
      </w:pPr>
    </w:p>
    <w:p w:rsidR="00E922D9" w:rsidRPr="00C60AD1" w:rsidRDefault="00E922D9" w:rsidP="00E922D9"/>
    <w:p w:rsidR="00E922D9" w:rsidRPr="00C60AD1" w:rsidRDefault="00E922D9" w:rsidP="00E922D9">
      <w:pPr>
        <w:ind w:left="360"/>
        <w:jc w:val="left"/>
        <w:rPr>
          <w:b/>
          <w:u w:val="single"/>
        </w:rPr>
      </w:pPr>
      <w:r w:rsidRPr="00C60AD1">
        <w:rPr>
          <w:b/>
          <w:u w:val="single"/>
        </w:rPr>
        <w:t>FOR WELDING TRANSFORMERS:</w:t>
      </w:r>
    </w:p>
    <w:p w:rsidR="00E922D9" w:rsidRPr="00C60AD1" w:rsidRDefault="00E922D9" w:rsidP="00E922D9">
      <w:pPr>
        <w:ind w:left="360"/>
        <w:jc w:val="left"/>
        <w:rPr>
          <w:b/>
          <w:u w:val="single"/>
        </w:rPr>
      </w:pPr>
    </w:p>
    <w:tbl>
      <w:tblPr>
        <w:tblW w:w="867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20"/>
        <w:gridCol w:w="4770"/>
        <w:gridCol w:w="3181"/>
      </w:tblGrid>
      <w:tr w:rsidR="00E922D9" w:rsidRPr="00C60AD1" w:rsidTr="00EB02EF">
        <w:trPr>
          <w:tblHeader/>
          <w:jc w:val="center"/>
        </w:trPr>
        <w:tc>
          <w:tcPr>
            <w:tcW w:w="720" w:type="dxa"/>
            <w:shd w:val="clear" w:color="auto" w:fill="DBE5F1"/>
          </w:tcPr>
          <w:p w:rsidR="00E922D9" w:rsidRPr="00C60AD1" w:rsidRDefault="00E922D9" w:rsidP="00EB02EF">
            <w:pPr>
              <w:spacing w:before="0"/>
              <w:jc w:val="center"/>
              <w:rPr>
                <w:b/>
              </w:rPr>
            </w:pPr>
            <w:r w:rsidRPr="00C60AD1">
              <w:rPr>
                <w:b/>
              </w:rPr>
              <w:t>Sl. No.</w:t>
            </w:r>
          </w:p>
        </w:tc>
        <w:tc>
          <w:tcPr>
            <w:tcW w:w="4770" w:type="dxa"/>
            <w:shd w:val="clear" w:color="auto" w:fill="DBE5F1"/>
          </w:tcPr>
          <w:p w:rsidR="00E922D9" w:rsidRPr="00C60AD1" w:rsidRDefault="00E922D9" w:rsidP="00EB02EF">
            <w:pPr>
              <w:spacing w:before="0"/>
              <w:jc w:val="center"/>
              <w:rPr>
                <w:b/>
              </w:rPr>
            </w:pPr>
            <w:r w:rsidRPr="00C60AD1">
              <w:rPr>
                <w:b/>
              </w:rPr>
              <w:t>Name Plate Rating in KVA of Individual Welding Transformer</w:t>
            </w:r>
          </w:p>
        </w:tc>
        <w:tc>
          <w:tcPr>
            <w:tcW w:w="3181" w:type="dxa"/>
            <w:shd w:val="clear" w:color="auto" w:fill="DBE5F1"/>
          </w:tcPr>
          <w:p w:rsidR="00E922D9" w:rsidRPr="00C60AD1" w:rsidRDefault="00E922D9" w:rsidP="00EB02EF">
            <w:pPr>
              <w:spacing w:before="0"/>
              <w:jc w:val="center"/>
              <w:rPr>
                <w:b/>
              </w:rPr>
            </w:pPr>
            <w:r w:rsidRPr="00C60AD1">
              <w:rPr>
                <w:b/>
              </w:rPr>
              <w:t>Capacity of the Capacitors</w:t>
            </w:r>
          </w:p>
          <w:p w:rsidR="00E922D9" w:rsidRPr="00C60AD1" w:rsidRDefault="00E922D9" w:rsidP="00EB02EF">
            <w:pPr>
              <w:spacing w:before="0"/>
              <w:jc w:val="center"/>
              <w:rPr>
                <w:b/>
              </w:rPr>
            </w:pPr>
            <w:r w:rsidRPr="00C60AD1">
              <w:rPr>
                <w:b/>
              </w:rPr>
              <w:t>(KVAR)</w:t>
            </w:r>
          </w:p>
        </w:tc>
      </w:tr>
      <w:tr w:rsidR="00E922D9" w:rsidRPr="00C60AD1" w:rsidTr="00EB02EF">
        <w:trPr>
          <w:jc w:val="center"/>
        </w:trPr>
        <w:tc>
          <w:tcPr>
            <w:tcW w:w="720" w:type="dxa"/>
          </w:tcPr>
          <w:p w:rsidR="00E922D9" w:rsidRPr="00C60AD1" w:rsidRDefault="00E922D9" w:rsidP="00EB02EF">
            <w:pPr>
              <w:spacing w:before="0"/>
              <w:jc w:val="center"/>
            </w:pPr>
            <w:r w:rsidRPr="00C60AD1">
              <w:t>1.</w:t>
            </w:r>
          </w:p>
        </w:tc>
        <w:tc>
          <w:tcPr>
            <w:tcW w:w="4770" w:type="dxa"/>
          </w:tcPr>
          <w:p w:rsidR="00E922D9" w:rsidRPr="00C60AD1" w:rsidRDefault="00E922D9" w:rsidP="00EB02EF">
            <w:pPr>
              <w:spacing w:before="0"/>
              <w:jc w:val="center"/>
            </w:pPr>
            <w:r w:rsidRPr="00C60AD1">
              <w:t>1</w:t>
            </w:r>
          </w:p>
        </w:tc>
        <w:tc>
          <w:tcPr>
            <w:tcW w:w="3181" w:type="dxa"/>
          </w:tcPr>
          <w:p w:rsidR="00E922D9" w:rsidRPr="00C60AD1" w:rsidRDefault="00E922D9" w:rsidP="00EB02EF">
            <w:pPr>
              <w:spacing w:before="0"/>
              <w:jc w:val="center"/>
            </w:pPr>
            <w:r w:rsidRPr="00C60AD1">
              <w:t>1</w:t>
            </w:r>
          </w:p>
        </w:tc>
      </w:tr>
      <w:tr w:rsidR="00E922D9" w:rsidRPr="00C60AD1" w:rsidTr="00EB02EF">
        <w:trPr>
          <w:jc w:val="center"/>
        </w:trPr>
        <w:tc>
          <w:tcPr>
            <w:tcW w:w="720" w:type="dxa"/>
          </w:tcPr>
          <w:p w:rsidR="00E922D9" w:rsidRPr="00C60AD1" w:rsidRDefault="00E922D9" w:rsidP="00EB02EF">
            <w:pPr>
              <w:spacing w:before="0"/>
              <w:jc w:val="center"/>
            </w:pPr>
            <w:r w:rsidRPr="00C60AD1">
              <w:t>2.</w:t>
            </w:r>
          </w:p>
        </w:tc>
        <w:tc>
          <w:tcPr>
            <w:tcW w:w="4770" w:type="dxa"/>
          </w:tcPr>
          <w:p w:rsidR="00E922D9" w:rsidRPr="00C60AD1" w:rsidRDefault="00E922D9" w:rsidP="00EB02EF">
            <w:pPr>
              <w:spacing w:before="0"/>
              <w:jc w:val="center"/>
            </w:pPr>
            <w:r w:rsidRPr="00C60AD1">
              <w:t>2</w:t>
            </w:r>
          </w:p>
        </w:tc>
        <w:tc>
          <w:tcPr>
            <w:tcW w:w="3181" w:type="dxa"/>
          </w:tcPr>
          <w:p w:rsidR="00E922D9" w:rsidRPr="00C60AD1" w:rsidRDefault="00E922D9" w:rsidP="00EB02EF">
            <w:pPr>
              <w:spacing w:before="0"/>
              <w:jc w:val="center"/>
            </w:pPr>
            <w:r w:rsidRPr="00C60AD1">
              <w:t>2</w:t>
            </w:r>
          </w:p>
        </w:tc>
      </w:tr>
      <w:tr w:rsidR="00E922D9" w:rsidRPr="00C60AD1" w:rsidTr="00EB02EF">
        <w:trPr>
          <w:jc w:val="center"/>
        </w:trPr>
        <w:tc>
          <w:tcPr>
            <w:tcW w:w="720" w:type="dxa"/>
          </w:tcPr>
          <w:p w:rsidR="00E922D9" w:rsidRPr="00C60AD1" w:rsidRDefault="00E922D9" w:rsidP="00EB02EF">
            <w:pPr>
              <w:spacing w:before="0"/>
              <w:jc w:val="center"/>
            </w:pPr>
            <w:r w:rsidRPr="00C60AD1">
              <w:t>3.</w:t>
            </w:r>
          </w:p>
        </w:tc>
        <w:tc>
          <w:tcPr>
            <w:tcW w:w="4770" w:type="dxa"/>
          </w:tcPr>
          <w:p w:rsidR="00E922D9" w:rsidRPr="00C60AD1" w:rsidRDefault="00E922D9" w:rsidP="00EB02EF">
            <w:pPr>
              <w:spacing w:before="0"/>
              <w:jc w:val="center"/>
            </w:pPr>
            <w:r w:rsidRPr="00C60AD1">
              <w:t>3</w:t>
            </w:r>
          </w:p>
        </w:tc>
        <w:tc>
          <w:tcPr>
            <w:tcW w:w="3181" w:type="dxa"/>
          </w:tcPr>
          <w:p w:rsidR="00E922D9" w:rsidRPr="00C60AD1" w:rsidRDefault="00E922D9" w:rsidP="00EB02EF">
            <w:pPr>
              <w:spacing w:before="0"/>
              <w:jc w:val="center"/>
            </w:pPr>
            <w:r w:rsidRPr="00C60AD1">
              <w:t>3</w:t>
            </w:r>
          </w:p>
        </w:tc>
      </w:tr>
      <w:tr w:rsidR="00E922D9" w:rsidRPr="00C60AD1" w:rsidTr="00EB02EF">
        <w:trPr>
          <w:jc w:val="center"/>
        </w:trPr>
        <w:tc>
          <w:tcPr>
            <w:tcW w:w="720" w:type="dxa"/>
          </w:tcPr>
          <w:p w:rsidR="00E922D9" w:rsidRPr="00C60AD1" w:rsidRDefault="00E922D9" w:rsidP="00EB02EF">
            <w:pPr>
              <w:spacing w:before="0"/>
              <w:jc w:val="center"/>
            </w:pPr>
            <w:r w:rsidRPr="00C60AD1">
              <w:t>4.</w:t>
            </w:r>
          </w:p>
        </w:tc>
        <w:tc>
          <w:tcPr>
            <w:tcW w:w="4770" w:type="dxa"/>
          </w:tcPr>
          <w:p w:rsidR="00E922D9" w:rsidRPr="00C60AD1" w:rsidRDefault="00E922D9" w:rsidP="00EB02EF">
            <w:pPr>
              <w:spacing w:before="0"/>
              <w:jc w:val="center"/>
            </w:pPr>
            <w:r w:rsidRPr="00C60AD1">
              <w:t>4</w:t>
            </w:r>
          </w:p>
        </w:tc>
        <w:tc>
          <w:tcPr>
            <w:tcW w:w="3181" w:type="dxa"/>
          </w:tcPr>
          <w:p w:rsidR="00E922D9" w:rsidRPr="00C60AD1" w:rsidRDefault="00E922D9" w:rsidP="00EB02EF">
            <w:pPr>
              <w:spacing w:before="0"/>
              <w:jc w:val="center"/>
            </w:pPr>
            <w:r w:rsidRPr="00C60AD1">
              <w:t>3</w:t>
            </w:r>
          </w:p>
        </w:tc>
      </w:tr>
      <w:tr w:rsidR="00E922D9" w:rsidRPr="00C60AD1" w:rsidTr="00EB02EF">
        <w:trPr>
          <w:jc w:val="center"/>
        </w:trPr>
        <w:tc>
          <w:tcPr>
            <w:tcW w:w="720" w:type="dxa"/>
          </w:tcPr>
          <w:p w:rsidR="00E922D9" w:rsidRPr="00C60AD1" w:rsidRDefault="00E922D9" w:rsidP="00EB02EF">
            <w:pPr>
              <w:spacing w:before="0"/>
              <w:jc w:val="center"/>
            </w:pPr>
            <w:r w:rsidRPr="00C60AD1">
              <w:t>5.</w:t>
            </w:r>
          </w:p>
        </w:tc>
        <w:tc>
          <w:tcPr>
            <w:tcW w:w="4770" w:type="dxa"/>
          </w:tcPr>
          <w:p w:rsidR="00E922D9" w:rsidRPr="00C60AD1" w:rsidRDefault="00E922D9" w:rsidP="00EB02EF">
            <w:pPr>
              <w:spacing w:before="0"/>
              <w:jc w:val="center"/>
            </w:pPr>
            <w:r w:rsidRPr="00C60AD1">
              <w:t>5</w:t>
            </w:r>
          </w:p>
        </w:tc>
        <w:tc>
          <w:tcPr>
            <w:tcW w:w="3181" w:type="dxa"/>
          </w:tcPr>
          <w:p w:rsidR="00E922D9" w:rsidRPr="00C60AD1" w:rsidRDefault="00E922D9" w:rsidP="00EB02EF">
            <w:pPr>
              <w:spacing w:before="0"/>
              <w:jc w:val="center"/>
            </w:pPr>
            <w:r w:rsidRPr="00C60AD1">
              <w:t>4</w:t>
            </w:r>
          </w:p>
        </w:tc>
      </w:tr>
      <w:tr w:rsidR="00E922D9" w:rsidRPr="00C60AD1" w:rsidTr="00EB02EF">
        <w:trPr>
          <w:jc w:val="center"/>
        </w:trPr>
        <w:tc>
          <w:tcPr>
            <w:tcW w:w="720" w:type="dxa"/>
          </w:tcPr>
          <w:p w:rsidR="00E922D9" w:rsidRPr="00C60AD1" w:rsidRDefault="00E922D9" w:rsidP="00EB02EF">
            <w:pPr>
              <w:spacing w:before="0"/>
              <w:jc w:val="center"/>
            </w:pPr>
            <w:r w:rsidRPr="00C60AD1">
              <w:t>6.</w:t>
            </w:r>
          </w:p>
        </w:tc>
        <w:tc>
          <w:tcPr>
            <w:tcW w:w="4770" w:type="dxa"/>
          </w:tcPr>
          <w:p w:rsidR="00E922D9" w:rsidRPr="00C60AD1" w:rsidRDefault="00E922D9" w:rsidP="00EB02EF">
            <w:pPr>
              <w:spacing w:before="0"/>
              <w:jc w:val="center"/>
            </w:pPr>
            <w:r w:rsidRPr="00C60AD1">
              <w:t>6</w:t>
            </w:r>
          </w:p>
        </w:tc>
        <w:tc>
          <w:tcPr>
            <w:tcW w:w="3181" w:type="dxa"/>
          </w:tcPr>
          <w:p w:rsidR="00E922D9" w:rsidRPr="00C60AD1" w:rsidRDefault="00E922D9" w:rsidP="00EB02EF">
            <w:pPr>
              <w:spacing w:before="0"/>
              <w:jc w:val="center"/>
            </w:pPr>
            <w:r w:rsidRPr="00C60AD1">
              <w:t>5</w:t>
            </w:r>
          </w:p>
        </w:tc>
      </w:tr>
      <w:tr w:rsidR="00E922D9" w:rsidRPr="00C60AD1" w:rsidTr="00EB02EF">
        <w:trPr>
          <w:jc w:val="center"/>
        </w:trPr>
        <w:tc>
          <w:tcPr>
            <w:tcW w:w="720" w:type="dxa"/>
          </w:tcPr>
          <w:p w:rsidR="00E922D9" w:rsidRPr="00C60AD1" w:rsidRDefault="00E922D9" w:rsidP="00EB02EF">
            <w:pPr>
              <w:spacing w:before="0"/>
              <w:jc w:val="center"/>
            </w:pPr>
            <w:r w:rsidRPr="00C60AD1">
              <w:t>7.</w:t>
            </w:r>
          </w:p>
        </w:tc>
        <w:tc>
          <w:tcPr>
            <w:tcW w:w="4770" w:type="dxa"/>
          </w:tcPr>
          <w:p w:rsidR="00E922D9" w:rsidRPr="00C60AD1" w:rsidRDefault="00E922D9" w:rsidP="00EB02EF">
            <w:pPr>
              <w:spacing w:before="0"/>
              <w:jc w:val="center"/>
            </w:pPr>
            <w:r w:rsidRPr="00C60AD1">
              <w:t>7</w:t>
            </w:r>
          </w:p>
        </w:tc>
        <w:tc>
          <w:tcPr>
            <w:tcW w:w="3181" w:type="dxa"/>
          </w:tcPr>
          <w:p w:rsidR="00E922D9" w:rsidRPr="00C60AD1" w:rsidRDefault="00E922D9" w:rsidP="00EB02EF">
            <w:pPr>
              <w:spacing w:before="0"/>
              <w:jc w:val="center"/>
            </w:pPr>
            <w:r w:rsidRPr="00C60AD1">
              <w:t>6</w:t>
            </w:r>
          </w:p>
        </w:tc>
      </w:tr>
      <w:tr w:rsidR="00E922D9" w:rsidRPr="00C60AD1" w:rsidTr="00EB02EF">
        <w:trPr>
          <w:jc w:val="center"/>
        </w:trPr>
        <w:tc>
          <w:tcPr>
            <w:tcW w:w="720" w:type="dxa"/>
          </w:tcPr>
          <w:p w:rsidR="00E922D9" w:rsidRPr="00C60AD1" w:rsidRDefault="00E922D9" w:rsidP="00EB02EF">
            <w:pPr>
              <w:spacing w:before="0"/>
              <w:jc w:val="center"/>
            </w:pPr>
            <w:r w:rsidRPr="00C60AD1">
              <w:t>8.</w:t>
            </w:r>
          </w:p>
        </w:tc>
        <w:tc>
          <w:tcPr>
            <w:tcW w:w="4770" w:type="dxa"/>
          </w:tcPr>
          <w:p w:rsidR="00E922D9" w:rsidRPr="00C60AD1" w:rsidRDefault="00E922D9" w:rsidP="00EB02EF">
            <w:pPr>
              <w:spacing w:before="0"/>
              <w:jc w:val="center"/>
            </w:pPr>
            <w:r w:rsidRPr="00C60AD1">
              <w:t>8</w:t>
            </w:r>
          </w:p>
        </w:tc>
        <w:tc>
          <w:tcPr>
            <w:tcW w:w="3181" w:type="dxa"/>
          </w:tcPr>
          <w:p w:rsidR="00E922D9" w:rsidRPr="00C60AD1" w:rsidRDefault="00E922D9" w:rsidP="00EB02EF">
            <w:pPr>
              <w:spacing w:before="0"/>
              <w:jc w:val="center"/>
            </w:pPr>
            <w:r w:rsidRPr="00C60AD1">
              <w:t>6</w:t>
            </w:r>
          </w:p>
        </w:tc>
      </w:tr>
      <w:tr w:rsidR="00E922D9" w:rsidRPr="00C60AD1" w:rsidTr="00EB02EF">
        <w:trPr>
          <w:jc w:val="center"/>
        </w:trPr>
        <w:tc>
          <w:tcPr>
            <w:tcW w:w="720" w:type="dxa"/>
          </w:tcPr>
          <w:p w:rsidR="00E922D9" w:rsidRPr="00C60AD1" w:rsidRDefault="00E922D9" w:rsidP="00EB02EF">
            <w:pPr>
              <w:spacing w:before="0"/>
              <w:jc w:val="center"/>
            </w:pPr>
            <w:r w:rsidRPr="00C60AD1">
              <w:lastRenderedPageBreak/>
              <w:t>9.</w:t>
            </w:r>
          </w:p>
        </w:tc>
        <w:tc>
          <w:tcPr>
            <w:tcW w:w="4770" w:type="dxa"/>
          </w:tcPr>
          <w:p w:rsidR="00E922D9" w:rsidRPr="00C60AD1" w:rsidRDefault="00E922D9" w:rsidP="00EB02EF">
            <w:pPr>
              <w:spacing w:before="0"/>
              <w:jc w:val="center"/>
            </w:pPr>
            <w:r w:rsidRPr="00C60AD1">
              <w:t>9</w:t>
            </w:r>
          </w:p>
        </w:tc>
        <w:tc>
          <w:tcPr>
            <w:tcW w:w="3181" w:type="dxa"/>
          </w:tcPr>
          <w:p w:rsidR="00E922D9" w:rsidRPr="00C60AD1" w:rsidRDefault="00E922D9" w:rsidP="00EB02EF">
            <w:pPr>
              <w:spacing w:before="0"/>
              <w:jc w:val="center"/>
            </w:pPr>
            <w:r w:rsidRPr="00C60AD1">
              <w:t>7</w:t>
            </w:r>
          </w:p>
        </w:tc>
      </w:tr>
      <w:tr w:rsidR="00E922D9" w:rsidRPr="00C60AD1" w:rsidTr="00EB02EF">
        <w:trPr>
          <w:jc w:val="center"/>
        </w:trPr>
        <w:tc>
          <w:tcPr>
            <w:tcW w:w="720" w:type="dxa"/>
          </w:tcPr>
          <w:p w:rsidR="00E922D9" w:rsidRPr="00C60AD1" w:rsidRDefault="00E922D9" w:rsidP="00EB02EF">
            <w:pPr>
              <w:spacing w:before="0"/>
              <w:jc w:val="center"/>
            </w:pPr>
            <w:r w:rsidRPr="00C60AD1">
              <w:t>10.</w:t>
            </w:r>
          </w:p>
        </w:tc>
        <w:tc>
          <w:tcPr>
            <w:tcW w:w="4770" w:type="dxa"/>
          </w:tcPr>
          <w:p w:rsidR="00E922D9" w:rsidRPr="00C60AD1" w:rsidRDefault="00E922D9" w:rsidP="00EB02EF">
            <w:pPr>
              <w:spacing w:before="0"/>
              <w:jc w:val="center"/>
            </w:pPr>
            <w:r w:rsidRPr="00C60AD1">
              <w:t>10</w:t>
            </w:r>
          </w:p>
        </w:tc>
        <w:tc>
          <w:tcPr>
            <w:tcW w:w="3181" w:type="dxa"/>
          </w:tcPr>
          <w:p w:rsidR="00E922D9" w:rsidRPr="00C60AD1" w:rsidRDefault="00E922D9" w:rsidP="00EB02EF">
            <w:pPr>
              <w:spacing w:before="0"/>
              <w:jc w:val="center"/>
            </w:pPr>
            <w:r w:rsidRPr="00C60AD1">
              <w:t>8</w:t>
            </w:r>
          </w:p>
        </w:tc>
      </w:tr>
      <w:tr w:rsidR="00E922D9" w:rsidRPr="00C60AD1" w:rsidTr="00EB02EF">
        <w:trPr>
          <w:jc w:val="center"/>
        </w:trPr>
        <w:tc>
          <w:tcPr>
            <w:tcW w:w="720" w:type="dxa"/>
          </w:tcPr>
          <w:p w:rsidR="00E922D9" w:rsidRPr="00C60AD1" w:rsidRDefault="00E922D9" w:rsidP="00EB02EF">
            <w:pPr>
              <w:spacing w:before="0"/>
              <w:jc w:val="center"/>
            </w:pPr>
            <w:r w:rsidRPr="00C60AD1">
              <w:t>11.</w:t>
            </w:r>
          </w:p>
        </w:tc>
        <w:tc>
          <w:tcPr>
            <w:tcW w:w="4770" w:type="dxa"/>
          </w:tcPr>
          <w:p w:rsidR="00E922D9" w:rsidRPr="00C60AD1" w:rsidRDefault="00E922D9" w:rsidP="00EB02EF">
            <w:pPr>
              <w:spacing w:before="0"/>
              <w:jc w:val="center"/>
            </w:pPr>
            <w:r w:rsidRPr="00C60AD1">
              <w:t>11</w:t>
            </w:r>
          </w:p>
        </w:tc>
        <w:tc>
          <w:tcPr>
            <w:tcW w:w="3181" w:type="dxa"/>
          </w:tcPr>
          <w:p w:rsidR="00E922D9" w:rsidRPr="00C60AD1" w:rsidRDefault="00E922D9" w:rsidP="00EB02EF">
            <w:pPr>
              <w:spacing w:before="0"/>
              <w:jc w:val="center"/>
            </w:pPr>
            <w:r w:rsidRPr="00C60AD1">
              <w:t>9</w:t>
            </w:r>
          </w:p>
        </w:tc>
      </w:tr>
      <w:tr w:rsidR="00E922D9" w:rsidRPr="00C60AD1" w:rsidTr="00EB02EF">
        <w:trPr>
          <w:jc w:val="center"/>
        </w:trPr>
        <w:tc>
          <w:tcPr>
            <w:tcW w:w="720" w:type="dxa"/>
          </w:tcPr>
          <w:p w:rsidR="00E922D9" w:rsidRPr="00C60AD1" w:rsidRDefault="00E922D9" w:rsidP="00EB02EF">
            <w:pPr>
              <w:spacing w:before="0"/>
              <w:jc w:val="center"/>
            </w:pPr>
            <w:r w:rsidRPr="00C60AD1">
              <w:t>12.</w:t>
            </w:r>
          </w:p>
        </w:tc>
        <w:tc>
          <w:tcPr>
            <w:tcW w:w="4770" w:type="dxa"/>
          </w:tcPr>
          <w:p w:rsidR="00E922D9" w:rsidRPr="00C60AD1" w:rsidRDefault="00E922D9" w:rsidP="00EB02EF">
            <w:pPr>
              <w:spacing w:before="0"/>
              <w:jc w:val="center"/>
            </w:pPr>
            <w:r w:rsidRPr="00C60AD1">
              <w:t>12</w:t>
            </w:r>
          </w:p>
        </w:tc>
        <w:tc>
          <w:tcPr>
            <w:tcW w:w="3181" w:type="dxa"/>
          </w:tcPr>
          <w:p w:rsidR="00E922D9" w:rsidRPr="00C60AD1" w:rsidRDefault="00E922D9" w:rsidP="00EB02EF">
            <w:pPr>
              <w:spacing w:before="0"/>
              <w:jc w:val="center"/>
            </w:pPr>
            <w:r w:rsidRPr="00C60AD1">
              <w:t>9</w:t>
            </w:r>
          </w:p>
        </w:tc>
      </w:tr>
      <w:tr w:rsidR="00E922D9" w:rsidRPr="00C60AD1" w:rsidTr="00EB02EF">
        <w:trPr>
          <w:jc w:val="center"/>
        </w:trPr>
        <w:tc>
          <w:tcPr>
            <w:tcW w:w="720" w:type="dxa"/>
          </w:tcPr>
          <w:p w:rsidR="00E922D9" w:rsidRPr="00C60AD1" w:rsidRDefault="00E922D9" w:rsidP="00EB02EF">
            <w:pPr>
              <w:spacing w:before="0"/>
              <w:jc w:val="center"/>
            </w:pPr>
            <w:r w:rsidRPr="00C60AD1">
              <w:t>13.</w:t>
            </w:r>
          </w:p>
        </w:tc>
        <w:tc>
          <w:tcPr>
            <w:tcW w:w="4770" w:type="dxa"/>
          </w:tcPr>
          <w:p w:rsidR="00E922D9" w:rsidRPr="00C60AD1" w:rsidRDefault="00E922D9" w:rsidP="00EB02EF">
            <w:pPr>
              <w:spacing w:before="0"/>
              <w:jc w:val="center"/>
            </w:pPr>
            <w:r w:rsidRPr="00C60AD1">
              <w:t>13</w:t>
            </w:r>
          </w:p>
        </w:tc>
        <w:tc>
          <w:tcPr>
            <w:tcW w:w="3181" w:type="dxa"/>
          </w:tcPr>
          <w:p w:rsidR="00E922D9" w:rsidRPr="00C60AD1" w:rsidRDefault="00E922D9" w:rsidP="00EB02EF">
            <w:pPr>
              <w:spacing w:before="0"/>
              <w:jc w:val="center"/>
            </w:pPr>
            <w:r w:rsidRPr="00C60AD1">
              <w:t>10</w:t>
            </w:r>
          </w:p>
        </w:tc>
      </w:tr>
      <w:tr w:rsidR="00E922D9" w:rsidRPr="00C60AD1" w:rsidTr="00EB02EF">
        <w:trPr>
          <w:jc w:val="center"/>
        </w:trPr>
        <w:tc>
          <w:tcPr>
            <w:tcW w:w="720" w:type="dxa"/>
          </w:tcPr>
          <w:p w:rsidR="00E922D9" w:rsidRPr="00C60AD1" w:rsidRDefault="00E922D9" w:rsidP="00EB02EF">
            <w:pPr>
              <w:spacing w:before="0"/>
              <w:jc w:val="center"/>
            </w:pPr>
            <w:r w:rsidRPr="00C60AD1">
              <w:t>14.</w:t>
            </w:r>
          </w:p>
        </w:tc>
        <w:tc>
          <w:tcPr>
            <w:tcW w:w="4770" w:type="dxa"/>
          </w:tcPr>
          <w:p w:rsidR="00E922D9" w:rsidRPr="00C60AD1" w:rsidRDefault="00E922D9" w:rsidP="00EB02EF">
            <w:pPr>
              <w:spacing w:before="0"/>
              <w:jc w:val="center"/>
            </w:pPr>
            <w:r w:rsidRPr="00C60AD1">
              <w:t>14</w:t>
            </w:r>
          </w:p>
        </w:tc>
        <w:tc>
          <w:tcPr>
            <w:tcW w:w="3181" w:type="dxa"/>
          </w:tcPr>
          <w:p w:rsidR="00E922D9" w:rsidRPr="00C60AD1" w:rsidRDefault="00E922D9" w:rsidP="00EB02EF">
            <w:pPr>
              <w:spacing w:before="0"/>
              <w:jc w:val="center"/>
            </w:pPr>
            <w:r w:rsidRPr="00C60AD1">
              <w:t>11</w:t>
            </w:r>
          </w:p>
        </w:tc>
      </w:tr>
      <w:tr w:rsidR="00E922D9" w:rsidRPr="00C60AD1" w:rsidTr="00EB02EF">
        <w:trPr>
          <w:jc w:val="center"/>
        </w:trPr>
        <w:tc>
          <w:tcPr>
            <w:tcW w:w="720" w:type="dxa"/>
          </w:tcPr>
          <w:p w:rsidR="00E922D9" w:rsidRPr="00C60AD1" w:rsidRDefault="00E922D9" w:rsidP="00EB02EF">
            <w:pPr>
              <w:spacing w:before="0"/>
              <w:jc w:val="center"/>
            </w:pPr>
            <w:r w:rsidRPr="00C60AD1">
              <w:t>15.</w:t>
            </w:r>
          </w:p>
        </w:tc>
        <w:tc>
          <w:tcPr>
            <w:tcW w:w="4770" w:type="dxa"/>
          </w:tcPr>
          <w:p w:rsidR="00E922D9" w:rsidRPr="00C60AD1" w:rsidRDefault="00E922D9" w:rsidP="00EB02EF">
            <w:pPr>
              <w:spacing w:before="0"/>
              <w:jc w:val="center"/>
            </w:pPr>
            <w:r w:rsidRPr="00C60AD1">
              <w:t>15</w:t>
            </w:r>
          </w:p>
        </w:tc>
        <w:tc>
          <w:tcPr>
            <w:tcW w:w="3181" w:type="dxa"/>
          </w:tcPr>
          <w:p w:rsidR="00E922D9" w:rsidRPr="00C60AD1" w:rsidRDefault="00E922D9" w:rsidP="00EB02EF">
            <w:pPr>
              <w:spacing w:before="0"/>
              <w:jc w:val="center"/>
            </w:pPr>
            <w:r w:rsidRPr="00C60AD1">
              <w:t>12</w:t>
            </w:r>
          </w:p>
        </w:tc>
      </w:tr>
      <w:tr w:rsidR="00E922D9" w:rsidRPr="00C60AD1" w:rsidTr="00EB02EF">
        <w:trPr>
          <w:jc w:val="center"/>
        </w:trPr>
        <w:tc>
          <w:tcPr>
            <w:tcW w:w="720" w:type="dxa"/>
          </w:tcPr>
          <w:p w:rsidR="00E922D9" w:rsidRPr="00C60AD1" w:rsidRDefault="00E922D9" w:rsidP="00EB02EF">
            <w:pPr>
              <w:spacing w:before="0"/>
              <w:jc w:val="center"/>
            </w:pPr>
            <w:r w:rsidRPr="00C60AD1">
              <w:t>16.</w:t>
            </w:r>
          </w:p>
        </w:tc>
        <w:tc>
          <w:tcPr>
            <w:tcW w:w="4770" w:type="dxa"/>
          </w:tcPr>
          <w:p w:rsidR="00E922D9" w:rsidRPr="00C60AD1" w:rsidRDefault="00E922D9" w:rsidP="00EB02EF">
            <w:pPr>
              <w:spacing w:before="0"/>
              <w:jc w:val="center"/>
            </w:pPr>
            <w:r w:rsidRPr="00C60AD1">
              <w:t>16</w:t>
            </w:r>
          </w:p>
        </w:tc>
        <w:tc>
          <w:tcPr>
            <w:tcW w:w="3181" w:type="dxa"/>
          </w:tcPr>
          <w:p w:rsidR="00E922D9" w:rsidRPr="00C60AD1" w:rsidRDefault="00E922D9" w:rsidP="00EB02EF">
            <w:pPr>
              <w:spacing w:before="0"/>
              <w:jc w:val="center"/>
            </w:pPr>
            <w:r w:rsidRPr="00C60AD1">
              <w:t>12</w:t>
            </w:r>
          </w:p>
        </w:tc>
      </w:tr>
      <w:tr w:rsidR="00E922D9" w:rsidRPr="00C60AD1" w:rsidTr="00EB02EF">
        <w:trPr>
          <w:jc w:val="center"/>
        </w:trPr>
        <w:tc>
          <w:tcPr>
            <w:tcW w:w="720" w:type="dxa"/>
          </w:tcPr>
          <w:p w:rsidR="00E922D9" w:rsidRPr="00C60AD1" w:rsidRDefault="00E922D9" w:rsidP="00EB02EF">
            <w:pPr>
              <w:spacing w:before="0"/>
              <w:jc w:val="center"/>
            </w:pPr>
            <w:r w:rsidRPr="00C60AD1">
              <w:t>17.</w:t>
            </w:r>
          </w:p>
        </w:tc>
        <w:tc>
          <w:tcPr>
            <w:tcW w:w="4770" w:type="dxa"/>
          </w:tcPr>
          <w:p w:rsidR="00E922D9" w:rsidRPr="00C60AD1" w:rsidRDefault="00E922D9" w:rsidP="00EB02EF">
            <w:pPr>
              <w:spacing w:before="0"/>
              <w:jc w:val="center"/>
            </w:pPr>
            <w:r w:rsidRPr="00C60AD1">
              <w:t>17</w:t>
            </w:r>
          </w:p>
        </w:tc>
        <w:tc>
          <w:tcPr>
            <w:tcW w:w="3181" w:type="dxa"/>
          </w:tcPr>
          <w:p w:rsidR="00E922D9" w:rsidRPr="00C60AD1" w:rsidRDefault="00E922D9" w:rsidP="00EB02EF">
            <w:pPr>
              <w:spacing w:before="0"/>
              <w:jc w:val="center"/>
            </w:pPr>
            <w:r w:rsidRPr="00C60AD1">
              <w:t>13</w:t>
            </w:r>
          </w:p>
        </w:tc>
      </w:tr>
      <w:tr w:rsidR="00E922D9" w:rsidRPr="00C60AD1" w:rsidTr="00EB02EF">
        <w:trPr>
          <w:jc w:val="center"/>
        </w:trPr>
        <w:tc>
          <w:tcPr>
            <w:tcW w:w="720" w:type="dxa"/>
          </w:tcPr>
          <w:p w:rsidR="00E922D9" w:rsidRPr="00C60AD1" w:rsidRDefault="00E922D9" w:rsidP="00EB02EF">
            <w:pPr>
              <w:spacing w:before="0"/>
              <w:jc w:val="center"/>
            </w:pPr>
            <w:r w:rsidRPr="00C60AD1">
              <w:t>18.</w:t>
            </w:r>
          </w:p>
        </w:tc>
        <w:tc>
          <w:tcPr>
            <w:tcW w:w="4770" w:type="dxa"/>
          </w:tcPr>
          <w:p w:rsidR="00E922D9" w:rsidRPr="00C60AD1" w:rsidRDefault="00E922D9" w:rsidP="00EB02EF">
            <w:pPr>
              <w:spacing w:before="0"/>
              <w:jc w:val="center"/>
            </w:pPr>
            <w:r w:rsidRPr="00C60AD1">
              <w:t>18</w:t>
            </w:r>
          </w:p>
        </w:tc>
        <w:tc>
          <w:tcPr>
            <w:tcW w:w="3181" w:type="dxa"/>
          </w:tcPr>
          <w:p w:rsidR="00E922D9" w:rsidRPr="00C60AD1" w:rsidRDefault="00E922D9" w:rsidP="00EB02EF">
            <w:pPr>
              <w:spacing w:before="0"/>
              <w:jc w:val="center"/>
            </w:pPr>
            <w:r w:rsidRPr="00C60AD1">
              <w:t>14</w:t>
            </w:r>
          </w:p>
        </w:tc>
      </w:tr>
      <w:tr w:rsidR="00E922D9" w:rsidRPr="00C60AD1" w:rsidTr="00EB02EF">
        <w:trPr>
          <w:jc w:val="center"/>
        </w:trPr>
        <w:tc>
          <w:tcPr>
            <w:tcW w:w="720" w:type="dxa"/>
          </w:tcPr>
          <w:p w:rsidR="00E922D9" w:rsidRPr="00C60AD1" w:rsidRDefault="00E922D9" w:rsidP="00EB02EF">
            <w:pPr>
              <w:spacing w:before="0"/>
              <w:jc w:val="center"/>
            </w:pPr>
            <w:r w:rsidRPr="00C60AD1">
              <w:t>19.</w:t>
            </w:r>
          </w:p>
        </w:tc>
        <w:tc>
          <w:tcPr>
            <w:tcW w:w="4770" w:type="dxa"/>
          </w:tcPr>
          <w:p w:rsidR="00E922D9" w:rsidRPr="00C60AD1" w:rsidRDefault="00E922D9" w:rsidP="00EB02EF">
            <w:pPr>
              <w:spacing w:before="0"/>
              <w:jc w:val="center"/>
            </w:pPr>
            <w:r w:rsidRPr="00C60AD1">
              <w:t>19</w:t>
            </w:r>
          </w:p>
        </w:tc>
        <w:tc>
          <w:tcPr>
            <w:tcW w:w="3181" w:type="dxa"/>
          </w:tcPr>
          <w:p w:rsidR="00E922D9" w:rsidRPr="00C60AD1" w:rsidRDefault="00E922D9" w:rsidP="00EB02EF">
            <w:pPr>
              <w:spacing w:before="0"/>
              <w:jc w:val="center"/>
            </w:pPr>
            <w:r w:rsidRPr="00C60AD1">
              <w:t>15</w:t>
            </w:r>
          </w:p>
        </w:tc>
      </w:tr>
      <w:tr w:rsidR="00E922D9" w:rsidRPr="00C60AD1" w:rsidTr="00EB02EF">
        <w:trPr>
          <w:jc w:val="center"/>
        </w:trPr>
        <w:tc>
          <w:tcPr>
            <w:tcW w:w="720" w:type="dxa"/>
          </w:tcPr>
          <w:p w:rsidR="00E922D9" w:rsidRPr="00C60AD1" w:rsidRDefault="00E922D9" w:rsidP="00EB02EF">
            <w:pPr>
              <w:spacing w:before="0"/>
              <w:jc w:val="center"/>
            </w:pPr>
            <w:r w:rsidRPr="00C60AD1">
              <w:t>20</w:t>
            </w:r>
          </w:p>
        </w:tc>
        <w:tc>
          <w:tcPr>
            <w:tcW w:w="4770" w:type="dxa"/>
          </w:tcPr>
          <w:p w:rsidR="00E922D9" w:rsidRPr="00C60AD1" w:rsidRDefault="00E922D9" w:rsidP="00EB02EF">
            <w:pPr>
              <w:spacing w:before="0"/>
              <w:jc w:val="center"/>
            </w:pPr>
            <w:r w:rsidRPr="00C60AD1">
              <w:t>20</w:t>
            </w:r>
          </w:p>
        </w:tc>
        <w:tc>
          <w:tcPr>
            <w:tcW w:w="3181" w:type="dxa"/>
          </w:tcPr>
          <w:p w:rsidR="00E922D9" w:rsidRPr="00C60AD1" w:rsidRDefault="00E922D9" w:rsidP="00EB02EF">
            <w:pPr>
              <w:spacing w:before="0"/>
              <w:jc w:val="center"/>
            </w:pPr>
            <w:r w:rsidRPr="00C60AD1">
              <w:t>15</w:t>
            </w:r>
          </w:p>
        </w:tc>
      </w:tr>
      <w:tr w:rsidR="00E922D9" w:rsidRPr="00C60AD1" w:rsidTr="00EB02EF">
        <w:trPr>
          <w:jc w:val="center"/>
        </w:trPr>
        <w:tc>
          <w:tcPr>
            <w:tcW w:w="720" w:type="dxa"/>
          </w:tcPr>
          <w:p w:rsidR="00E922D9" w:rsidRPr="00C60AD1" w:rsidRDefault="00E922D9" w:rsidP="00EB02EF">
            <w:pPr>
              <w:spacing w:before="0"/>
              <w:jc w:val="center"/>
            </w:pPr>
            <w:r w:rsidRPr="00C60AD1">
              <w:t>21.</w:t>
            </w:r>
          </w:p>
        </w:tc>
        <w:tc>
          <w:tcPr>
            <w:tcW w:w="4770" w:type="dxa"/>
          </w:tcPr>
          <w:p w:rsidR="00E922D9" w:rsidRPr="00C60AD1" w:rsidRDefault="00E922D9" w:rsidP="00EB02EF">
            <w:pPr>
              <w:spacing w:before="0"/>
              <w:jc w:val="center"/>
            </w:pPr>
            <w:r w:rsidRPr="00C60AD1">
              <w:t>21</w:t>
            </w:r>
          </w:p>
        </w:tc>
        <w:tc>
          <w:tcPr>
            <w:tcW w:w="3181" w:type="dxa"/>
          </w:tcPr>
          <w:p w:rsidR="00E922D9" w:rsidRPr="00C60AD1" w:rsidRDefault="00E922D9" w:rsidP="00EB02EF">
            <w:pPr>
              <w:spacing w:before="0"/>
              <w:jc w:val="center"/>
            </w:pPr>
            <w:r w:rsidRPr="00C60AD1">
              <w:t>16</w:t>
            </w:r>
          </w:p>
        </w:tc>
      </w:tr>
      <w:tr w:rsidR="00E922D9" w:rsidRPr="00C60AD1" w:rsidTr="00EB02EF">
        <w:trPr>
          <w:jc w:val="center"/>
        </w:trPr>
        <w:tc>
          <w:tcPr>
            <w:tcW w:w="720" w:type="dxa"/>
          </w:tcPr>
          <w:p w:rsidR="00E922D9" w:rsidRPr="00C60AD1" w:rsidRDefault="00E922D9" w:rsidP="00EB02EF">
            <w:pPr>
              <w:spacing w:before="0"/>
              <w:jc w:val="center"/>
            </w:pPr>
            <w:r w:rsidRPr="00C60AD1">
              <w:t>22.</w:t>
            </w:r>
          </w:p>
        </w:tc>
        <w:tc>
          <w:tcPr>
            <w:tcW w:w="4770" w:type="dxa"/>
          </w:tcPr>
          <w:p w:rsidR="00E922D9" w:rsidRPr="00C60AD1" w:rsidRDefault="00E922D9" w:rsidP="00EB02EF">
            <w:pPr>
              <w:spacing w:before="0"/>
              <w:jc w:val="center"/>
            </w:pPr>
            <w:r w:rsidRPr="00C60AD1">
              <w:t>22</w:t>
            </w:r>
          </w:p>
        </w:tc>
        <w:tc>
          <w:tcPr>
            <w:tcW w:w="3181" w:type="dxa"/>
          </w:tcPr>
          <w:p w:rsidR="00E922D9" w:rsidRPr="00C60AD1" w:rsidRDefault="00E922D9" w:rsidP="00EB02EF">
            <w:pPr>
              <w:spacing w:before="0"/>
              <w:jc w:val="center"/>
            </w:pPr>
            <w:r w:rsidRPr="00C60AD1">
              <w:t>17</w:t>
            </w:r>
          </w:p>
        </w:tc>
      </w:tr>
      <w:tr w:rsidR="00E922D9" w:rsidRPr="00C60AD1" w:rsidTr="00EB02EF">
        <w:trPr>
          <w:jc w:val="center"/>
        </w:trPr>
        <w:tc>
          <w:tcPr>
            <w:tcW w:w="720" w:type="dxa"/>
          </w:tcPr>
          <w:p w:rsidR="00E922D9" w:rsidRPr="00C60AD1" w:rsidRDefault="00E922D9" w:rsidP="00EB02EF">
            <w:pPr>
              <w:spacing w:before="0"/>
              <w:jc w:val="center"/>
            </w:pPr>
            <w:r w:rsidRPr="00C60AD1">
              <w:t>23.</w:t>
            </w:r>
          </w:p>
        </w:tc>
        <w:tc>
          <w:tcPr>
            <w:tcW w:w="4770" w:type="dxa"/>
          </w:tcPr>
          <w:p w:rsidR="00E922D9" w:rsidRPr="00C60AD1" w:rsidRDefault="00E922D9" w:rsidP="00EB02EF">
            <w:pPr>
              <w:spacing w:before="0"/>
              <w:jc w:val="center"/>
            </w:pPr>
            <w:r w:rsidRPr="00C60AD1">
              <w:t>23</w:t>
            </w:r>
          </w:p>
        </w:tc>
        <w:tc>
          <w:tcPr>
            <w:tcW w:w="3181" w:type="dxa"/>
          </w:tcPr>
          <w:p w:rsidR="00E922D9" w:rsidRPr="00C60AD1" w:rsidRDefault="00E922D9" w:rsidP="00EB02EF">
            <w:pPr>
              <w:spacing w:before="0"/>
              <w:jc w:val="center"/>
            </w:pPr>
            <w:r w:rsidRPr="00C60AD1">
              <w:t>18</w:t>
            </w:r>
          </w:p>
        </w:tc>
      </w:tr>
      <w:tr w:rsidR="00E922D9" w:rsidRPr="00C60AD1" w:rsidTr="00EB02EF">
        <w:trPr>
          <w:jc w:val="center"/>
        </w:trPr>
        <w:tc>
          <w:tcPr>
            <w:tcW w:w="720" w:type="dxa"/>
          </w:tcPr>
          <w:p w:rsidR="00E922D9" w:rsidRPr="00C60AD1" w:rsidRDefault="00E922D9" w:rsidP="00EB02EF">
            <w:pPr>
              <w:spacing w:before="0"/>
              <w:jc w:val="center"/>
            </w:pPr>
            <w:r w:rsidRPr="00C60AD1">
              <w:t>24.</w:t>
            </w:r>
          </w:p>
        </w:tc>
        <w:tc>
          <w:tcPr>
            <w:tcW w:w="4770" w:type="dxa"/>
          </w:tcPr>
          <w:p w:rsidR="00E922D9" w:rsidRPr="00C60AD1" w:rsidRDefault="00E922D9" w:rsidP="00EB02EF">
            <w:pPr>
              <w:spacing w:before="0"/>
              <w:jc w:val="center"/>
            </w:pPr>
            <w:r w:rsidRPr="00C60AD1">
              <w:t>24</w:t>
            </w:r>
          </w:p>
        </w:tc>
        <w:tc>
          <w:tcPr>
            <w:tcW w:w="3181" w:type="dxa"/>
          </w:tcPr>
          <w:p w:rsidR="00E922D9" w:rsidRPr="00C60AD1" w:rsidRDefault="00E922D9" w:rsidP="00EB02EF">
            <w:pPr>
              <w:spacing w:before="0"/>
              <w:jc w:val="center"/>
            </w:pPr>
            <w:r w:rsidRPr="00C60AD1">
              <w:t>19</w:t>
            </w:r>
          </w:p>
        </w:tc>
      </w:tr>
      <w:tr w:rsidR="00E922D9" w:rsidRPr="00C60AD1" w:rsidTr="00EB02EF">
        <w:trPr>
          <w:jc w:val="center"/>
        </w:trPr>
        <w:tc>
          <w:tcPr>
            <w:tcW w:w="720" w:type="dxa"/>
          </w:tcPr>
          <w:p w:rsidR="00E922D9" w:rsidRPr="00C60AD1" w:rsidRDefault="00E922D9" w:rsidP="00EB02EF">
            <w:pPr>
              <w:spacing w:before="0"/>
              <w:jc w:val="center"/>
            </w:pPr>
            <w:r w:rsidRPr="00C60AD1">
              <w:t>25.</w:t>
            </w:r>
          </w:p>
        </w:tc>
        <w:tc>
          <w:tcPr>
            <w:tcW w:w="4770" w:type="dxa"/>
          </w:tcPr>
          <w:p w:rsidR="00E922D9" w:rsidRPr="00C60AD1" w:rsidRDefault="00E922D9" w:rsidP="00EB02EF">
            <w:pPr>
              <w:spacing w:before="0"/>
              <w:jc w:val="center"/>
            </w:pPr>
            <w:r w:rsidRPr="00C60AD1">
              <w:t>25</w:t>
            </w:r>
          </w:p>
        </w:tc>
        <w:tc>
          <w:tcPr>
            <w:tcW w:w="3181" w:type="dxa"/>
          </w:tcPr>
          <w:p w:rsidR="00E922D9" w:rsidRPr="00C60AD1" w:rsidRDefault="00E922D9" w:rsidP="00EB02EF">
            <w:pPr>
              <w:spacing w:before="0"/>
              <w:jc w:val="center"/>
            </w:pPr>
            <w:r w:rsidRPr="00C60AD1">
              <w:t>19</w:t>
            </w:r>
          </w:p>
        </w:tc>
      </w:tr>
      <w:tr w:rsidR="00E922D9" w:rsidRPr="00C60AD1" w:rsidTr="00EB02EF">
        <w:trPr>
          <w:jc w:val="center"/>
        </w:trPr>
        <w:tc>
          <w:tcPr>
            <w:tcW w:w="720" w:type="dxa"/>
          </w:tcPr>
          <w:p w:rsidR="00E922D9" w:rsidRPr="00C60AD1" w:rsidRDefault="00E922D9" w:rsidP="00EB02EF">
            <w:pPr>
              <w:spacing w:before="0"/>
              <w:jc w:val="center"/>
            </w:pPr>
            <w:r w:rsidRPr="00C60AD1">
              <w:t>26.</w:t>
            </w:r>
          </w:p>
        </w:tc>
        <w:tc>
          <w:tcPr>
            <w:tcW w:w="4770" w:type="dxa"/>
          </w:tcPr>
          <w:p w:rsidR="00E922D9" w:rsidRPr="00C60AD1" w:rsidRDefault="00E922D9" w:rsidP="00EB02EF">
            <w:pPr>
              <w:spacing w:before="0"/>
              <w:jc w:val="center"/>
            </w:pPr>
            <w:r w:rsidRPr="00C60AD1">
              <w:t>26</w:t>
            </w:r>
          </w:p>
        </w:tc>
        <w:tc>
          <w:tcPr>
            <w:tcW w:w="3181" w:type="dxa"/>
          </w:tcPr>
          <w:p w:rsidR="00E922D9" w:rsidRPr="00C60AD1" w:rsidRDefault="00E922D9" w:rsidP="00EB02EF">
            <w:pPr>
              <w:spacing w:before="0"/>
              <w:jc w:val="center"/>
            </w:pPr>
            <w:r w:rsidRPr="00C60AD1">
              <w:t>20</w:t>
            </w:r>
          </w:p>
        </w:tc>
      </w:tr>
      <w:tr w:rsidR="00E922D9" w:rsidRPr="00C60AD1" w:rsidTr="00EB02EF">
        <w:trPr>
          <w:jc w:val="center"/>
        </w:trPr>
        <w:tc>
          <w:tcPr>
            <w:tcW w:w="720" w:type="dxa"/>
          </w:tcPr>
          <w:p w:rsidR="00E922D9" w:rsidRPr="00C60AD1" w:rsidRDefault="00E922D9" w:rsidP="00EB02EF">
            <w:pPr>
              <w:spacing w:before="0"/>
              <w:jc w:val="center"/>
            </w:pPr>
            <w:r w:rsidRPr="00C60AD1">
              <w:t>27.</w:t>
            </w:r>
          </w:p>
        </w:tc>
        <w:tc>
          <w:tcPr>
            <w:tcW w:w="4770" w:type="dxa"/>
          </w:tcPr>
          <w:p w:rsidR="00E922D9" w:rsidRPr="00C60AD1" w:rsidRDefault="00E922D9" w:rsidP="00EB02EF">
            <w:pPr>
              <w:spacing w:before="0"/>
              <w:jc w:val="center"/>
            </w:pPr>
            <w:r w:rsidRPr="00C60AD1">
              <w:t>27</w:t>
            </w:r>
          </w:p>
        </w:tc>
        <w:tc>
          <w:tcPr>
            <w:tcW w:w="3181" w:type="dxa"/>
          </w:tcPr>
          <w:p w:rsidR="00E922D9" w:rsidRPr="00C60AD1" w:rsidRDefault="00E922D9" w:rsidP="00EB02EF">
            <w:pPr>
              <w:spacing w:before="0"/>
              <w:jc w:val="center"/>
            </w:pPr>
            <w:r w:rsidRPr="00C60AD1">
              <w:t>21</w:t>
            </w:r>
          </w:p>
        </w:tc>
      </w:tr>
      <w:tr w:rsidR="00E922D9" w:rsidRPr="00C60AD1" w:rsidTr="00EB02EF">
        <w:trPr>
          <w:jc w:val="center"/>
        </w:trPr>
        <w:tc>
          <w:tcPr>
            <w:tcW w:w="720" w:type="dxa"/>
          </w:tcPr>
          <w:p w:rsidR="00E922D9" w:rsidRPr="00C60AD1" w:rsidRDefault="00E922D9" w:rsidP="00EB02EF">
            <w:pPr>
              <w:spacing w:before="0"/>
              <w:jc w:val="center"/>
            </w:pPr>
            <w:r w:rsidRPr="00C60AD1">
              <w:t>28.</w:t>
            </w:r>
          </w:p>
        </w:tc>
        <w:tc>
          <w:tcPr>
            <w:tcW w:w="4770" w:type="dxa"/>
          </w:tcPr>
          <w:p w:rsidR="00E922D9" w:rsidRPr="00C60AD1" w:rsidRDefault="00E922D9" w:rsidP="00EB02EF">
            <w:pPr>
              <w:spacing w:before="0"/>
              <w:jc w:val="center"/>
            </w:pPr>
            <w:r w:rsidRPr="00C60AD1">
              <w:t>28</w:t>
            </w:r>
          </w:p>
        </w:tc>
        <w:tc>
          <w:tcPr>
            <w:tcW w:w="3181" w:type="dxa"/>
          </w:tcPr>
          <w:p w:rsidR="00E922D9" w:rsidRPr="00C60AD1" w:rsidRDefault="00E922D9" w:rsidP="00EB02EF">
            <w:pPr>
              <w:spacing w:before="0"/>
              <w:jc w:val="center"/>
            </w:pPr>
            <w:r w:rsidRPr="00C60AD1">
              <w:t>22</w:t>
            </w:r>
          </w:p>
        </w:tc>
      </w:tr>
      <w:tr w:rsidR="00E922D9" w:rsidRPr="00C60AD1" w:rsidTr="00EB02EF">
        <w:trPr>
          <w:jc w:val="center"/>
        </w:trPr>
        <w:tc>
          <w:tcPr>
            <w:tcW w:w="720" w:type="dxa"/>
          </w:tcPr>
          <w:p w:rsidR="00E922D9" w:rsidRPr="00C60AD1" w:rsidRDefault="00E922D9" w:rsidP="00EB02EF">
            <w:pPr>
              <w:spacing w:before="0"/>
              <w:jc w:val="center"/>
            </w:pPr>
            <w:r w:rsidRPr="00C60AD1">
              <w:t>29.</w:t>
            </w:r>
          </w:p>
        </w:tc>
        <w:tc>
          <w:tcPr>
            <w:tcW w:w="4770" w:type="dxa"/>
          </w:tcPr>
          <w:p w:rsidR="00E922D9" w:rsidRPr="00C60AD1" w:rsidRDefault="00E922D9" w:rsidP="00EB02EF">
            <w:pPr>
              <w:spacing w:before="0"/>
              <w:jc w:val="center"/>
            </w:pPr>
            <w:r w:rsidRPr="00C60AD1">
              <w:t>29</w:t>
            </w:r>
          </w:p>
        </w:tc>
        <w:tc>
          <w:tcPr>
            <w:tcW w:w="3181" w:type="dxa"/>
          </w:tcPr>
          <w:p w:rsidR="00E922D9" w:rsidRPr="00C60AD1" w:rsidRDefault="00E922D9" w:rsidP="00EB02EF">
            <w:pPr>
              <w:spacing w:before="0"/>
              <w:jc w:val="center"/>
            </w:pPr>
            <w:r w:rsidRPr="00C60AD1">
              <w:t>22</w:t>
            </w:r>
          </w:p>
        </w:tc>
      </w:tr>
      <w:tr w:rsidR="00E922D9" w:rsidRPr="00C60AD1" w:rsidTr="00EB02EF">
        <w:trPr>
          <w:jc w:val="center"/>
        </w:trPr>
        <w:tc>
          <w:tcPr>
            <w:tcW w:w="720" w:type="dxa"/>
          </w:tcPr>
          <w:p w:rsidR="00E922D9" w:rsidRPr="00C60AD1" w:rsidRDefault="00E922D9" w:rsidP="00EB02EF">
            <w:pPr>
              <w:spacing w:before="0"/>
              <w:jc w:val="center"/>
            </w:pPr>
            <w:r w:rsidRPr="00C60AD1">
              <w:t>30.</w:t>
            </w:r>
          </w:p>
        </w:tc>
        <w:tc>
          <w:tcPr>
            <w:tcW w:w="4770" w:type="dxa"/>
          </w:tcPr>
          <w:p w:rsidR="00E922D9" w:rsidRPr="00C60AD1" w:rsidRDefault="00E922D9" w:rsidP="00EB02EF">
            <w:pPr>
              <w:spacing w:before="0"/>
              <w:jc w:val="center"/>
            </w:pPr>
            <w:r w:rsidRPr="00C60AD1">
              <w:t>30</w:t>
            </w:r>
          </w:p>
        </w:tc>
        <w:tc>
          <w:tcPr>
            <w:tcW w:w="3181" w:type="dxa"/>
          </w:tcPr>
          <w:p w:rsidR="00E922D9" w:rsidRPr="00C60AD1" w:rsidRDefault="00E922D9" w:rsidP="00EB02EF">
            <w:pPr>
              <w:spacing w:before="0"/>
              <w:jc w:val="center"/>
            </w:pPr>
            <w:r w:rsidRPr="00C60AD1">
              <w:t>23</w:t>
            </w:r>
          </w:p>
        </w:tc>
      </w:tr>
      <w:tr w:rsidR="00E922D9" w:rsidRPr="00C60AD1" w:rsidTr="00EB02EF">
        <w:trPr>
          <w:jc w:val="center"/>
        </w:trPr>
        <w:tc>
          <w:tcPr>
            <w:tcW w:w="720" w:type="dxa"/>
          </w:tcPr>
          <w:p w:rsidR="00E922D9" w:rsidRPr="00C60AD1" w:rsidRDefault="00E922D9" w:rsidP="00EB02EF">
            <w:pPr>
              <w:spacing w:before="0"/>
              <w:jc w:val="center"/>
            </w:pPr>
            <w:r w:rsidRPr="00C60AD1">
              <w:t>31.</w:t>
            </w:r>
          </w:p>
        </w:tc>
        <w:tc>
          <w:tcPr>
            <w:tcW w:w="4770" w:type="dxa"/>
          </w:tcPr>
          <w:p w:rsidR="00E922D9" w:rsidRPr="00C60AD1" w:rsidRDefault="00E922D9" w:rsidP="00EB02EF">
            <w:pPr>
              <w:spacing w:before="0"/>
              <w:jc w:val="center"/>
            </w:pPr>
            <w:r w:rsidRPr="00C60AD1">
              <w:t>31</w:t>
            </w:r>
          </w:p>
        </w:tc>
        <w:tc>
          <w:tcPr>
            <w:tcW w:w="3181" w:type="dxa"/>
          </w:tcPr>
          <w:p w:rsidR="00E922D9" w:rsidRPr="00C60AD1" w:rsidRDefault="00E922D9" w:rsidP="00EB02EF">
            <w:pPr>
              <w:spacing w:before="0"/>
              <w:jc w:val="center"/>
            </w:pPr>
            <w:r w:rsidRPr="00C60AD1">
              <w:t>24</w:t>
            </w:r>
          </w:p>
        </w:tc>
      </w:tr>
      <w:tr w:rsidR="00E922D9" w:rsidRPr="00C60AD1" w:rsidTr="00EB02EF">
        <w:trPr>
          <w:jc w:val="center"/>
        </w:trPr>
        <w:tc>
          <w:tcPr>
            <w:tcW w:w="720" w:type="dxa"/>
          </w:tcPr>
          <w:p w:rsidR="00E922D9" w:rsidRPr="00C60AD1" w:rsidRDefault="00E922D9" w:rsidP="00EB02EF">
            <w:pPr>
              <w:spacing w:before="0"/>
              <w:jc w:val="center"/>
            </w:pPr>
            <w:r w:rsidRPr="00C60AD1">
              <w:t>32.</w:t>
            </w:r>
          </w:p>
        </w:tc>
        <w:tc>
          <w:tcPr>
            <w:tcW w:w="4770" w:type="dxa"/>
          </w:tcPr>
          <w:p w:rsidR="00E922D9" w:rsidRPr="00C60AD1" w:rsidRDefault="00E922D9" w:rsidP="00EB02EF">
            <w:pPr>
              <w:spacing w:before="0"/>
              <w:jc w:val="center"/>
            </w:pPr>
            <w:r w:rsidRPr="00C60AD1">
              <w:t>32</w:t>
            </w:r>
          </w:p>
        </w:tc>
        <w:tc>
          <w:tcPr>
            <w:tcW w:w="3181" w:type="dxa"/>
          </w:tcPr>
          <w:p w:rsidR="00E922D9" w:rsidRPr="00C60AD1" w:rsidRDefault="00E922D9" w:rsidP="00EB02EF">
            <w:pPr>
              <w:spacing w:before="0"/>
              <w:jc w:val="center"/>
            </w:pPr>
            <w:r w:rsidRPr="00C60AD1">
              <w:t>25</w:t>
            </w:r>
          </w:p>
        </w:tc>
      </w:tr>
      <w:tr w:rsidR="00E922D9" w:rsidRPr="00C60AD1" w:rsidTr="00EB02EF">
        <w:trPr>
          <w:jc w:val="center"/>
        </w:trPr>
        <w:tc>
          <w:tcPr>
            <w:tcW w:w="720" w:type="dxa"/>
          </w:tcPr>
          <w:p w:rsidR="00E922D9" w:rsidRPr="00C60AD1" w:rsidRDefault="00E922D9" w:rsidP="00EB02EF">
            <w:pPr>
              <w:spacing w:before="0"/>
              <w:jc w:val="center"/>
            </w:pPr>
            <w:r w:rsidRPr="00C60AD1">
              <w:t>33.</w:t>
            </w:r>
          </w:p>
        </w:tc>
        <w:tc>
          <w:tcPr>
            <w:tcW w:w="4770" w:type="dxa"/>
          </w:tcPr>
          <w:p w:rsidR="00E922D9" w:rsidRPr="00C60AD1" w:rsidRDefault="00E922D9" w:rsidP="00EB02EF">
            <w:pPr>
              <w:spacing w:before="0"/>
              <w:jc w:val="center"/>
            </w:pPr>
            <w:r w:rsidRPr="00C60AD1">
              <w:t>33</w:t>
            </w:r>
          </w:p>
        </w:tc>
        <w:tc>
          <w:tcPr>
            <w:tcW w:w="3181" w:type="dxa"/>
          </w:tcPr>
          <w:p w:rsidR="00E922D9" w:rsidRPr="00C60AD1" w:rsidRDefault="00E922D9" w:rsidP="00EB02EF">
            <w:pPr>
              <w:spacing w:before="0"/>
              <w:jc w:val="center"/>
            </w:pPr>
            <w:r w:rsidRPr="00C60AD1">
              <w:t>25</w:t>
            </w:r>
          </w:p>
        </w:tc>
      </w:tr>
      <w:tr w:rsidR="00E922D9" w:rsidRPr="00C60AD1" w:rsidTr="00EB02EF">
        <w:trPr>
          <w:jc w:val="center"/>
        </w:trPr>
        <w:tc>
          <w:tcPr>
            <w:tcW w:w="720" w:type="dxa"/>
          </w:tcPr>
          <w:p w:rsidR="00E922D9" w:rsidRPr="00C60AD1" w:rsidRDefault="00E922D9" w:rsidP="00EB02EF">
            <w:pPr>
              <w:spacing w:before="0"/>
              <w:jc w:val="center"/>
            </w:pPr>
            <w:r w:rsidRPr="00C60AD1">
              <w:t>34.</w:t>
            </w:r>
          </w:p>
        </w:tc>
        <w:tc>
          <w:tcPr>
            <w:tcW w:w="4770" w:type="dxa"/>
          </w:tcPr>
          <w:p w:rsidR="00E922D9" w:rsidRPr="00C60AD1" w:rsidRDefault="00E922D9" w:rsidP="00EB02EF">
            <w:pPr>
              <w:spacing w:before="0"/>
              <w:jc w:val="center"/>
            </w:pPr>
            <w:r w:rsidRPr="00C60AD1">
              <w:t>34</w:t>
            </w:r>
          </w:p>
        </w:tc>
        <w:tc>
          <w:tcPr>
            <w:tcW w:w="3181" w:type="dxa"/>
          </w:tcPr>
          <w:p w:rsidR="00E922D9" w:rsidRPr="00C60AD1" w:rsidRDefault="00E922D9" w:rsidP="00EB02EF">
            <w:pPr>
              <w:spacing w:before="0"/>
              <w:jc w:val="center"/>
            </w:pPr>
            <w:r w:rsidRPr="00C60AD1">
              <w:t>26</w:t>
            </w:r>
          </w:p>
        </w:tc>
      </w:tr>
      <w:tr w:rsidR="00E922D9" w:rsidRPr="00C60AD1" w:rsidTr="00EB02EF">
        <w:trPr>
          <w:jc w:val="center"/>
        </w:trPr>
        <w:tc>
          <w:tcPr>
            <w:tcW w:w="720" w:type="dxa"/>
          </w:tcPr>
          <w:p w:rsidR="00E922D9" w:rsidRPr="00C60AD1" w:rsidRDefault="00E922D9" w:rsidP="00EB02EF">
            <w:pPr>
              <w:spacing w:before="0"/>
              <w:jc w:val="center"/>
            </w:pPr>
            <w:r w:rsidRPr="00C60AD1">
              <w:t>35.</w:t>
            </w:r>
          </w:p>
        </w:tc>
        <w:tc>
          <w:tcPr>
            <w:tcW w:w="4770" w:type="dxa"/>
          </w:tcPr>
          <w:p w:rsidR="00E922D9" w:rsidRPr="00C60AD1" w:rsidRDefault="00E922D9" w:rsidP="00EB02EF">
            <w:pPr>
              <w:spacing w:before="0"/>
              <w:jc w:val="center"/>
            </w:pPr>
            <w:r w:rsidRPr="00C60AD1">
              <w:t>35</w:t>
            </w:r>
          </w:p>
        </w:tc>
        <w:tc>
          <w:tcPr>
            <w:tcW w:w="3181" w:type="dxa"/>
          </w:tcPr>
          <w:p w:rsidR="00E922D9" w:rsidRPr="00C60AD1" w:rsidRDefault="00E922D9" w:rsidP="00EB02EF">
            <w:pPr>
              <w:spacing w:before="0"/>
              <w:jc w:val="center"/>
            </w:pPr>
            <w:r w:rsidRPr="00C60AD1">
              <w:t>27</w:t>
            </w:r>
          </w:p>
        </w:tc>
      </w:tr>
    </w:tbl>
    <w:p w:rsidR="00023318" w:rsidRDefault="00023318" w:rsidP="00023318">
      <w:pPr>
        <w:pStyle w:val="Heading2"/>
        <w:numPr>
          <w:ilvl w:val="0"/>
          <w:numId w:val="0"/>
        </w:numPr>
      </w:pPr>
    </w:p>
    <w:bookmarkEnd w:id="1622"/>
    <w:bookmarkEnd w:id="1623"/>
    <w:bookmarkEnd w:id="1624"/>
    <w:bookmarkEnd w:id="1625"/>
    <w:bookmarkEnd w:id="1626"/>
    <w:bookmarkEnd w:id="1627"/>
    <w:bookmarkEnd w:id="1628"/>
    <w:bookmarkEnd w:id="1629"/>
    <w:p w:rsidR="00AC1793" w:rsidRDefault="00AC1793" w:rsidP="00C34658">
      <w:pPr>
        <w:pStyle w:val="Heading3"/>
        <w:numPr>
          <w:ilvl w:val="0"/>
          <w:numId w:val="0"/>
        </w:numPr>
        <w:tabs>
          <w:tab w:val="clear" w:pos="720"/>
          <w:tab w:val="left" w:pos="2225"/>
          <w:tab w:val="left" w:pos="6415"/>
        </w:tabs>
        <w:spacing w:before="0" w:after="120"/>
        <w:rPr>
          <w:b/>
        </w:rPr>
        <w:sectPr w:rsidR="00AC1793" w:rsidSect="00675499">
          <w:footerReference w:type="default" r:id="rId20"/>
          <w:pgSz w:w="11909" w:h="16834"/>
          <w:pgMar w:top="1440" w:right="1440" w:bottom="1440" w:left="1800" w:header="720" w:footer="720" w:gutter="0"/>
          <w:pgNumType w:chapSep="colon"/>
          <w:cols w:space="720"/>
          <w:docGrid w:linePitch="326"/>
        </w:sectPr>
      </w:pPr>
    </w:p>
    <w:p w:rsidR="00D55642" w:rsidRPr="00D55642" w:rsidRDefault="00D55642" w:rsidP="00BA3941">
      <w:pPr>
        <w:pStyle w:val="Heading2"/>
        <w:numPr>
          <w:ilvl w:val="1"/>
          <w:numId w:val="23"/>
        </w:numPr>
      </w:pPr>
      <w:bookmarkStart w:id="1657" w:name="_Toc455487016"/>
      <w:bookmarkStart w:id="1658" w:name="_Toc455487315"/>
      <w:bookmarkStart w:id="1659" w:name="_Toc455487682"/>
      <w:bookmarkStart w:id="1660" w:name="_Toc455494109"/>
      <w:bookmarkStart w:id="1661" w:name="_Toc455494409"/>
      <w:bookmarkStart w:id="1662" w:name="_Toc455494706"/>
      <w:bookmarkStart w:id="1663" w:name="_Toc455496434"/>
      <w:bookmarkStart w:id="1664" w:name="_Toc455507154"/>
      <w:bookmarkStart w:id="1665" w:name="_Toc455507451"/>
      <w:bookmarkStart w:id="1666" w:name="_Toc455575100"/>
      <w:bookmarkStart w:id="1667" w:name="_Toc455673718"/>
      <w:bookmarkStart w:id="1668" w:name="_Toc457355528"/>
      <w:bookmarkEnd w:id="1657"/>
      <w:bookmarkEnd w:id="1658"/>
      <w:bookmarkEnd w:id="1659"/>
      <w:bookmarkEnd w:id="1660"/>
      <w:bookmarkEnd w:id="1661"/>
      <w:bookmarkEnd w:id="1662"/>
      <w:bookmarkEnd w:id="1663"/>
      <w:bookmarkEnd w:id="1664"/>
      <w:bookmarkEnd w:id="1665"/>
      <w:bookmarkEnd w:id="1666"/>
      <w:bookmarkEnd w:id="1667"/>
      <w:r w:rsidRPr="00D55642">
        <w:lastRenderedPageBreak/>
        <w:t>LIST OF PERSONS WHO HAVE ATTENDED PUBLIC HEARING AT GREATER NOIDA, LUCKNOW AND ALIGARH IN RESPECT OF PROCEEDINGS FOR ARR &amp; TARIFF DETERMINATION FOR FY 2016-17</w:t>
      </w:r>
      <w:bookmarkEnd w:id="1668"/>
    </w:p>
    <w:p w:rsidR="00D55642" w:rsidRDefault="00D55642" w:rsidP="00C34658">
      <w:pPr>
        <w:spacing w:before="0" w:line="240" w:lineRule="auto"/>
        <w:jc w:val="left"/>
        <w:rPr>
          <w:b/>
        </w:rPr>
      </w:pPr>
    </w:p>
    <w:p w:rsidR="00D55642" w:rsidRDefault="00D55642" w:rsidP="00D55642">
      <w:pPr>
        <w:spacing w:before="0" w:line="240" w:lineRule="auto"/>
        <w:ind w:firstLine="720"/>
        <w:jc w:val="left"/>
        <w:rPr>
          <w:b/>
          <w:u w:val="single"/>
        </w:rPr>
      </w:pPr>
      <w:r w:rsidRPr="00D55642">
        <w:rPr>
          <w:b/>
          <w:u w:val="single"/>
        </w:rPr>
        <w:t>LIST OF PERSONS WHO HAVE ATTENDED PUBLIC HEARING AT GREATER NOIDA</w:t>
      </w:r>
    </w:p>
    <w:p w:rsidR="00D55642" w:rsidRPr="00D55642" w:rsidRDefault="00D55642" w:rsidP="00D55642">
      <w:pPr>
        <w:spacing w:before="0" w:line="240" w:lineRule="auto"/>
        <w:ind w:firstLine="720"/>
        <w:jc w:val="left"/>
        <w:rPr>
          <w:b/>
          <w:u w:val="single"/>
        </w:rPr>
      </w:pPr>
    </w:p>
    <w:tbl>
      <w:tblPr>
        <w:tblW w:w="8063" w:type="dxa"/>
        <w:jc w:val="right"/>
        <w:tblInd w:w="91" w:type="dxa"/>
        <w:tblLook w:val="04A0"/>
      </w:tblPr>
      <w:tblGrid>
        <w:gridCol w:w="1040"/>
        <w:gridCol w:w="3205"/>
        <w:gridCol w:w="3818"/>
      </w:tblGrid>
      <w:tr w:rsidR="00D55642" w:rsidRPr="00104FC9" w:rsidTr="00D55642">
        <w:trPr>
          <w:trHeight w:val="300"/>
          <w:tblHeader/>
          <w:jc w:val="right"/>
        </w:trPr>
        <w:tc>
          <w:tcPr>
            <w:tcW w:w="8063"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104FC9" w:rsidRDefault="00C34658"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sz w:val="22"/>
                <w:szCs w:val="22"/>
              </w:rPr>
              <w:br w:type="page"/>
            </w:r>
            <w:r w:rsidR="00D55642" w:rsidRPr="00104FC9">
              <w:rPr>
                <w:rFonts w:asciiTheme="minorHAnsi" w:hAnsiTheme="minorHAnsi"/>
                <w:b/>
                <w:bCs/>
                <w:color w:val="000000"/>
                <w:sz w:val="22"/>
                <w:szCs w:val="22"/>
                <w:lang w:eastAsia="en-IN"/>
              </w:rPr>
              <w:t>List of Persons who attended Public Hearing at Greater Noida on May 11, 2016</w:t>
            </w:r>
          </w:p>
        </w:tc>
      </w:tr>
      <w:tr w:rsidR="00D55642" w:rsidRPr="00104FC9" w:rsidTr="00D55642">
        <w:trPr>
          <w:trHeight w:val="300"/>
          <w:tblHeader/>
          <w:jc w:val="right"/>
        </w:trPr>
        <w:tc>
          <w:tcPr>
            <w:tcW w:w="1040" w:type="dxa"/>
            <w:tcBorders>
              <w:top w:val="nil"/>
              <w:left w:val="single" w:sz="4" w:space="0" w:color="auto"/>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Sl. No.</w:t>
            </w:r>
          </w:p>
        </w:tc>
        <w:tc>
          <w:tcPr>
            <w:tcW w:w="3205"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Name</w:t>
            </w:r>
          </w:p>
        </w:tc>
        <w:tc>
          <w:tcPr>
            <w:tcW w:w="3818" w:type="dxa"/>
            <w:tcBorders>
              <w:top w:val="nil"/>
              <w:left w:val="nil"/>
              <w:bottom w:val="single" w:sz="4" w:space="0" w:color="auto"/>
              <w:right w:val="single" w:sz="4" w:space="0" w:color="auto"/>
            </w:tcBorders>
            <w:shd w:val="clear" w:color="000000" w:fill="DBE5F1"/>
            <w:hideMark/>
          </w:tcPr>
          <w:p w:rsidR="00D55642" w:rsidRPr="00104FC9" w:rsidRDefault="00D55642" w:rsidP="00D55642">
            <w:pPr>
              <w:spacing w:before="0" w:line="240" w:lineRule="auto"/>
              <w:jc w:val="center"/>
              <w:rPr>
                <w:rFonts w:asciiTheme="minorHAnsi" w:hAnsiTheme="minorHAnsi"/>
                <w:b/>
                <w:bCs/>
                <w:color w:val="000000"/>
                <w:sz w:val="22"/>
                <w:szCs w:val="22"/>
                <w:lang w:eastAsia="en-IN"/>
              </w:rPr>
            </w:pPr>
            <w:r w:rsidRPr="00104FC9">
              <w:rPr>
                <w:rFonts w:asciiTheme="minorHAnsi" w:hAnsiTheme="minorHAnsi"/>
                <w:b/>
                <w:bCs/>
                <w:color w:val="000000"/>
                <w:sz w:val="22"/>
                <w:szCs w:val="22"/>
                <w:lang w:val="en-US" w:eastAsia="en-IN"/>
              </w:rPr>
              <w:t>Organisation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R.P.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S.C.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Director(Commercial), 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S.P.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Dr. Amit Bhargava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lang w:eastAsia="en-IN"/>
              </w:rPr>
              <w:t>Director (Tariff),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Z. Rehmann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Chairman, 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Kaushik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Advisor,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Raghvendra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 EUDDI</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Kumar Chaurasia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Executive Engineer, 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Joshi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Pathak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Sudhir Goyal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Gaurav Nand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R.D.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SE, 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Ravi Bansal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Nikhil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Sagar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Siddharth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Lokesh Goswami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Technews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Ilam Singh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Kumar Rai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PuVVNL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R.R.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Mohan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29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Juneja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Akarsh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Amit</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33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Dr. A.K.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Ashray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MVVNL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39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D.C.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EE(RAU), 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Avnish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Suraj Chaudhary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Mukesh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Anil Kr.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Verma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Jagdish 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Govind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49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Satish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S.M. Garg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Phool Chand</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Jitendra Pareek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GNVM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Gagan Tyagi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Dainik Jagran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Neeraj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Rakesh K.</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Tiwari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59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Sushil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Manish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Rajeev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Jain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Parinay Shah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Advocate</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Manoj Siradhna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Saurabh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Nahar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Titu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69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Raj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70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Vikas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Pradhan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N.K. Upadhyay</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Ramveer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Sunil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Smt. Rupa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Harish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Sonu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PVVNL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Sonika Hayaran</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79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A.K.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Shrivastav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IERS</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Pradeep Agrawal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IIA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R.K. Rastogi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Regulatory Commission</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Pratap Bhanu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CGRF</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Ram Gopal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K.L. Aggarwal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ASSOCHAM</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Subrat Kumar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ABPS-Consultant, UPERC</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Ajay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89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Sandeep</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NEA</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J.S.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UPPCL</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Harender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Rahul Nagar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Atul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Surendra Sing</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95</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Devender</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96</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V.K. Sharma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42"/>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97</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Ashish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70"/>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98</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P.K.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9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99</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Birju</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100</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Salil Yadav</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305"/>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101</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Puneet Gupta</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UPPTCL</w:t>
            </w:r>
          </w:p>
        </w:tc>
      </w:tr>
      <w:tr w:rsidR="00D55642" w:rsidRPr="00104FC9" w:rsidTr="00D55642">
        <w:trPr>
          <w:trHeight w:val="143"/>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102</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Naveen Bhati</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88"/>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103</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Sanjay Agarwal</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97"/>
          <w:jc w:val="right"/>
        </w:trPr>
        <w:tc>
          <w:tcPr>
            <w:tcW w:w="1040" w:type="dxa"/>
            <w:tcBorders>
              <w:top w:val="nil"/>
              <w:left w:val="single" w:sz="4" w:space="0" w:color="auto"/>
              <w:bottom w:val="single" w:sz="4" w:space="0" w:color="auto"/>
              <w:right w:val="single" w:sz="4" w:space="0" w:color="auto"/>
            </w:tcBorders>
            <w:shd w:val="clear" w:color="auto" w:fill="auto"/>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104</w:t>
            </w:r>
          </w:p>
        </w:tc>
        <w:tc>
          <w:tcPr>
            <w:tcW w:w="3205"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Shri Alok Singh</w:t>
            </w:r>
          </w:p>
        </w:tc>
        <w:tc>
          <w:tcPr>
            <w:tcW w:w="3818" w:type="dxa"/>
            <w:tcBorders>
              <w:top w:val="nil"/>
              <w:left w:val="nil"/>
              <w:bottom w:val="single" w:sz="4" w:space="0" w:color="auto"/>
              <w:right w:val="single" w:sz="4" w:space="0" w:color="auto"/>
            </w:tcBorders>
            <w:shd w:val="clear" w:color="auto" w:fill="auto"/>
            <w:hideMark/>
          </w:tcPr>
          <w:p w:rsidR="00D55642" w:rsidRPr="00104FC9" w:rsidRDefault="00D55642" w:rsidP="00D55642">
            <w:pPr>
              <w:spacing w:before="0"/>
              <w:jc w:val="left"/>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70"/>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105</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Devendra Tiger</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125"/>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t>106</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Deepak Bhati</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r w:rsidR="00D55642" w:rsidRPr="00104FC9" w:rsidTr="00D55642">
        <w:trPr>
          <w:trHeight w:val="233"/>
          <w:jc w:val="right"/>
        </w:trPr>
        <w:tc>
          <w:tcPr>
            <w:tcW w:w="1040" w:type="dxa"/>
            <w:tcBorders>
              <w:top w:val="nil"/>
              <w:left w:val="single" w:sz="4" w:space="0" w:color="auto"/>
              <w:bottom w:val="single" w:sz="4" w:space="0" w:color="auto"/>
              <w:right w:val="single" w:sz="4" w:space="0" w:color="auto"/>
            </w:tcBorders>
            <w:shd w:val="clear" w:color="auto" w:fill="auto"/>
            <w:vAlign w:val="bottom"/>
            <w:hideMark/>
          </w:tcPr>
          <w:p w:rsidR="00D55642" w:rsidRPr="00104FC9" w:rsidRDefault="00D55642" w:rsidP="00D55642">
            <w:pPr>
              <w:spacing w:before="0"/>
              <w:jc w:val="center"/>
              <w:rPr>
                <w:rFonts w:asciiTheme="minorHAnsi" w:hAnsiTheme="minorHAnsi"/>
                <w:color w:val="000000"/>
                <w:sz w:val="22"/>
                <w:szCs w:val="22"/>
              </w:rPr>
            </w:pPr>
            <w:r w:rsidRPr="00104FC9">
              <w:rPr>
                <w:rFonts w:asciiTheme="minorHAnsi" w:hAnsiTheme="minorHAnsi"/>
                <w:color w:val="000000"/>
                <w:sz w:val="22"/>
                <w:szCs w:val="22"/>
              </w:rPr>
              <w:lastRenderedPageBreak/>
              <w:t>107</w:t>
            </w:r>
          </w:p>
        </w:tc>
        <w:tc>
          <w:tcPr>
            <w:tcW w:w="3205"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Shri Rajesh Gupta</w:t>
            </w:r>
          </w:p>
        </w:tc>
        <w:tc>
          <w:tcPr>
            <w:tcW w:w="3818" w:type="dxa"/>
            <w:tcBorders>
              <w:top w:val="nil"/>
              <w:left w:val="nil"/>
              <w:bottom w:val="single" w:sz="4" w:space="0" w:color="auto"/>
              <w:right w:val="single" w:sz="4" w:space="0" w:color="auto"/>
            </w:tcBorders>
            <w:shd w:val="clear" w:color="auto" w:fill="auto"/>
            <w:vAlign w:val="bottom"/>
            <w:hideMark/>
          </w:tcPr>
          <w:p w:rsidR="00D55642" w:rsidRPr="00104FC9" w:rsidRDefault="00D55642" w:rsidP="00D55642">
            <w:pPr>
              <w:spacing w:before="0"/>
              <w:rPr>
                <w:rFonts w:asciiTheme="minorHAnsi" w:hAnsiTheme="minorHAnsi"/>
                <w:color w:val="000000"/>
                <w:sz w:val="22"/>
                <w:szCs w:val="22"/>
              </w:rPr>
            </w:pPr>
            <w:r w:rsidRPr="00104FC9">
              <w:rPr>
                <w:rFonts w:asciiTheme="minorHAnsi" w:hAnsiTheme="minorHAnsi"/>
                <w:color w:val="000000"/>
                <w:sz w:val="22"/>
                <w:szCs w:val="22"/>
              </w:rPr>
              <w:t>Consumer</w:t>
            </w:r>
          </w:p>
        </w:tc>
      </w:tr>
    </w:tbl>
    <w:p w:rsidR="00D55642" w:rsidRDefault="00D55642" w:rsidP="00D55642">
      <w:pPr>
        <w:jc w:val="center"/>
      </w:pPr>
      <w:r w:rsidRPr="00F441C1">
        <w:rPr>
          <w:b/>
          <w:u w:val="single"/>
        </w:rPr>
        <w:t>LIST OF PERSONS WHO HAVE ATTENDED PUBLIC HEARING AT</w:t>
      </w:r>
      <w:r>
        <w:rPr>
          <w:b/>
          <w:u w:val="single"/>
        </w:rPr>
        <w:t xml:space="preserve"> LUCKNOW</w:t>
      </w:r>
    </w:p>
    <w:p w:rsidR="00D55642" w:rsidRDefault="00D55642" w:rsidP="00D55642">
      <w:pPr>
        <w:spacing w:before="0" w:line="240" w:lineRule="auto"/>
        <w:ind w:firstLine="720"/>
        <w:jc w:val="left"/>
        <w:rPr>
          <w:b/>
        </w:rPr>
      </w:pPr>
    </w:p>
    <w:tbl>
      <w:tblPr>
        <w:tblW w:w="8040" w:type="dxa"/>
        <w:jc w:val="right"/>
        <w:tblInd w:w="538" w:type="dxa"/>
        <w:tblLook w:val="04A0"/>
      </w:tblPr>
      <w:tblGrid>
        <w:gridCol w:w="964"/>
        <w:gridCol w:w="3289"/>
        <w:gridCol w:w="3787"/>
      </w:tblGrid>
      <w:tr w:rsidR="00D55642" w:rsidRPr="00C60AD1" w:rsidTr="00104FC9">
        <w:trPr>
          <w:trHeight w:val="300"/>
          <w:tblHeader/>
          <w:jc w:val="right"/>
        </w:trPr>
        <w:tc>
          <w:tcPr>
            <w:tcW w:w="8040"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Lucknow on May 13</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64"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89"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787"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Avadhesh Kumar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Chairman, UPRVUP</w:t>
            </w:r>
          </w:p>
        </w:tc>
      </w:tr>
      <w:tr w:rsidR="00D55642" w:rsidRPr="00C60AD1" w:rsidTr="00104FC9">
        <w:trPr>
          <w:trHeight w:val="28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Rama Shanker Awasthi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Satender Vishwa Karma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Viswanath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Raju Gautam</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Janaav Khan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UPRVUP</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P.K. Maskara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Sharma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Ajay Agnihotri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Anand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Arora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B.N. Rai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Durga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Nitesh Tyagi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Sonika Hayaran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Vaibhav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Omkar Mishra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P.C. Mishra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Naveen Gupta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Srivastava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52"/>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Prasad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Tariq Warsi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Pathak</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CE, UPPCL</w:t>
            </w:r>
          </w:p>
        </w:tc>
      </w:tr>
      <w:tr w:rsidR="00D55642" w:rsidRPr="00C60AD1" w:rsidTr="00104FC9">
        <w:trPr>
          <w:trHeight w:val="27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Sehdev Singh Goel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23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Ram Swarath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Director(Comm),UPPTCL</w:t>
            </w:r>
          </w:p>
        </w:tc>
      </w:tr>
      <w:tr w:rsidR="00D55642" w:rsidRPr="00C60AD1" w:rsidTr="00104FC9">
        <w:trPr>
          <w:trHeight w:val="188"/>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Kr. Chaurasia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143"/>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Ashok Das</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26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Agarwal</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33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Dikshit</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8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21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Sayed Abbas Rizvi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S.K. Verma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LESA</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Kohli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Yogesh Hajela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197"/>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Kamlesh Chandra </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S.C. Singh</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Anil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Vijai Kumar</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Gaurav Nand</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Priya Dwivedi</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70"/>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Surabhi Sinha</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125"/>
          <w:jc w:val="right"/>
        </w:trPr>
        <w:tc>
          <w:tcPr>
            <w:tcW w:w="964"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89"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Hemant Yadav</w:t>
            </w:r>
          </w:p>
        </w:tc>
        <w:tc>
          <w:tcPr>
            <w:tcW w:w="3787"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D55642">
      <w:pPr>
        <w:spacing w:before="0" w:line="240" w:lineRule="auto"/>
        <w:ind w:firstLine="720"/>
        <w:jc w:val="left"/>
        <w:rPr>
          <w:b/>
        </w:rPr>
      </w:pPr>
    </w:p>
    <w:p w:rsidR="00D55642" w:rsidRDefault="00D55642" w:rsidP="00D55642">
      <w:pPr>
        <w:spacing w:before="0" w:line="240" w:lineRule="auto"/>
        <w:ind w:firstLine="720"/>
        <w:jc w:val="left"/>
        <w:rPr>
          <w:b/>
        </w:rPr>
      </w:pPr>
    </w:p>
    <w:p w:rsidR="00D55642" w:rsidRDefault="00D55642" w:rsidP="00D55642">
      <w:pPr>
        <w:jc w:val="center"/>
      </w:pPr>
      <w:r w:rsidRPr="00F441C1">
        <w:rPr>
          <w:b/>
          <w:u w:val="single"/>
        </w:rPr>
        <w:t>LIST OF PERSONS WHO HAVE ATTENDED PUBLIC HEARING AT</w:t>
      </w:r>
      <w:r>
        <w:rPr>
          <w:b/>
          <w:u w:val="single"/>
        </w:rPr>
        <w:t xml:space="preserve"> ALIGARH</w:t>
      </w:r>
    </w:p>
    <w:p w:rsidR="00D55642" w:rsidRDefault="00D55642" w:rsidP="00D55642">
      <w:pPr>
        <w:spacing w:before="0" w:line="240" w:lineRule="auto"/>
        <w:ind w:firstLine="720"/>
        <w:jc w:val="left"/>
        <w:rPr>
          <w:b/>
        </w:rPr>
      </w:pPr>
    </w:p>
    <w:tbl>
      <w:tblPr>
        <w:tblW w:w="8068" w:type="dxa"/>
        <w:jc w:val="right"/>
        <w:tblInd w:w="220" w:type="dxa"/>
        <w:tblLook w:val="04A0"/>
      </w:tblPr>
      <w:tblGrid>
        <w:gridCol w:w="992"/>
        <w:gridCol w:w="3261"/>
        <w:gridCol w:w="3815"/>
      </w:tblGrid>
      <w:tr w:rsidR="00D55642" w:rsidRPr="00C60AD1" w:rsidTr="00104FC9">
        <w:trPr>
          <w:trHeight w:val="300"/>
          <w:tblHeader/>
          <w:jc w:val="right"/>
        </w:trPr>
        <w:tc>
          <w:tcPr>
            <w:tcW w:w="8068" w:type="dxa"/>
            <w:gridSpan w:val="3"/>
            <w:tcBorders>
              <w:top w:val="single" w:sz="4" w:space="0" w:color="auto"/>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eastAsia="en-IN"/>
              </w:rPr>
              <w:t>List of Persons who at</w:t>
            </w:r>
            <w:r>
              <w:rPr>
                <w:b/>
                <w:bCs/>
                <w:color w:val="000000"/>
                <w:lang w:eastAsia="en-IN"/>
              </w:rPr>
              <w:t>tended Public Hearing at Aligarh on May 20</w:t>
            </w:r>
            <w:r w:rsidRPr="00C60AD1">
              <w:rPr>
                <w:b/>
                <w:bCs/>
                <w:color w:val="000000"/>
                <w:lang w:eastAsia="en-IN"/>
              </w:rPr>
              <w:t>, 201</w:t>
            </w:r>
            <w:r>
              <w:rPr>
                <w:b/>
                <w:bCs/>
                <w:color w:val="000000"/>
                <w:lang w:eastAsia="en-IN"/>
              </w:rPr>
              <w:t>6</w:t>
            </w:r>
          </w:p>
        </w:tc>
      </w:tr>
      <w:tr w:rsidR="00D55642" w:rsidRPr="00C60AD1" w:rsidTr="00104FC9">
        <w:trPr>
          <w:trHeight w:val="300"/>
          <w:tblHeader/>
          <w:jc w:val="right"/>
        </w:trPr>
        <w:tc>
          <w:tcPr>
            <w:tcW w:w="992" w:type="dxa"/>
            <w:tcBorders>
              <w:top w:val="nil"/>
              <w:left w:val="single" w:sz="4" w:space="0" w:color="auto"/>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Sl. No.</w:t>
            </w:r>
          </w:p>
        </w:tc>
        <w:tc>
          <w:tcPr>
            <w:tcW w:w="3261"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Name</w:t>
            </w:r>
          </w:p>
        </w:tc>
        <w:tc>
          <w:tcPr>
            <w:tcW w:w="3815" w:type="dxa"/>
            <w:tcBorders>
              <w:top w:val="nil"/>
              <w:left w:val="nil"/>
              <w:bottom w:val="single" w:sz="4" w:space="0" w:color="auto"/>
              <w:right w:val="single" w:sz="4" w:space="0" w:color="auto"/>
            </w:tcBorders>
            <w:shd w:val="clear" w:color="000000" w:fill="DBE5F1"/>
            <w:hideMark/>
          </w:tcPr>
          <w:p w:rsidR="00D55642" w:rsidRPr="00C60AD1" w:rsidRDefault="00D55642" w:rsidP="00D55642">
            <w:pPr>
              <w:spacing w:before="0" w:line="240" w:lineRule="auto"/>
              <w:jc w:val="center"/>
              <w:rPr>
                <w:b/>
                <w:bCs/>
                <w:color w:val="000000"/>
                <w:lang w:eastAsia="en-IN"/>
              </w:rPr>
            </w:pPr>
            <w:r w:rsidRPr="00C60AD1">
              <w:rPr>
                <w:b/>
                <w:bCs/>
                <w:color w:val="000000"/>
                <w:lang w:val="en-US" w:eastAsia="en-IN"/>
              </w:rPr>
              <w:t>Organisation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Nawab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Jitendra Pal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Kumar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Dr. Amit Bhargava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lang w:eastAsia="en-IN"/>
              </w:rPr>
              <w:t>Director (Tariff),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R.B. Yadav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B.S.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B.L.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Sachin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Subhash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Subrat Kumar Swain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ABPS-Consultant, UPERC</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Satish Chandra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Abhishek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Durvijay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17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Akarsh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Ms. Mansi J. Garg</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Suresh Chawla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Harish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Devendra Kr.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 Mohan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Haji Sulaiman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Gyan Chandra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Mahendra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Bimal Kumar Kheman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Vikram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29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Chandrashekhar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Goyal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S.L. Mukherji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V.K. Mittal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O.P. Rathi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Y.M. Jha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R.S.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Sharad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Girraj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39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Singhal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Shukla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Sandeep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UPPTCL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Joshi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D.C.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N.K. Jain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M.L. Upadhyay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Girish Chand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Smt. Anguri Solanki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Shashi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49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Bhupendra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Sugam Srivastava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Surjeet Pundhir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Dainik Jagran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Vivek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54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B.M.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Nitin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J.P. Verma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U.S. Paul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Yatendra YK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59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Rajesh Sorkoda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Mukesh 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Moin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Mohd. Shami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Sukhram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KESCO</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G.R. Suman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Sharif Ahmad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Shailesh R. Desai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Subir Kr. Das</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69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Rakesh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Torrent Power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Bharti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Saxena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Vinod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CGRF</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Afzal Hameed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G.P. Bhardwaj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 Rihan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AMU</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A.K.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MVVNL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Niraj Khandelwal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79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K.P.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Dulare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Musharraf Husain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Ilias  Ali</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Iqbal Hussain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Mohd.  Aslam</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UPPCL</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Pradeep Ganga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Subodh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Atul Kr. Shrivastav</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IERS</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89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Shariq K</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 K Gupta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lastRenderedPageBreak/>
              <w:t>91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Faizan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Rakesh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S.Zuber Khan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Sukhdev Varshney</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Sanjay Mishra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Deepak Agarwal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42"/>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Shiv Dayal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Dr. Kailash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9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99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Nawab Arzoo</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Naresh Kumar Sharma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30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101</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Govind Sharan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4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102</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Suraj</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News</w:t>
            </w:r>
          </w:p>
        </w:tc>
      </w:tr>
      <w:tr w:rsidR="00D55642" w:rsidRPr="00C60AD1" w:rsidTr="00104FC9">
        <w:trPr>
          <w:trHeight w:val="188"/>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103</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Mahi Pal</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Amar Ujala</w:t>
            </w:r>
          </w:p>
        </w:tc>
      </w:tr>
      <w:tr w:rsidR="00D55642" w:rsidRPr="00C60AD1" w:rsidTr="00104FC9">
        <w:trPr>
          <w:trHeight w:val="197"/>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104</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Dipendra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70"/>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105</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Prem Chandra</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125"/>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106</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Har Narayan</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107</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Pramod</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Zee News</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108</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Manoj Kumar</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109</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 xml:space="preserve">Shri Sugam </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Hindustan</w:t>
            </w:r>
          </w:p>
        </w:tc>
      </w:tr>
      <w:tr w:rsidR="00D55642" w:rsidRPr="00C60AD1" w:rsidTr="00104FC9">
        <w:trPr>
          <w:trHeight w:val="233"/>
          <w:jc w:val="right"/>
        </w:trPr>
        <w:tc>
          <w:tcPr>
            <w:tcW w:w="992" w:type="dxa"/>
            <w:tcBorders>
              <w:top w:val="nil"/>
              <w:left w:val="single" w:sz="4" w:space="0" w:color="auto"/>
              <w:bottom w:val="single" w:sz="4" w:space="0" w:color="auto"/>
              <w:right w:val="single" w:sz="4" w:space="0" w:color="auto"/>
            </w:tcBorders>
            <w:shd w:val="clear" w:color="auto" w:fill="auto"/>
            <w:hideMark/>
          </w:tcPr>
          <w:p w:rsidR="00D55642" w:rsidRDefault="00D55642" w:rsidP="00D55642">
            <w:pPr>
              <w:spacing w:before="0"/>
              <w:jc w:val="center"/>
              <w:rPr>
                <w:color w:val="000000"/>
              </w:rPr>
            </w:pPr>
            <w:r>
              <w:rPr>
                <w:color w:val="000000"/>
                <w:sz w:val="22"/>
                <w:szCs w:val="22"/>
              </w:rPr>
              <w:t>110</w:t>
            </w:r>
          </w:p>
        </w:tc>
        <w:tc>
          <w:tcPr>
            <w:tcW w:w="3261"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Shri Yash Krishna Singh</w:t>
            </w:r>
          </w:p>
        </w:tc>
        <w:tc>
          <w:tcPr>
            <w:tcW w:w="3815" w:type="dxa"/>
            <w:tcBorders>
              <w:top w:val="nil"/>
              <w:left w:val="nil"/>
              <w:bottom w:val="single" w:sz="4" w:space="0" w:color="auto"/>
              <w:right w:val="single" w:sz="4" w:space="0" w:color="auto"/>
            </w:tcBorders>
            <w:shd w:val="clear" w:color="auto" w:fill="auto"/>
            <w:hideMark/>
          </w:tcPr>
          <w:p w:rsidR="00D55642" w:rsidRDefault="00D55642" w:rsidP="00D55642">
            <w:pPr>
              <w:spacing w:before="0"/>
              <w:jc w:val="left"/>
              <w:rPr>
                <w:color w:val="000000"/>
              </w:rPr>
            </w:pPr>
            <w:r>
              <w:rPr>
                <w:color w:val="000000"/>
                <w:sz w:val="22"/>
                <w:szCs w:val="22"/>
              </w:rPr>
              <w:t>Consumer</w:t>
            </w:r>
          </w:p>
        </w:tc>
      </w:tr>
    </w:tbl>
    <w:p w:rsidR="00D55642" w:rsidRDefault="00D55642" w:rsidP="00A51013">
      <w:pPr>
        <w:spacing w:before="0" w:line="240" w:lineRule="auto"/>
        <w:jc w:val="left"/>
        <w:rPr>
          <w:b/>
        </w:rPr>
        <w:sectPr w:rsidR="00D55642" w:rsidSect="00675499">
          <w:pgSz w:w="11909" w:h="16834"/>
          <w:pgMar w:top="1440" w:right="1440" w:bottom="1440" w:left="1800" w:header="720" w:footer="720" w:gutter="0"/>
          <w:pgNumType w:chapSep="colon"/>
          <w:cols w:space="720"/>
          <w:docGrid w:linePitch="326"/>
        </w:sectPr>
      </w:pPr>
    </w:p>
    <w:p w:rsidR="00C34658" w:rsidRPr="00C60AD1" w:rsidRDefault="00C34658" w:rsidP="00BA3941">
      <w:pPr>
        <w:pStyle w:val="Heading2"/>
        <w:numPr>
          <w:ilvl w:val="1"/>
          <w:numId w:val="23"/>
        </w:numPr>
      </w:pPr>
      <w:bookmarkStart w:id="1669" w:name="_Toc455487018"/>
      <w:bookmarkStart w:id="1670" w:name="_Toc455487317"/>
      <w:bookmarkStart w:id="1671" w:name="_Toc455487684"/>
      <w:bookmarkStart w:id="1672" w:name="_Toc455494111"/>
      <w:bookmarkStart w:id="1673" w:name="_Toc455494411"/>
      <w:bookmarkStart w:id="1674" w:name="_Toc455494708"/>
      <w:bookmarkStart w:id="1675" w:name="_Toc455496436"/>
      <w:bookmarkStart w:id="1676" w:name="_Toc455507156"/>
      <w:bookmarkStart w:id="1677" w:name="_Toc455507453"/>
      <w:bookmarkStart w:id="1678" w:name="_Toc455575102"/>
      <w:bookmarkStart w:id="1679" w:name="_Toc455673720"/>
      <w:bookmarkStart w:id="1680" w:name="_Toc453268739"/>
      <w:bookmarkStart w:id="1681" w:name="_Toc453271634"/>
      <w:bookmarkStart w:id="1682" w:name="_Toc453268740"/>
      <w:bookmarkStart w:id="1683" w:name="_Toc453271635"/>
      <w:bookmarkStart w:id="1684" w:name="_Toc453268741"/>
      <w:bookmarkStart w:id="1685" w:name="_Toc453271636"/>
      <w:bookmarkStart w:id="1686" w:name="_Toc453268742"/>
      <w:bookmarkStart w:id="1687" w:name="_Toc453271637"/>
      <w:bookmarkStart w:id="1688" w:name="_Toc453268743"/>
      <w:bookmarkStart w:id="1689" w:name="_Toc453271638"/>
      <w:bookmarkStart w:id="1690" w:name="_Toc453268744"/>
      <w:bookmarkStart w:id="1691" w:name="_Toc453271639"/>
      <w:bookmarkStart w:id="1692" w:name="_Toc453268745"/>
      <w:bookmarkStart w:id="1693" w:name="_Toc453271640"/>
      <w:bookmarkStart w:id="1694" w:name="_Toc453268746"/>
      <w:bookmarkStart w:id="1695" w:name="_Toc453271641"/>
      <w:bookmarkStart w:id="1696" w:name="_Toc453268747"/>
      <w:bookmarkStart w:id="1697" w:name="_Toc453271642"/>
      <w:bookmarkStart w:id="1698" w:name="_Toc453268748"/>
      <w:bookmarkStart w:id="1699" w:name="_Toc453271643"/>
      <w:bookmarkStart w:id="1700" w:name="_Toc453268749"/>
      <w:bookmarkStart w:id="1701" w:name="_Toc453271644"/>
      <w:bookmarkStart w:id="1702" w:name="_Toc453268750"/>
      <w:bookmarkStart w:id="1703" w:name="_Toc453271645"/>
      <w:bookmarkStart w:id="1704" w:name="_Toc453268751"/>
      <w:bookmarkStart w:id="1705" w:name="_Toc453271646"/>
      <w:bookmarkStart w:id="1706" w:name="_Toc453268752"/>
      <w:bookmarkStart w:id="1707" w:name="_Toc453271647"/>
      <w:bookmarkStart w:id="1708" w:name="_Toc453268753"/>
      <w:bookmarkStart w:id="1709" w:name="_Toc453271648"/>
      <w:bookmarkStart w:id="1710" w:name="_Toc453268754"/>
      <w:bookmarkStart w:id="1711" w:name="_Toc453271649"/>
      <w:bookmarkStart w:id="1712" w:name="_Toc453268755"/>
      <w:bookmarkStart w:id="1713" w:name="_Toc453271650"/>
      <w:bookmarkStart w:id="1714" w:name="_Toc453268756"/>
      <w:bookmarkStart w:id="1715" w:name="_Toc453271651"/>
      <w:bookmarkStart w:id="1716" w:name="_Toc453268757"/>
      <w:bookmarkStart w:id="1717" w:name="_Toc453271652"/>
      <w:bookmarkStart w:id="1718" w:name="_Toc453268758"/>
      <w:bookmarkStart w:id="1719" w:name="_Toc453271653"/>
      <w:bookmarkStart w:id="1720" w:name="_Toc453268759"/>
      <w:bookmarkStart w:id="1721" w:name="_Toc453271654"/>
      <w:bookmarkStart w:id="1722" w:name="_Toc453268760"/>
      <w:bookmarkStart w:id="1723" w:name="_Toc453271655"/>
      <w:bookmarkStart w:id="1724" w:name="_Toc453268761"/>
      <w:bookmarkStart w:id="1725" w:name="_Toc453271656"/>
      <w:bookmarkStart w:id="1726" w:name="_Toc453268762"/>
      <w:bookmarkStart w:id="1727" w:name="_Toc453271657"/>
      <w:bookmarkStart w:id="1728" w:name="_Toc453268763"/>
      <w:bookmarkStart w:id="1729" w:name="_Toc453271658"/>
      <w:bookmarkStart w:id="1730" w:name="_Toc453268764"/>
      <w:bookmarkStart w:id="1731" w:name="_Toc453271659"/>
      <w:bookmarkStart w:id="1732" w:name="_Toc453268765"/>
      <w:bookmarkStart w:id="1733" w:name="_Toc453271660"/>
      <w:bookmarkStart w:id="1734" w:name="_Toc453268766"/>
      <w:bookmarkStart w:id="1735" w:name="_Toc453271661"/>
      <w:bookmarkStart w:id="1736" w:name="_Toc453268767"/>
      <w:bookmarkStart w:id="1737" w:name="_Toc453271662"/>
      <w:bookmarkStart w:id="1738" w:name="_Toc453268768"/>
      <w:bookmarkStart w:id="1739" w:name="_Toc453271663"/>
      <w:bookmarkStart w:id="1740" w:name="_Toc453268769"/>
      <w:bookmarkStart w:id="1741" w:name="_Toc453271664"/>
      <w:bookmarkStart w:id="1742" w:name="_Toc453268770"/>
      <w:bookmarkStart w:id="1743" w:name="_Toc453271665"/>
      <w:bookmarkStart w:id="1744" w:name="_Toc453268771"/>
      <w:bookmarkStart w:id="1745" w:name="_Toc453271666"/>
      <w:bookmarkStart w:id="1746" w:name="_Toc453268772"/>
      <w:bookmarkStart w:id="1747" w:name="_Toc453271667"/>
      <w:bookmarkStart w:id="1748" w:name="_Toc453268773"/>
      <w:bookmarkStart w:id="1749" w:name="_Toc453271668"/>
      <w:bookmarkStart w:id="1750" w:name="_Toc453268774"/>
      <w:bookmarkStart w:id="1751" w:name="_Toc453271669"/>
      <w:bookmarkStart w:id="1752" w:name="_Toc453268775"/>
      <w:bookmarkStart w:id="1753" w:name="_Toc453271670"/>
      <w:bookmarkStart w:id="1754" w:name="_Toc453268776"/>
      <w:bookmarkStart w:id="1755" w:name="_Toc453271671"/>
      <w:bookmarkStart w:id="1756" w:name="_Toc453268777"/>
      <w:bookmarkStart w:id="1757" w:name="_Toc453271672"/>
      <w:bookmarkStart w:id="1758" w:name="_Toc453268778"/>
      <w:bookmarkStart w:id="1759" w:name="_Toc453271673"/>
      <w:bookmarkStart w:id="1760" w:name="_Toc453268779"/>
      <w:bookmarkStart w:id="1761" w:name="_Toc453271674"/>
      <w:bookmarkStart w:id="1762" w:name="_Toc453268780"/>
      <w:bookmarkStart w:id="1763" w:name="_Toc453271675"/>
      <w:bookmarkStart w:id="1764" w:name="_Toc453268781"/>
      <w:bookmarkStart w:id="1765" w:name="_Toc453271676"/>
      <w:bookmarkStart w:id="1766" w:name="_Toc453268782"/>
      <w:bookmarkStart w:id="1767" w:name="_Toc453271677"/>
      <w:bookmarkStart w:id="1768" w:name="_Toc453268783"/>
      <w:bookmarkStart w:id="1769" w:name="_Toc453271678"/>
      <w:bookmarkStart w:id="1770" w:name="_Toc453268784"/>
      <w:bookmarkStart w:id="1771" w:name="_Toc453271679"/>
      <w:bookmarkStart w:id="1772" w:name="_Toc453268785"/>
      <w:bookmarkStart w:id="1773" w:name="_Toc453271680"/>
      <w:bookmarkStart w:id="1774" w:name="_Toc453268786"/>
      <w:bookmarkStart w:id="1775" w:name="_Toc453271681"/>
      <w:bookmarkStart w:id="1776" w:name="_Toc453268787"/>
      <w:bookmarkStart w:id="1777" w:name="_Toc453271682"/>
      <w:bookmarkStart w:id="1778" w:name="_Toc453268788"/>
      <w:bookmarkStart w:id="1779" w:name="_Toc453271683"/>
      <w:bookmarkStart w:id="1780" w:name="_Toc453268789"/>
      <w:bookmarkStart w:id="1781" w:name="_Toc453271684"/>
      <w:bookmarkStart w:id="1782" w:name="_Toc453268790"/>
      <w:bookmarkStart w:id="1783" w:name="_Toc453271685"/>
      <w:bookmarkStart w:id="1784" w:name="_Toc453268791"/>
      <w:bookmarkStart w:id="1785" w:name="_Toc453271686"/>
      <w:bookmarkStart w:id="1786" w:name="_Toc453268792"/>
      <w:bookmarkStart w:id="1787" w:name="_Toc453271687"/>
      <w:bookmarkStart w:id="1788" w:name="_Toc453268793"/>
      <w:bookmarkStart w:id="1789" w:name="_Toc453271688"/>
      <w:bookmarkStart w:id="1790" w:name="_Toc453268794"/>
      <w:bookmarkStart w:id="1791" w:name="_Toc453271689"/>
      <w:bookmarkStart w:id="1792" w:name="_Toc453268795"/>
      <w:bookmarkStart w:id="1793" w:name="_Toc453271690"/>
      <w:bookmarkStart w:id="1794" w:name="_Toc453268796"/>
      <w:bookmarkStart w:id="1795" w:name="_Toc453271691"/>
      <w:bookmarkStart w:id="1796" w:name="_Toc453268797"/>
      <w:bookmarkStart w:id="1797" w:name="_Toc453271692"/>
      <w:bookmarkStart w:id="1798" w:name="_Toc453268798"/>
      <w:bookmarkStart w:id="1799" w:name="_Toc453271693"/>
      <w:bookmarkStart w:id="1800" w:name="_Toc453268799"/>
      <w:bookmarkStart w:id="1801" w:name="_Toc453271694"/>
      <w:bookmarkStart w:id="1802" w:name="_Toc453268800"/>
      <w:bookmarkStart w:id="1803" w:name="_Toc453271695"/>
      <w:bookmarkStart w:id="1804" w:name="_Toc453268801"/>
      <w:bookmarkStart w:id="1805" w:name="_Toc453271696"/>
      <w:bookmarkStart w:id="1806" w:name="_Toc453268802"/>
      <w:bookmarkStart w:id="1807" w:name="_Toc453271697"/>
      <w:bookmarkStart w:id="1808" w:name="_Toc453268803"/>
      <w:bookmarkStart w:id="1809" w:name="_Toc453271698"/>
      <w:bookmarkStart w:id="1810" w:name="_Toc453268804"/>
      <w:bookmarkStart w:id="1811" w:name="_Toc453271699"/>
      <w:bookmarkStart w:id="1812" w:name="_Toc453268805"/>
      <w:bookmarkStart w:id="1813" w:name="_Toc453271700"/>
      <w:bookmarkStart w:id="1814" w:name="_Toc453268806"/>
      <w:bookmarkStart w:id="1815" w:name="_Toc453271701"/>
      <w:bookmarkStart w:id="1816" w:name="_Toc453268807"/>
      <w:bookmarkStart w:id="1817" w:name="_Toc453271702"/>
      <w:bookmarkStart w:id="1818" w:name="_Toc453268808"/>
      <w:bookmarkStart w:id="1819" w:name="_Toc453271703"/>
      <w:bookmarkStart w:id="1820" w:name="_Toc453268809"/>
      <w:bookmarkStart w:id="1821" w:name="_Toc453271704"/>
      <w:bookmarkStart w:id="1822" w:name="_Toc453268810"/>
      <w:bookmarkStart w:id="1823" w:name="_Toc453271705"/>
      <w:bookmarkStart w:id="1824" w:name="_Toc453268811"/>
      <w:bookmarkStart w:id="1825" w:name="_Toc453271706"/>
      <w:bookmarkStart w:id="1826" w:name="_Toc453268812"/>
      <w:bookmarkStart w:id="1827" w:name="_Toc453271707"/>
      <w:bookmarkStart w:id="1828" w:name="_Toc453268813"/>
      <w:bookmarkStart w:id="1829" w:name="_Toc453271708"/>
      <w:bookmarkStart w:id="1830" w:name="_Toc453268814"/>
      <w:bookmarkStart w:id="1831" w:name="_Toc453271709"/>
      <w:bookmarkStart w:id="1832" w:name="_Toc453268815"/>
      <w:bookmarkStart w:id="1833" w:name="_Toc453271710"/>
      <w:bookmarkStart w:id="1834" w:name="_Toc453268816"/>
      <w:bookmarkStart w:id="1835" w:name="_Toc453271711"/>
      <w:bookmarkStart w:id="1836" w:name="_Toc453268817"/>
      <w:bookmarkStart w:id="1837" w:name="_Toc453271712"/>
      <w:bookmarkStart w:id="1838" w:name="_Toc453268818"/>
      <w:bookmarkStart w:id="1839" w:name="_Toc453271713"/>
      <w:bookmarkStart w:id="1840" w:name="_Toc453268819"/>
      <w:bookmarkStart w:id="1841" w:name="_Toc453271714"/>
      <w:bookmarkStart w:id="1842" w:name="_Toc453268820"/>
      <w:bookmarkStart w:id="1843" w:name="_Toc453271715"/>
      <w:bookmarkStart w:id="1844" w:name="_Toc453268821"/>
      <w:bookmarkStart w:id="1845" w:name="_Toc453271716"/>
      <w:bookmarkStart w:id="1846" w:name="_Toc453268822"/>
      <w:bookmarkStart w:id="1847" w:name="_Toc453271717"/>
      <w:bookmarkStart w:id="1848" w:name="_Toc453268823"/>
      <w:bookmarkStart w:id="1849" w:name="_Toc453271718"/>
      <w:bookmarkStart w:id="1850" w:name="_Toc453268824"/>
      <w:bookmarkStart w:id="1851" w:name="_Toc453271719"/>
      <w:bookmarkStart w:id="1852" w:name="_Toc453268825"/>
      <w:bookmarkStart w:id="1853" w:name="_Toc453271720"/>
      <w:bookmarkStart w:id="1854" w:name="_Toc453268826"/>
      <w:bookmarkStart w:id="1855" w:name="_Toc453271721"/>
      <w:bookmarkStart w:id="1856" w:name="_Toc453268827"/>
      <w:bookmarkStart w:id="1857" w:name="_Toc453271722"/>
      <w:bookmarkStart w:id="1858" w:name="_Toc453268828"/>
      <w:bookmarkStart w:id="1859" w:name="_Toc453271723"/>
      <w:bookmarkStart w:id="1860" w:name="_Toc453268829"/>
      <w:bookmarkStart w:id="1861" w:name="_Toc453271724"/>
      <w:bookmarkStart w:id="1862" w:name="_Toc453268830"/>
      <w:bookmarkStart w:id="1863" w:name="_Toc453271725"/>
      <w:bookmarkStart w:id="1864" w:name="_Toc453268831"/>
      <w:bookmarkStart w:id="1865" w:name="_Toc453271726"/>
      <w:bookmarkStart w:id="1866" w:name="_Toc453268832"/>
      <w:bookmarkStart w:id="1867" w:name="_Toc453271727"/>
      <w:bookmarkStart w:id="1868" w:name="_Toc453268833"/>
      <w:bookmarkStart w:id="1869" w:name="_Toc453271728"/>
      <w:bookmarkStart w:id="1870" w:name="_Toc453268834"/>
      <w:bookmarkStart w:id="1871" w:name="_Toc453271729"/>
      <w:bookmarkStart w:id="1872" w:name="_Toc453268835"/>
      <w:bookmarkStart w:id="1873" w:name="_Toc453271730"/>
      <w:bookmarkStart w:id="1874" w:name="_Toc453268836"/>
      <w:bookmarkStart w:id="1875" w:name="_Toc453271731"/>
      <w:bookmarkStart w:id="1876" w:name="_Toc453268837"/>
      <w:bookmarkStart w:id="1877" w:name="_Toc453271732"/>
      <w:bookmarkStart w:id="1878" w:name="_Toc453268838"/>
      <w:bookmarkStart w:id="1879" w:name="_Toc453271733"/>
      <w:bookmarkStart w:id="1880" w:name="_Toc453268839"/>
      <w:bookmarkStart w:id="1881" w:name="_Toc453271734"/>
      <w:bookmarkStart w:id="1882" w:name="_Toc453268840"/>
      <w:bookmarkStart w:id="1883" w:name="_Toc453271735"/>
      <w:bookmarkStart w:id="1884" w:name="_Toc453268841"/>
      <w:bookmarkStart w:id="1885" w:name="_Toc453271736"/>
      <w:bookmarkStart w:id="1886" w:name="_Toc453268842"/>
      <w:bookmarkStart w:id="1887" w:name="_Toc453271737"/>
      <w:bookmarkStart w:id="1888" w:name="_Toc453268843"/>
      <w:bookmarkStart w:id="1889" w:name="_Toc453271738"/>
      <w:bookmarkStart w:id="1890" w:name="_Toc453268844"/>
      <w:bookmarkStart w:id="1891" w:name="_Toc453271739"/>
      <w:bookmarkStart w:id="1892" w:name="_Toc453268845"/>
      <w:bookmarkStart w:id="1893" w:name="_Toc453271740"/>
      <w:bookmarkStart w:id="1894" w:name="_Toc453268846"/>
      <w:bookmarkStart w:id="1895" w:name="_Toc453271741"/>
      <w:bookmarkStart w:id="1896" w:name="_Toc453268847"/>
      <w:bookmarkStart w:id="1897" w:name="_Toc453271742"/>
      <w:bookmarkStart w:id="1898" w:name="_Toc453268848"/>
      <w:bookmarkStart w:id="1899" w:name="_Toc453271743"/>
      <w:bookmarkStart w:id="1900" w:name="_Toc453268849"/>
      <w:bookmarkStart w:id="1901" w:name="_Toc453271744"/>
      <w:bookmarkStart w:id="1902" w:name="_Toc453268850"/>
      <w:bookmarkStart w:id="1903" w:name="_Toc453271745"/>
      <w:bookmarkStart w:id="1904" w:name="_Toc453268851"/>
      <w:bookmarkStart w:id="1905" w:name="_Toc453271746"/>
      <w:bookmarkStart w:id="1906" w:name="_Toc453268852"/>
      <w:bookmarkStart w:id="1907" w:name="_Toc453271747"/>
      <w:bookmarkStart w:id="1908" w:name="_Toc453268853"/>
      <w:bookmarkStart w:id="1909" w:name="_Toc453271748"/>
      <w:bookmarkStart w:id="1910" w:name="_Toc453268854"/>
      <w:bookmarkStart w:id="1911" w:name="_Toc453271749"/>
      <w:bookmarkStart w:id="1912" w:name="_Toc453268855"/>
      <w:bookmarkStart w:id="1913" w:name="_Toc453271750"/>
      <w:bookmarkStart w:id="1914" w:name="_Toc453268856"/>
      <w:bookmarkStart w:id="1915" w:name="_Toc453271751"/>
      <w:bookmarkStart w:id="1916" w:name="_Toc453268857"/>
      <w:bookmarkStart w:id="1917" w:name="_Toc453271752"/>
      <w:bookmarkStart w:id="1918" w:name="_Toc453268858"/>
      <w:bookmarkStart w:id="1919" w:name="_Toc453271753"/>
      <w:bookmarkStart w:id="1920" w:name="_Toc453268859"/>
      <w:bookmarkStart w:id="1921" w:name="_Toc453271754"/>
      <w:bookmarkStart w:id="1922" w:name="_Toc453268860"/>
      <w:bookmarkStart w:id="1923" w:name="_Toc453271755"/>
      <w:bookmarkStart w:id="1924" w:name="_Toc453268861"/>
      <w:bookmarkStart w:id="1925" w:name="_Toc453271756"/>
      <w:bookmarkStart w:id="1926" w:name="_Toc453268862"/>
      <w:bookmarkStart w:id="1927" w:name="_Toc453271757"/>
      <w:bookmarkStart w:id="1928" w:name="_Toc453268873"/>
      <w:bookmarkStart w:id="1929" w:name="_Toc453271768"/>
      <w:bookmarkStart w:id="1930" w:name="_Toc453268883"/>
      <w:bookmarkStart w:id="1931" w:name="_Toc453271778"/>
      <w:bookmarkStart w:id="1932" w:name="_Toc453268884"/>
      <w:bookmarkStart w:id="1933" w:name="_Toc453271779"/>
      <w:bookmarkStart w:id="1934" w:name="_Toc453268885"/>
      <w:bookmarkStart w:id="1935" w:name="_Toc453271780"/>
      <w:bookmarkStart w:id="1936" w:name="_Toc453268894"/>
      <w:bookmarkStart w:id="1937" w:name="_Toc453271789"/>
      <w:bookmarkStart w:id="1938" w:name="_Toc453268895"/>
      <w:bookmarkStart w:id="1939" w:name="_Toc453271790"/>
      <w:bookmarkStart w:id="1940" w:name="_Toc453268896"/>
      <w:bookmarkStart w:id="1941" w:name="_Toc453271791"/>
      <w:bookmarkStart w:id="1942" w:name="_Toc453268897"/>
      <w:bookmarkStart w:id="1943" w:name="_Toc453271792"/>
      <w:bookmarkStart w:id="1944" w:name="_Toc453268898"/>
      <w:bookmarkStart w:id="1945" w:name="_Toc453271793"/>
      <w:bookmarkStart w:id="1946" w:name="_Toc453268899"/>
      <w:bookmarkStart w:id="1947" w:name="_Toc453271794"/>
      <w:bookmarkStart w:id="1948" w:name="_Toc453268900"/>
      <w:bookmarkStart w:id="1949" w:name="_Toc453271795"/>
      <w:bookmarkStart w:id="1950" w:name="_Toc453268914"/>
      <w:bookmarkStart w:id="1951" w:name="_Toc453271809"/>
      <w:bookmarkStart w:id="1952" w:name="_Toc453268915"/>
      <w:bookmarkStart w:id="1953" w:name="_Toc453271810"/>
      <w:bookmarkStart w:id="1954" w:name="_Toc453268926"/>
      <w:bookmarkStart w:id="1955" w:name="_Toc453271821"/>
      <w:bookmarkStart w:id="1956" w:name="_Toc453268931"/>
      <w:bookmarkStart w:id="1957" w:name="_Toc453271826"/>
      <w:bookmarkStart w:id="1958" w:name="_Toc453268936"/>
      <w:bookmarkStart w:id="1959" w:name="_Toc453271831"/>
      <w:bookmarkStart w:id="1960" w:name="_Toc453268942"/>
      <w:bookmarkStart w:id="1961" w:name="_Toc453271837"/>
      <w:bookmarkStart w:id="1962" w:name="_Toc453268943"/>
      <w:bookmarkStart w:id="1963" w:name="_Toc453271838"/>
      <w:bookmarkStart w:id="1964" w:name="_Toc453268944"/>
      <w:bookmarkStart w:id="1965" w:name="_Toc453271839"/>
      <w:bookmarkStart w:id="1966" w:name="_Toc453268945"/>
      <w:bookmarkStart w:id="1967" w:name="_Toc453271840"/>
      <w:bookmarkStart w:id="1968" w:name="_Toc453268946"/>
      <w:bookmarkStart w:id="1969" w:name="_Toc453271841"/>
      <w:bookmarkStart w:id="1970" w:name="_Toc453268947"/>
      <w:bookmarkStart w:id="1971" w:name="_Toc453271842"/>
      <w:bookmarkStart w:id="1972" w:name="_Toc453268948"/>
      <w:bookmarkStart w:id="1973" w:name="_Toc453271843"/>
      <w:bookmarkStart w:id="1974" w:name="_Toc453268949"/>
      <w:bookmarkStart w:id="1975" w:name="_Toc453271844"/>
      <w:bookmarkStart w:id="1976" w:name="_Toc453268950"/>
      <w:bookmarkStart w:id="1977" w:name="_Toc453271845"/>
      <w:bookmarkStart w:id="1978" w:name="_Toc453268951"/>
      <w:bookmarkStart w:id="1979" w:name="_Toc453271846"/>
      <w:bookmarkStart w:id="1980" w:name="_Toc453268952"/>
      <w:bookmarkStart w:id="1981" w:name="_Toc453271847"/>
      <w:bookmarkStart w:id="1982" w:name="_Toc453268953"/>
      <w:bookmarkStart w:id="1983" w:name="_Toc453271848"/>
      <w:bookmarkStart w:id="1984" w:name="_Toc453268954"/>
      <w:bookmarkStart w:id="1985" w:name="_Toc453271849"/>
      <w:bookmarkStart w:id="1986" w:name="_Toc453268955"/>
      <w:bookmarkStart w:id="1987" w:name="_Toc453271850"/>
      <w:bookmarkStart w:id="1988" w:name="_Toc453268956"/>
      <w:bookmarkStart w:id="1989" w:name="_Toc453271851"/>
      <w:bookmarkStart w:id="1990" w:name="_Toc453268957"/>
      <w:bookmarkStart w:id="1991" w:name="_Toc453271852"/>
      <w:bookmarkStart w:id="1992" w:name="_Toc453268976"/>
      <w:bookmarkStart w:id="1993" w:name="_Toc453271871"/>
      <w:bookmarkStart w:id="1994" w:name="_Toc453268977"/>
      <w:bookmarkStart w:id="1995" w:name="_Toc453271872"/>
      <w:bookmarkStart w:id="1996" w:name="_Toc453268985"/>
      <w:bookmarkStart w:id="1997" w:name="_Toc453271880"/>
      <w:bookmarkStart w:id="1998" w:name="_Toc453268986"/>
      <w:bookmarkStart w:id="1999" w:name="_Toc453271881"/>
      <w:bookmarkStart w:id="2000" w:name="_Toc453268987"/>
      <w:bookmarkStart w:id="2001" w:name="_Toc453271882"/>
      <w:bookmarkStart w:id="2002" w:name="_Toc453268988"/>
      <w:bookmarkStart w:id="2003" w:name="_Toc453271883"/>
      <w:bookmarkStart w:id="2004" w:name="_Toc453268989"/>
      <w:bookmarkStart w:id="2005" w:name="_Toc453271884"/>
      <w:bookmarkStart w:id="2006" w:name="_Toc453268990"/>
      <w:bookmarkStart w:id="2007" w:name="_Toc453271885"/>
      <w:bookmarkStart w:id="2008" w:name="_Toc453268991"/>
      <w:bookmarkStart w:id="2009" w:name="_Toc453271886"/>
      <w:bookmarkStart w:id="2010" w:name="_Toc453268992"/>
      <w:bookmarkStart w:id="2011" w:name="_Toc453271887"/>
      <w:bookmarkStart w:id="2012" w:name="_Toc453268993"/>
      <w:bookmarkStart w:id="2013" w:name="_Toc453271888"/>
      <w:bookmarkStart w:id="2014" w:name="_Toc453268994"/>
      <w:bookmarkStart w:id="2015" w:name="_Toc453271889"/>
      <w:bookmarkStart w:id="2016" w:name="_Toc453269011"/>
      <w:bookmarkStart w:id="2017" w:name="_Toc453271906"/>
      <w:bookmarkStart w:id="2018" w:name="_Toc453269012"/>
      <w:bookmarkStart w:id="2019" w:name="_Toc453271907"/>
      <w:bookmarkStart w:id="2020" w:name="_Toc453269013"/>
      <w:bookmarkStart w:id="2021" w:name="_Toc453271908"/>
      <w:bookmarkStart w:id="2022" w:name="_Toc453269014"/>
      <w:bookmarkStart w:id="2023" w:name="_Toc453271909"/>
      <w:bookmarkStart w:id="2024" w:name="_Toc453269015"/>
      <w:bookmarkStart w:id="2025" w:name="_Toc453271910"/>
      <w:bookmarkStart w:id="2026" w:name="_Toc453269016"/>
      <w:bookmarkStart w:id="2027" w:name="_Toc453271911"/>
      <w:bookmarkStart w:id="2028" w:name="_Toc453269017"/>
      <w:bookmarkStart w:id="2029" w:name="_Toc453271912"/>
      <w:bookmarkStart w:id="2030" w:name="_Toc453269018"/>
      <w:bookmarkStart w:id="2031" w:name="_Toc453271913"/>
      <w:bookmarkStart w:id="2032" w:name="_Toc453269019"/>
      <w:bookmarkStart w:id="2033" w:name="_Toc453271914"/>
      <w:bookmarkStart w:id="2034" w:name="_Toc453269020"/>
      <w:bookmarkStart w:id="2035" w:name="_Toc453271915"/>
      <w:bookmarkStart w:id="2036" w:name="_Toc453269021"/>
      <w:bookmarkStart w:id="2037" w:name="_Toc453271916"/>
      <w:bookmarkStart w:id="2038" w:name="_Toc453269022"/>
      <w:bookmarkStart w:id="2039" w:name="_Toc453271917"/>
      <w:bookmarkStart w:id="2040" w:name="_Toc453269023"/>
      <w:bookmarkStart w:id="2041" w:name="_Toc453271918"/>
      <w:bookmarkStart w:id="2042" w:name="_Toc453269024"/>
      <w:bookmarkStart w:id="2043" w:name="_Toc453271919"/>
      <w:bookmarkStart w:id="2044" w:name="_Toc453269025"/>
      <w:bookmarkStart w:id="2045" w:name="_Toc453271920"/>
      <w:bookmarkStart w:id="2046" w:name="_Toc453269026"/>
      <w:bookmarkStart w:id="2047" w:name="_Toc453271921"/>
      <w:bookmarkStart w:id="2048" w:name="_Toc453269027"/>
      <w:bookmarkStart w:id="2049" w:name="_Toc453271922"/>
      <w:bookmarkStart w:id="2050" w:name="_Toc453269028"/>
      <w:bookmarkStart w:id="2051" w:name="_Toc453271923"/>
      <w:bookmarkStart w:id="2052" w:name="_Toc453269039"/>
      <w:bookmarkStart w:id="2053" w:name="_Toc453271934"/>
      <w:bookmarkStart w:id="2054" w:name="_Toc453269040"/>
      <w:bookmarkStart w:id="2055" w:name="_Toc453271935"/>
      <w:bookmarkStart w:id="2056" w:name="_Toc453269054"/>
      <w:bookmarkStart w:id="2057" w:name="_Toc453271949"/>
      <w:bookmarkStart w:id="2058" w:name="_Toc453269063"/>
      <w:bookmarkStart w:id="2059" w:name="_Toc453271958"/>
      <w:bookmarkStart w:id="2060" w:name="_Toc453269064"/>
      <w:bookmarkStart w:id="2061" w:name="_Toc453271959"/>
      <w:bookmarkStart w:id="2062" w:name="_Toc453269071"/>
      <w:bookmarkStart w:id="2063" w:name="_Toc453271966"/>
      <w:bookmarkStart w:id="2064" w:name="_Toc453269072"/>
      <w:bookmarkStart w:id="2065" w:name="_Toc453271967"/>
      <w:bookmarkStart w:id="2066" w:name="_Toc453269073"/>
      <w:bookmarkStart w:id="2067" w:name="_Toc453271968"/>
      <w:bookmarkStart w:id="2068" w:name="_Toc453269074"/>
      <w:bookmarkStart w:id="2069" w:name="_Toc453271969"/>
      <w:bookmarkStart w:id="2070" w:name="_Toc453269075"/>
      <w:bookmarkStart w:id="2071" w:name="_Toc453271970"/>
      <w:bookmarkStart w:id="2072" w:name="_Toc453269076"/>
      <w:bookmarkStart w:id="2073" w:name="_Toc453271971"/>
      <w:bookmarkStart w:id="2074" w:name="_Toc453269077"/>
      <w:bookmarkStart w:id="2075" w:name="_Toc453271972"/>
      <w:bookmarkStart w:id="2076" w:name="_Toc453269078"/>
      <w:bookmarkStart w:id="2077" w:name="_Toc453271973"/>
      <w:bookmarkStart w:id="2078" w:name="_Toc453269079"/>
      <w:bookmarkStart w:id="2079" w:name="_Toc453271974"/>
      <w:bookmarkStart w:id="2080" w:name="_Toc453269080"/>
      <w:bookmarkStart w:id="2081" w:name="_Toc453271975"/>
      <w:bookmarkStart w:id="2082" w:name="_Toc453269081"/>
      <w:bookmarkStart w:id="2083" w:name="_Toc453271976"/>
      <w:bookmarkStart w:id="2084" w:name="_Toc453269082"/>
      <w:bookmarkStart w:id="2085" w:name="_Toc453271977"/>
      <w:bookmarkStart w:id="2086" w:name="_Toc453269083"/>
      <w:bookmarkStart w:id="2087" w:name="_Toc453271978"/>
      <w:bookmarkStart w:id="2088" w:name="_Toc453269084"/>
      <w:bookmarkStart w:id="2089" w:name="_Toc453271979"/>
      <w:bookmarkStart w:id="2090" w:name="_Toc453269085"/>
      <w:bookmarkStart w:id="2091" w:name="_Toc453271980"/>
      <w:bookmarkStart w:id="2092" w:name="_Toc453269086"/>
      <w:bookmarkStart w:id="2093" w:name="_Toc453271981"/>
      <w:bookmarkStart w:id="2094" w:name="_Toc453269087"/>
      <w:bookmarkStart w:id="2095" w:name="_Toc453271982"/>
      <w:bookmarkStart w:id="2096" w:name="_Toc453269088"/>
      <w:bookmarkStart w:id="2097" w:name="_Toc453271983"/>
      <w:bookmarkStart w:id="2098" w:name="_Toc453269089"/>
      <w:bookmarkStart w:id="2099" w:name="_Toc453271984"/>
      <w:bookmarkStart w:id="2100" w:name="_Toc453269090"/>
      <w:bookmarkStart w:id="2101" w:name="_Toc453271985"/>
      <w:bookmarkStart w:id="2102" w:name="_Toc453269091"/>
      <w:bookmarkStart w:id="2103" w:name="_Toc453271986"/>
      <w:bookmarkStart w:id="2104" w:name="_Toc453269092"/>
      <w:bookmarkStart w:id="2105" w:name="_Toc453271987"/>
      <w:bookmarkStart w:id="2106" w:name="_Toc453269103"/>
      <w:bookmarkStart w:id="2107" w:name="_Toc453271998"/>
      <w:bookmarkStart w:id="2108" w:name="_Toc453269111"/>
      <w:bookmarkStart w:id="2109" w:name="_Toc453272006"/>
      <w:bookmarkStart w:id="2110" w:name="_Toc453269115"/>
      <w:bookmarkStart w:id="2111" w:name="_Toc453272010"/>
      <w:bookmarkStart w:id="2112" w:name="_Toc453269116"/>
      <w:bookmarkStart w:id="2113" w:name="_Toc453272011"/>
      <w:bookmarkStart w:id="2114" w:name="_Toc453269117"/>
      <w:bookmarkStart w:id="2115" w:name="_Toc453272012"/>
      <w:bookmarkStart w:id="2116" w:name="_Toc453269118"/>
      <w:bookmarkStart w:id="2117" w:name="_Toc453272013"/>
      <w:bookmarkStart w:id="2118" w:name="_Toc453269119"/>
      <w:bookmarkStart w:id="2119" w:name="_Toc453272014"/>
      <w:bookmarkStart w:id="2120" w:name="_Toc453269120"/>
      <w:bookmarkStart w:id="2121" w:name="_Toc453272015"/>
      <w:bookmarkStart w:id="2122" w:name="_Toc453269121"/>
      <w:bookmarkStart w:id="2123" w:name="_Toc453272016"/>
      <w:bookmarkStart w:id="2124" w:name="_Toc453269122"/>
      <w:bookmarkStart w:id="2125" w:name="_Toc453272017"/>
      <w:bookmarkStart w:id="2126" w:name="_Toc453269123"/>
      <w:bookmarkStart w:id="2127" w:name="_Toc453272018"/>
      <w:bookmarkStart w:id="2128" w:name="_Toc453269124"/>
      <w:bookmarkStart w:id="2129" w:name="_Toc453272019"/>
      <w:bookmarkStart w:id="2130" w:name="_Toc453269125"/>
      <w:bookmarkStart w:id="2131" w:name="_Toc453272020"/>
      <w:bookmarkStart w:id="2132" w:name="_Toc453269126"/>
      <w:bookmarkStart w:id="2133" w:name="_Toc453272021"/>
      <w:bookmarkStart w:id="2134" w:name="_Toc453269127"/>
      <w:bookmarkStart w:id="2135" w:name="_Toc453272022"/>
      <w:bookmarkStart w:id="2136" w:name="_Toc453269128"/>
      <w:bookmarkStart w:id="2137" w:name="_Toc453272023"/>
      <w:bookmarkStart w:id="2138" w:name="_Toc453269129"/>
      <w:bookmarkStart w:id="2139" w:name="_Toc453272024"/>
      <w:bookmarkStart w:id="2140" w:name="_Toc453269130"/>
      <w:bookmarkStart w:id="2141" w:name="_Toc453272025"/>
      <w:bookmarkStart w:id="2142" w:name="_Toc453269139"/>
      <w:bookmarkStart w:id="2143" w:name="_Toc453272034"/>
      <w:bookmarkStart w:id="2144" w:name="_Toc453269140"/>
      <w:bookmarkStart w:id="2145" w:name="_Toc453272035"/>
      <w:bookmarkStart w:id="2146" w:name="_Toc453269141"/>
      <w:bookmarkStart w:id="2147" w:name="_Toc453272036"/>
      <w:bookmarkStart w:id="2148" w:name="_Toc453269142"/>
      <w:bookmarkStart w:id="2149" w:name="_Toc453272037"/>
      <w:bookmarkStart w:id="2150" w:name="_Toc453269151"/>
      <w:bookmarkStart w:id="2151" w:name="_Toc453272046"/>
      <w:bookmarkStart w:id="2152" w:name="_Toc453269152"/>
      <w:bookmarkStart w:id="2153" w:name="_Toc453272047"/>
      <w:bookmarkStart w:id="2154" w:name="_Toc453269153"/>
      <w:bookmarkStart w:id="2155" w:name="_Toc453272048"/>
      <w:bookmarkStart w:id="2156" w:name="_Toc453269154"/>
      <w:bookmarkStart w:id="2157" w:name="_Toc453272049"/>
      <w:bookmarkStart w:id="2158" w:name="_Toc453269163"/>
      <w:bookmarkStart w:id="2159" w:name="_Toc453272058"/>
      <w:bookmarkStart w:id="2160" w:name="_Toc453269164"/>
      <w:bookmarkStart w:id="2161" w:name="_Toc453272059"/>
      <w:bookmarkStart w:id="2162" w:name="_Toc453269165"/>
      <w:bookmarkStart w:id="2163" w:name="_Toc453272060"/>
      <w:bookmarkStart w:id="2164" w:name="_Toc453269166"/>
      <w:bookmarkStart w:id="2165" w:name="_Toc453272061"/>
      <w:bookmarkStart w:id="2166" w:name="_Toc453269167"/>
      <w:bookmarkStart w:id="2167" w:name="_Toc453272062"/>
      <w:bookmarkStart w:id="2168" w:name="_Toc453269168"/>
      <w:bookmarkStart w:id="2169" w:name="_Toc453272063"/>
      <w:bookmarkStart w:id="2170" w:name="_Toc453269169"/>
      <w:bookmarkStart w:id="2171" w:name="_Toc453272064"/>
      <w:bookmarkStart w:id="2172" w:name="_Toc453269170"/>
      <w:bookmarkStart w:id="2173" w:name="_Toc453272065"/>
      <w:bookmarkStart w:id="2174" w:name="_Toc453269171"/>
      <w:bookmarkStart w:id="2175" w:name="_Toc453272066"/>
      <w:bookmarkStart w:id="2176" w:name="_Toc453269172"/>
      <w:bookmarkStart w:id="2177" w:name="_Toc453272067"/>
      <w:bookmarkStart w:id="2178" w:name="_Toc453269173"/>
      <w:bookmarkStart w:id="2179" w:name="_Toc453272068"/>
      <w:bookmarkStart w:id="2180" w:name="_Toc453269174"/>
      <w:bookmarkStart w:id="2181" w:name="_Toc453272069"/>
      <w:bookmarkStart w:id="2182" w:name="_Toc453269187"/>
      <w:bookmarkStart w:id="2183" w:name="_Toc453272082"/>
      <w:bookmarkStart w:id="2184" w:name="_Toc453269188"/>
      <w:bookmarkStart w:id="2185" w:name="_Toc453272083"/>
      <w:bookmarkStart w:id="2186" w:name="_Toc453269198"/>
      <w:bookmarkStart w:id="2187" w:name="_Toc453272093"/>
      <w:bookmarkStart w:id="2188" w:name="_Toc453269199"/>
      <w:bookmarkStart w:id="2189" w:name="_Toc453272094"/>
      <w:bookmarkStart w:id="2190" w:name="_Toc453269200"/>
      <w:bookmarkStart w:id="2191" w:name="_Toc453272095"/>
      <w:bookmarkStart w:id="2192" w:name="_Toc453269201"/>
      <w:bookmarkStart w:id="2193" w:name="_Toc453272096"/>
      <w:bookmarkStart w:id="2194" w:name="_Toc453269211"/>
      <w:bookmarkStart w:id="2195" w:name="_Toc453272106"/>
      <w:bookmarkStart w:id="2196" w:name="_Toc453269212"/>
      <w:bookmarkStart w:id="2197" w:name="_Toc453272107"/>
      <w:bookmarkStart w:id="2198" w:name="_Toc453269213"/>
      <w:bookmarkStart w:id="2199" w:name="_Toc453272108"/>
      <w:bookmarkStart w:id="2200" w:name="_Toc453269214"/>
      <w:bookmarkStart w:id="2201" w:name="_Toc453272109"/>
      <w:bookmarkStart w:id="2202" w:name="_Toc453269215"/>
      <w:bookmarkStart w:id="2203" w:name="_Toc453272110"/>
      <w:bookmarkStart w:id="2204" w:name="_Toc453269216"/>
      <w:bookmarkStart w:id="2205" w:name="_Toc453272111"/>
      <w:bookmarkStart w:id="2206" w:name="_Toc453269217"/>
      <w:bookmarkStart w:id="2207" w:name="_Toc453272112"/>
      <w:bookmarkStart w:id="2208" w:name="_Toc453269218"/>
      <w:bookmarkStart w:id="2209" w:name="_Toc453272113"/>
      <w:bookmarkStart w:id="2210" w:name="_Toc453269219"/>
      <w:bookmarkStart w:id="2211" w:name="_Toc453272114"/>
      <w:bookmarkStart w:id="2212" w:name="_Toc453269220"/>
      <w:bookmarkStart w:id="2213" w:name="_Toc453272115"/>
      <w:bookmarkStart w:id="2214" w:name="_Toc453269221"/>
      <w:bookmarkStart w:id="2215" w:name="_Toc453272116"/>
      <w:bookmarkStart w:id="2216" w:name="_Toc453269222"/>
      <w:bookmarkStart w:id="2217" w:name="_Toc453272117"/>
      <w:bookmarkStart w:id="2218" w:name="_Toc453269223"/>
      <w:bookmarkStart w:id="2219" w:name="_Toc453272118"/>
      <w:bookmarkStart w:id="2220" w:name="_Toc453269224"/>
      <w:bookmarkStart w:id="2221" w:name="_Toc453272119"/>
      <w:bookmarkStart w:id="2222" w:name="_Toc453269225"/>
      <w:bookmarkStart w:id="2223" w:name="_Toc453272120"/>
      <w:bookmarkStart w:id="2224" w:name="_Toc453269226"/>
      <w:bookmarkStart w:id="2225" w:name="_Toc453272121"/>
      <w:bookmarkStart w:id="2226" w:name="_Toc453269227"/>
      <w:bookmarkStart w:id="2227" w:name="_Toc453272122"/>
      <w:bookmarkStart w:id="2228" w:name="_Toc453269228"/>
      <w:bookmarkStart w:id="2229" w:name="_Toc453272123"/>
      <w:bookmarkStart w:id="2230" w:name="_Toc453269229"/>
      <w:bookmarkStart w:id="2231" w:name="_Toc453272124"/>
      <w:bookmarkStart w:id="2232" w:name="_Toc453269230"/>
      <w:bookmarkStart w:id="2233" w:name="_Toc453272125"/>
      <w:bookmarkStart w:id="2234" w:name="_Toc453269231"/>
      <w:bookmarkStart w:id="2235" w:name="_Toc453272126"/>
      <w:bookmarkStart w:id="2236" w:name="_Toc453269232"/>
      <w:bookmarkStart w:id="2237" w:name="_Toc453272127"/>
      <w:bookmarkStart w:id="2238" w:name="_Toc453269233"/>
      <w:bookmarkStart w:id="2239" w:name="_Toc453272128"/>
      <w:bookmarkStart w:id="2240" w:name="_Toc453269234"/>
      <w:bookmarkStart w:id="2241" w:name="_Toc453272129"/>
      <w:bookmarkStart w:id="2242" w:name="_Toc453269235"/>
      <w:bookmarkStart w:id="2243" w:name="_Toc453272130"/>
      <w:bookmarkStart w:id="2244" w:name="_Toc453269236"/>
      <w:bookmarkStart w:id="2245" w:name="_Toc453272131"/>
      <w:bookmarkStart w:id="2246" w:name="_Toc453269237"/>
      <w:bookmarkStart w:id="2247" w:name="_Toc453272132"/>
      <w:bookmarkStart w:id="2248" w:name="_Toc453269238"/>
      <w:bookmarkStart w:id="2249" w:name="_Toc453272133"/>
      <w:bookmarkStart w:id="2250" w:name="_Toc453269239"/>
      <w:bookmarkStart w:id="2251" w:name="_Toc453272134"/>
      <w:bookmarkStart w:id="2252" w:name="_Toc453269240"/>
      <w:bookmarkStart w:id="2253" w:name="_Toc453272135"/>
      <w:bookmarkStart w:id="2254" w:name="_Toc453269241"/>
      <w:bookmarkStart w:id="2255" w:name="_Toc453272136"/>
      <w:bookmarkStart w:id="2256" w:name="_Toc453269248"/>
      <w:bookmarkStart w:id="2257" w:name="_Toc453272143"/>
      <w:bookmarkStart w:id="2258" w:name="_Toc453269249"/>
      <w:bookmarkStart w:id="2259" w:name="_Toc453272144"/>
      <w:bookmarkStart w:id="2260" w:name="_Toc453269250"/>
      <w:bookmarkStart w:id="2261" w:name="_Toc453272145"/>
      <w:bookmarkStart w:id="2262" w:name="_Toc453269251"/>
      <w:bookmarkStart w:id="2263" w:name="_Toc453272146"/>
      <w:bookmarkStart w:id="2264" w:name="_Toc453269252"/>
      <w:bookmarkStart w:id="2265" w:name="_Toc453272147"/>
      <w:bookmarkStart w:id="2266" w:name="_Toc453269253"/>
      <w:bookmarkStart w:id="2267" w:name="_Toc453272148"/>
      <w:bookmarkStart w:id="2268" w:name="_Toc453269254"/>
      <w:bookmarkStart w:id="2269" w:name="_Toc453272149"/>
      <w:bookmarkStart w:id="2270" w:name="_Toc453269255"/>
      <w:bookmarkStart w:id="2271" w:name="_Toc453272150"/>
      <w:bookmarkStart w:id="2272" w:name="_Toc453269256"/>
      <w:bookmarkStart w:id="2273" w:name="_Toc453272151"/>
      <w:bookmarkStart w:id="2274" w:name="_Toc453269257"/>
      <w:bookmarkStart w:id="2275" w:name="_Toc453272152"/>
      <w:bookmarkStart w:id="2276" w:name="_Toc453269258"/>
      <w:bookmarkStart w:id="2277" w:name="_Toc453272153"/>
      <w:bookmarkStart w:id="2278" w:name="_Toc453269259"/>
      <w:bookmarkStart w:id="2279" w:name="_Toc453272154"/>
      <w:bookmarkStart w:id="2280" w:name="_Toc453269260"/>
      <w:bookmarkStart w:id="2281" w:name="_Toc453272155"/>
      <w:bookmarkStart w:id="2282" w:name="_Toc453269261"/>
      <w:bookmarkStart w:id="2283" w:name="_Toc453272156"/>
      <w:bookmarkStart w:id="2284" w:name="_Toc453269262"/>
      <w:bookmarkStart w:id="2285" w:name="_Toc453272157"/>
      <w:bookmarkStart w:id="2286" w:name="_Toc453269263"/>
      <w:bookmarkStart w:id="2287" w:name="_Toc453272158"/>
      <w:bookmarkStart w:id="2288" w:name="_Toc453269276"/>
      <w:bookmarkStart w:id="2289" w:name="_Toc453272171"/>
      <w:bookmarkStart w:id="2290" w:name="_Toc453269277"/>
      <w:bookmarkStart w:id="2291" w:name="_Toc453272172"/>
      <w:bookmarkStart w:id="2292" w:name="_Toc453269278"/>
      <w:bookmarkStart w:id="2293" w:name="_Toc453272173"/>
      <w:bookmarkStart w:id="2294" w:name="_Toc453269279"/>
      <w:bookmarkStart w:id="2295" w:name="_Toc453272174"/>
      <w:bookmarkStart w:id="2296" w:name="_Toc453269280"/>
      <w:bookmarkStart w:id="2297" w:name="_Toc453272175"/>
      <w:bookmarkStart w:id="2298" w:name="_Toc453269281"/>
      <w:bookmarkStart w:id="2299" w:name="_Toc453272176"/>
      <w:bookmarkStart w:id="2300" w:name="_Toc453269282"/>
      <w:bookmarkStart w:id="2301" w:name="_Toc453272177"/>
      <w:bookmarkStart w:id="2302" w:name="_Toc453269283"/>
      <w:bookmarkStart w:id="2303" w:name="_Toc453272178"/>
      <w:bookmarkStart w:id="2304" w:name="_Toc453269284"/>
      <w:bookmarkStart w:id="2305" w:name="_Toc453272179"/>
      <w:bookmarkStart w:id="2306" w:name="_Toc453269285"/>
      <w:bookmarkStart w:id="2307" w:name="_Toc453272180"/>
      <w:bookmarkStart w:id="2308" w:name="_Toc453269286"/>
      <w:bookmarkStart w:id="2309" w:name="_Toc453272181"/>
      <w:bookmarkStart w:id="2310" w:name="_Toc453269287"/>
      <w:bookmarkStart w:id="2311" w:name="_Toc453272182"/>
      <w:bookmarkStart w:id="2312" w:name="_Toc453269288"/>
      <w:bookmarkStart w:id="2313" w:name="_Toc453272183"/>
      <w:bookmarkStart w:id="2314" w:name="_Toc453269289"/>
      <w:bookmarkStart w:id="2315" w:name="_Toc453272184"/>
      <w:bookmarkStart w:id="2316" w:name="_Toc453269290"/>
      <w:bookmarkStart w:id="2317" w:name="_Toc453272185"/>
      <w:bookmarkStart w:id="2318" w:name="_Toc453269291"/>
      <w:bookmarkStart w:id="2319" w:name="_Toc453272186"/>
      <w:bookmarkStart w:id="2320" w:name="_Toc453269292"/>
      <w:bookmarkStart w:id="2321" w:name="_Toc453272187"/>
      <w:bookmarkStart w:id="2322" w:name="_Toc453269293"/>
      <w:bookmarkStart w:id="2323" w:name="_Toc453272188"/>
      <w:bookmarkStart w:id="2324" w:name="_Toc453269294"/>
      <w:bookmarkStart w:id="2325" w:name="_Toc453272189"/>
      <w:bookmarkStart w:id="2326" w:name="_Toc453269295"/>
      <w:bookmarkStart w:id="2327" w:name="_Toc453272190"/>
      <w:bookmarkStart w:id="2328" w:name="_Toc453269296"/>
      <w:bookmarkStart w:id="2329" w:name="_Toc453272191"/>
      <w:bookmarkStart w:id="2330" w:name="_Toc453269297"/>
      <w:bookmarkStart w:id="2331" w:name="_Toc453272192"/>
      <w:bookmarkStart w:id="2332" w:name="_Toc453269304"/>
      <w:bookmarkStart w:id="2333" w:name="_Toc453272199"/>
      <w:bookmarkStart w:id="2334" w:name="_Toc453269305"/>
      <w:bookmarkStart w:id="2335" w:name="_Toc453272200"/>
      <w:bookmarkStart w:id="2336" w:name="_Toc453269306"/>
      <w:bookmarkStart w:id="2337" w:name="_Toc453272201"/>
      <w:bookmarkStart w:id="2338" w:name="_Toc453269307"/>
      <w:bookmarkStart w:id="2339" w:name="_Toc453272202"/>
      <w:bookmarkStart w:id="2340" w:name="_Toc453269314"/>
      <w:bookmarkStart w:id="2341" w:name="_Toc453272209"/>
      <w:bookmarkStart w:id="2342" w:name="_Toc453269320"/>
      <w:bookmarkStart w:id="2343" w:name="_Toc453272215"/>
      <w:bookmarkStart w:id="2344" w:name="_Toc453269323"/>
      <w:bookmarkStart w:id="2345" w:name="_Toc453272218"/>
      <w:bookmarkStart w:id="2346" w:name="_Toc453269324"/>
      <w:bookmarkStart w:id="2347" w:name="_Toc453272219"/>
      <w:bookmarkStart w:id="2348" w:name="_Toc453269325"/>
      <w:bookmarkStart w:id="2349" w:name="_Toc453272220"/>
      <w:bookmarkStart w:id="2350" w:name="_Toc453269326"/>
      <w:bookmarkStart w:id="2351" w:name="_Toc453272221"/>
      <w:bookmarkStart w:id="2352" w:name="_Toc453269327"/>
      <w:bookmarkStart w:id="2353" w:name="_Toc453272222"/>
      <w:bookmarkStart w:id="2354" w:name="_Toc453269328"/>
      <w:bookmarkStart w:id="2355" w:name="_Toc453272223"/>
      <w:bookmarkStart w:id="2356" w:name="_Toc453269329"/>
      <w:bookmarkStart w:id="2357" w:name="_Toc453272224"/>
      <w:bookmarkStart w:id="2358" w:name="_Toc453269330"/>
      <w:bookmarkStart w:id="2359" w:name="_Toc453272225"/>
      <w:bookmarkStart w:id="2360" w:name="_Toc453269331"/>
      <w:bookmarkStart w:id="2361" w:name="_Toc453272226"/>
      <w:bookmarkStart w:id="2362" w:name="_Toc453269332"/>
      <w:bookmarkStart w:id="2363" w:name="_Toc453272227"/>
      <w:bookmarkStart w:id="2364" w:name="_Toc453269333"/>
      <w:bookmarkStart w:id="2365" w:name="_Toc453272228"/>
      <w:bookmarkStart w:id="2366" w:name="_Toc453269334"/>
      <w:bookmarkStart w:id="2367" w:name="_Toc453272229"/>
      <w:bookmarkStart w:id="2368" w:name="_Toc453269335"/>
      <w:bookmarkStart w:id="2369" w:name="_Toc453272230"/>
      <w:bookmarkStart w:id="2370" w:name="_Toc453269371"/>
      <w:bookmarkStart w:id="2371" w:name="_Toc453272266"/>
      <w:bookmarkStart w:id="2372" w:name="_Toc453269372"/>
      <w:bookmarkStart w:id="2373" w:name="_Toc453272267"/>
      <w:bookmarkStart w:id="2374" w:name="_Toc453269373"/>
      <w:bookmarkStart w:id="2375" w:name="_Toc453272268"/>
      <w:bookmarkStart w:id="2376" w:name="_Toc453269374"/>
      <w:bookmarkStart w:id="2377" w:name="_Toc453272269"/>
      <w:bookmarkStart w:id="2378" w:name="_Toc453269375"/>
      <w:bookmarkStart w:id="2379" w:name="_Toc453272270"/>
      <w:bookmarkStart w:id="2380" w:name="_Toc453269376"/>
      <w:bookmarkStart w:id="2381" w:name="_Toc453272271"/>
      <w:bookmarkStart w:id="2382" w:name="_Toc453269377"/>
      <w:bookmarkStart w:id="2383" w:name="_Toc453272272"/>
      <w:bookmarkStart w:id="2384" w:name="_Toc453269378"/>
      <w:bookmarkStart w:id="2385" w:name="_Toc453272273"/>
      <w:bookmarkStart w:id="2386" w:name="_Toc453269379"/>
      <w:bookmarkStart w:id="2387" w:name="_Toc453272274"/>
      <w:bookmarkStart w:id="2388" w:name="_Toc453269380"/>
      <w:bookmarkStart w:id="2389" w:name="_Toc453272275"/>
      <w:bookmarkStart w:id="2390" w:name="_Toc453269381"/>
      <w:bookmarkStart w:id="2391" w:name="_Toc453272276"/>
      <w:bookmarkStart w:id="2392" w:name="_Toc453269382"/>
      <w:bookmarkStart w:id="2393" w:name="_Toc453272277"/>
      <w:bookmarkStart w:id="2394" w:name="_Toc453269383"/>
      <w:bookmarkStart w:id="2395" w:name="_Toc453272278"/>
      <w:bookmarkStart w:id="2396" w:name="_Toc453269384"/>
      <w:bookmarkStart w:id="2397" w:name="_Toc453272279"/>
      <w:bookmarkStart w:id="2398" w:name="_Toc453269385"/>
      <w:bookmarkStart w:id="2399" w:name="_Toc453272280"/>
      <w:bookmarkStart w:id="2400" w:name="_Toc453269386"/>
      <w:bookmarkStart w:id="2401" w:name="_Toc453272281"/>
      <w:bookmarkStart w:id="2402" w:name="_Toc453269387"/>
      <w:bookmarkStart w:id="2403" w:name="_Toc453272282"/>
      <w:bookmarkStart w:id="2404" w:name="_Toc453269388"/>
      <w:bookmarkStart w:id="2405" w:name="_Toc453272283"/>
      <w:bookmarkStart w:id="2406" w:name="_Toc453269389"/>
      <w:bookmarkStart w:id="2407" w:name="_Toc453272284"/>
      <w:bookmarkStart w:id="2408" w:name="_Toc453269390"/>
      <w:bookmarkStart w:id="2409" w:name="_Toc453272285"/>
      <w:bookmarkStart w:id="2410" w:name="_Toc453269391"/>
      <w:bookmarkStart w:id="2411" w:name="_Toc453272286"/>
      <w:bookmarkStart w:id="2412" w:name="_Toc453269392"/>
      <w:bookmarkStart w:id="2413" w:name="_Toc453272287"/>
      <w:bookmarkStart w:id="2414" w:name="_Toc453269393"/>
      <w:bookmarkStart w:id="2415" w:name="_Toc453272288"/>
      <w:bookmarkStart w:id="2416" w:name="_Toc453269394"/>
      <w:bookmarkStart w:id="2417" w:name="_Toc453272289"/>
      <w:bookmarkStart w:id="2418" w:name="_Toc453269395"/>
      <w:bookmarkStart w:id="2419" w:name="_Toc453272290"/>
      <w:bookmarkStart w:id="2420" w:name="_Toc453269396"/>
      <w:bookmarkStart w:id="2421" w:name="_Toc453272291"/>
      <w:bookmarkStart w:id="2422" w:name="_Toc453269397"/>
      <w:bookmarkStart w:id="2423" w:name="_Toc453272292"/>
      <w:bookmarkStart w:id="2424" w:name="_Toc453269398"/>
      <w:bookmarkStart w:id="2425" w:name="_Toc453272293"/>
      <w:bookmarkStart w:id="2426" w:name="_Toc453269399"/>
      <w:bookmarkStart w:id="2427" w:name="_Toc453272294"/>
      <w:bookmarkStart w:id="2428" w:name="_Toc453269400"/>
      <w:bookmarkStart w:id="2429" w:name="_Toc453272295"/>
      <w:bookmarkStart w:id="2430" w:name="_Toc453269401"/>
      <w:bookmarkStart w:id="2431" w:name="_Toc453272296"/>
      <w:bookmarkStart w:id="2432" w:name="_Toc453269402"/>
      <w:bookmarkStart w:id="2433" w:name="_Toc453272297"/>
      <w:bookmarkStart w:id="2434" w:name="_Toc453269403"/>
      <w:bookmarkStart w:id="2435" w:name="_Toc453272298"/>
      <w:bookmarkStart w:id="2436" w:name="_Toc453269404"/>
      <w:bookmarkStart w:id="2437" w:name="_Toc453272299"/>
      <w:bookmarkStart w:id="2438" w:name="_Toc453269405"/>
      <w:bookmarkStart w:id="2439" w:name="_Toc453272300"/>
      <w:bookmarkStart w:id="2440" w:name="_Toc453269406"/>
      <w:bookmarkStart w:id="2441" w:name="_Toc453272301"/>
      <w:bookmarkStart w:id="2442" w:name="_Toc453269407"/>
      <w:bookmarkStart w:id="2443" w:name="_Toc453272302"/>
      <w:bookmarkStart w:id="2444" w:name="_Toc453269408"/>
      <w:bookmarkStart w:id="2445" w:name="_Toc453272303"/>
      <w:bookmarkStart w:id="2446" w:name="_Toc453269409"/>
      <w:bookmarkStart w:id="2447" w:name="_Toc453272304"/>
      <w:bookmarkStart w:id="2448" w:name="_Toc453269410"/>
      <w:bookmarkStart w:id="2449" w:name="_Toc453272305"/>
      <w:bookmarkStart w:id="2450" w:name="_Toc453269411"/>
      <w:bookmarkStart w:id="2451" w:name="_Toc453272306"/>
      <w:bookmarkStart w:id="2452" w:name="_Toc453269412"/>
      <w:bookmarkStart w:id="2453" w:name="_Toc453272307"/>
      <w:bookmarkStart w:id="2454" w:name="_Toc453269424"/>
      <w:bookmarkStart w:id="2455" w:name="_Toc453272319"/>
      <w:bookmarkStart w:id="2456" w:name="_Toc453269425"/>
      <w:bookmarkStart w:id="2457" w:name="_Toc453272320"/>
      <w:bookmarkStart w:id="2458" w:name="_Toc453269426"/>
      <w:bookmarkStart w:id="2459" w:name="_Toc453272321"/>
      <w:bookmarkStart w:id="2460" w:name="_Toc453269427"/>
      <w:bookmarkStart w:id="2461" w:name="_Toc453272322"/>
      <w:bookmarkStart w:id="2462" w:name="_Toc453269428"/>
      <w:bookmarkStart w:id="2463" w:name="_Toc453272323"/>
      <w:bookmarkStart w:id="2464" w:name="_Toc453269429"/>
      <w:bookmarkStart w:id="2465" w:name="_Toc453272324"/>
      <w:bookmarkStart w:id="2466" w:name="_Toc453269430"/>
      <w:bookmarkStart w:id="2467" w:name="_Toc453272325"/>
      <w:bookmarkStart w:id="2468" w:name="_Toc453269442"/>
      <w:bookmarkStart w:id="2469" w:name="_Toc453272337"/>
      <w:bookmarkStart w:id="2470" w:name="_Toc453269443"/>
      <w:bookmarkStart w:id="2471" w:name="_Toc453272338"/>
      <w:bookmarkStart w:id="2472" w:name="_Toc453269444"/>
      <w:bookmarkStart w:id="2473" w:name="_Toc453272339"/>
      <w:bookmarkStart w:id="2474" w:name="_Toc453269445"/>
      <w:bookmarkStart w:id="2475" w:name="_Toc453272340"/>
      <w:bookmarkStart w:id="2476" w:name="_Toc453269446"/>
      <w:bookmarkStart w:id="2477" w:name="_Toc453272341"/>
      <w:bookmarkStart w:id="2478" w:name="_Toc453269447"/>
      <w:bookmarkStart w:id="2479" w:name="_Toc453272342"/>
      <w:bookmarkStart w:id="2480" w:name="_Toc453269448"/>
      <w:bookmarkStart w:id="2481" w:name="_Toc453272343"/>
      <w:bookmarkStart w:id="2482" w:name="_Toc453269449"/>
      <w:bookmarkStart w:id="2483" w:name="_Toc453272344"/>
      <w:bookmarkStart w:id="2484" w:name="_Toc453269450"/>
      <w:bookmarkStart w:id="2485" w:name="_Toc453272345"/>
      <w:bookmarkStart w:id="2486" w:name="_Toc453269451"/>
      <w:bookmarkStart w:id="2487" w:name="_Toc453272346"/>
      <w:bookmarkStart w:id="2488" w:name="_Toc453269452"/>
      <w:bookmarkStart w:id="2489" w:name="_Toc453272347"/>
      <w:bookmarkStart w:id="2490" w:name="_Toc453269453"/>
      <w:bookmarkStart w:id="2491" w:name="_Toc453272348"/>
      <w:bookmarkStart w:id="2492" w:name="_Toc453269454"/>
      <w:bookmarkStart w:id="2493" w:name="_Toc453272349"/>
      <w:bookmarkStart w:id="2494" w:name="_Toc453269455"/>
      <w:bookmarkStart w:id="2495" w:name="_Toc453272350"/>
      <w:bookmarkStart w:id="2496" w:name="_Toc453269456"/>
      <w:bookmarkStart w:id="2497" w:name="_Toc453272351"/>
      <w:bookmarkStart w:id="2498" w:name="_Toc453269457"/>
      <w:bookmarkStart w:id="2499" w:name="_Toc453272352"/>
      <w:bookmarkStart w:id="2500" w:name="_Toc453269458"/>
      <w:bookmarkStart w:id="2501" w:name="_Toc453272353"/>
      <w:bookmarkStart w:id="2502" w:name="_Toc453269459"/>
      <w:bookmarkStart w:id="2503" w:name="_Toc453272354"/>
      <w:bookmarkStart w:id="2504" w:name="_Toc453269460"/>
      <w:bookmarkStart w:id="2505" w:name="_Toc453272355"/>
      <w:bookmarkStart w:id="2506" w:name="_Toc453269501"/>
      <w:bookmarkStart w:id="2507" w:name="_Toc453272396"/>
      <w:bookmarkStart w:id="2508" w:name="_Toc453269502"/>
      <w:bookmarkStart w:id="2509" w:name="_Toc453272397"/>
      <w:bookmarkStart w:id="2510" w:name="_Toc453269503"/>
      <w:bookmarkStart w:id="2511" w:name="_Toc453272398"/>
      <w:bookmarkStart w:id="2512" w:name="_Toc453269504"/>
      <w:bookmarkStart w:id="2513" w:name="_Toc453272399"/>
      <w:bookmarkStart w:id="2514" w:name="_Toc453269505"/>
      <w:bookmarkStart w:id="2515" w:name="_Toc453272400"/>
      <w:bookmarkStart w:id="2516" w:name="_Toc453269515"/>
      <w:bookmarkStart w:id="2517" w:name="_Toc453272410"/>
      <w:bookmarkStart w:id="2518" w:name="_Toc453269516"/>
      <w:bookmarkStart w:id="2519" w:name="_Toc453272411"/>
      <w:bookmarkStart w:id="2520" w:name="_Toc453269517"/>
      <w:bookmarkStart w:id="2521" w:name="_Toc453272412"/>
      <w:bookmarkStart w:id="2522" w:name="_Toc453269518"/>
      <w:bookmarkStart w:id="2523" w:name="_Toc453272413"/>
      <w:bookmarkStart w:id="2524" w:name="_Toc453269519"/>
      <w:bookmarkStart w:id="2525" w:name="_Toc453272414"/>
      <w:bookmarkStart w:id="2526" w:name="_Toc453269520"/>
      <w:bookmarkStart w:id="2527" w:name="_Toc453272415"/>
      <w:bookmarkStart w:id="2528" w:name="_Toc453269521"/>
      <w:bookmarkStart w:id="2529" w:name="_Toc453272416"/>
      <w:bookmarkStart w:id="2530" w:name="_Toc453269522"/>
      <w:bookmarkStart w:id="2531" w:name="_Toc453272417"/>
      <w:bookmarkStart w:id="2532" w:name="_Toc453269523"/>
      <w:bookmarkStart w:id="2533" w:name="_Toc453272418"/>
      <w:bookmarkStart w:id="2534" w:name="_Toc453269524"/>
      <w:bookmarkStart w:id="2535" w:name="_Toc453272419"/>
      <w:bookmarkStart w:id="2536" w:name="_Toc453269525"/>
      <w:bookmarkStart w:id="2537" w:name="_Toc453272420"/>
      <w:bookmarkStart w:id="2538" w:name="_Toc453269526"/>
      <w:bookmarkStart w:id="2539" w:name="_Toc453272421"/>
      <w:bookmarkStart w:id="2540" w:name="_Toc453269527"/>
      <w:bookmarkStart w:id="2541" w:name="_Toc453272422"/>
      <w:bookmarkStart w:id="2542" w:name="_Toc453269528"/>
      <w:bookmarkStart w:id="2543" w:name="_Toc453272423"/>
      <w:bookmarkStart w:id="2544" w:name="_Toc453269529"/>
      <w:bookmarkStart w:id="2545" w:name="_Toc453272424"/>
      <w:bookmarkStart w:id="2546" w:name="_Toc453269530"/>
      <w:bookmarkStart w:id="2547" w:name="_Toc453272425"/>
      <w:bookmarkStart w:id="2548" w:name="_Toc453269531"/>
      <w:bookmarkStart w:id="2549" w:name="_Toc453272426"/>
      <w:bookmarkStart w:id="2550" w:name="_Toc453269532"/>
      <w:bookmarkStart w:id="2551" w:name="_Toc453272427"/>
      <w:bookmarkStart w:id="2552" w:name="_Toc453269533"/>
      <w:bookmarkStart w:id="2553" w:name="_Toc453272428"/>
      <w:bookmarkStart w:id="2554" w:name="_Toc453269534"/>
      <w:bookmarkStart w:id="2555" w:name="_Toc453272429"/>
      <w:bookmarkStart w:id="2556" w:name="_Toc453269535"/>
      <w:bookmarkStart w:id="2557" w:name="_Toc453272430"/>
      <w:bookmarkStart w:id="2558" w:name="_Toc453269536"/>
      <w:bookmarkStart w:id="2559" w:name="_Toc453272431"/>
      <w:bookmarkStart w:id="2560" w:name="_Toc453269537"/>
      <w:bookmarkStart w:id="2561" w:name="_Toc453272432"/>
      <w:bookmarkStart w:id="2562" w:name="_Toc453269538"/>
      <w:bookmarkStart w:id="2563" w:name="_Toc453272433"/>
      <w:bookmarkStart w:id="2564" w:name="_Toc453269539"/>
      <w:bookmarkStart w:id="2565" w:name="_Toc453272434"/>
      <w:bookmarkStart w:id="2566" w:name="_Toc453269540"/>
      <w:bookmarkStart w:id="2567" w:name="_Toc453272435"/>
      <w:bookmarkStart w:id="2568" w:name="_Toc453269541"/>
      <w:bookmarkStart w:id="2569" w:name="_Toc453272436"/>
      <w:bookmarkStart w:id="2570" w:name="_Toc453269542"/>
      <w:bookmarkStart w:id="2571" w:name="_Toc453272437"/>
      <w:bookmarkStart w:id="2572" w:name="_Toc453269543"/>
      <w:bookmarkStart w:id="2573" w:name="_Toc453272438"/>
      <w:bookmarkStart w:id="2574" w:name="_Toc453269561"/>
      <w:bookmarkStart w:id="2575" w:name="_Toc453272456"/>
      <w:bookmarkStart w:id="2576" w:name="_Toc453269562"/>
      <w:bookmarkStart w:id="2577" w:name="_Toc453272457"/>
      <w:bookmarkStart w:id="2578" w:name="_Toc453269563"/>
      <w:bookmarkStart w:id="2579" w:name="_Toc453272458"/>
      <w:bookmarkStart w:id="2580" w:name="_Toc453269564"/>
      <w:bookmarkStart w:id="2581" w:name="_Toc453272459"/>
      <w:bookmarkStart w:id="2582" w:name="_Toc453269565"/>
      <w:bookmarkStart w:id="2583" w:name="_Toc453272460"/>
      <w:bookmarkStart w:id="2584" w:name="_Toc453269566"/>
      <w:bookmarkStart w:id="2585" w:name="_Toc453272461"/>
      <w:bookmarkStart w:id="2586" w:name="_Toc453269567"/>
      <w:bookmarkStart w:id="2587" w:name="_Toc453272462"/>
      <w:bookmarkStart w:id="2588" w:name="_Toc453269568"/>
      <w:bookmarkStart w:id="2589" w:name="_Toc453272463"/>
      <w:bookmarkStart w:id="2590" w:name="_Toc453269569"/>
      <w:bookmarkStart w:id="2591" w:name="_Toc453272464"/>
      <w:bookmarkStart w:id="2592" w:name="_Toc453269570"/>
      <w:bookmarkStart w:id="2593" w:name="_Toc453272465"/>
      <w:bookmarkStart w:id="2594" w:name="_Toc453269571"/>
      <w:bookmarkStart w:id="2595" w:name="_Toc453272466"/>
      <w:bookmarkStart w:id="2596" w:name="_Toc453269572"/>
      <w:bookmarkStart w:id="2597" w:name="_Toc453272467"/>
      <w:bookmarkStart w:id="2598" w:name="_Toc453269573"/>
      <w:bookmarkStart w:id="2599" w:name="_Toc453272468"/>
      <w:bookmarkStart w:id="2600" w:name="_Toc453269574"/>
      <w:bookmarkStart w:id="2601" w:name="_Toc453272469"/>
      <w:bookmarkStart w:id="2602" w:name="_Toc453269581"/>
      <w:bookmarkStart w:id="2603" w:name="_Toc453272476"/>
      <w:bookmarkStart w:id="2604" w:name="_Toc453269582"/>
      <w:bookmarkStart w:id="2605" w:name="_Toc453272477"/>
      <w:bookmarkStart w:id="2606" w:name="_Toc453269583"/>
      <w:bookmarkStart w:id="2607" w:name="_Toc453272478"/>
      <w:bookmarkStart w:id="2608" w:name="_Toc453269584"/>
      <w:bookmarkStart w:id="2609" w:name="_Toc453272479"/>
      <w:bookmarkStart w:id="2610" w:name="_Toc453269585"/>
      <w:bookmarkStart w:id="2611" w:name="_Toc453272480"/>
      <w:bookmarkStart w:id="2612" w:name="_Toc453269586"/>
      <w:bookmarkStart w:id="2613" w:name="_Toc453272481"/>
      <w:bookmarkStart w:id="2614" w:name="_Toc453269587"/>
      <w:bookmarkStart w:id="2615" w:name="_Toc453272482"/>
      <w:bookmarkStart w:id="2616" w:name="_Toc453269588"/>
      <w:bookmarkStart w:id="2617" w:name="_Toc453272483"/>
      <w:bookmarkStart w:id="2618" w:name="_Toc453269589"/>
      <w:bookmarkStart w:id="2619" w:name="_Toc453272484"/>
      <w:bookmarkStart w:id="2620" w:name="_Toc453269590"/>
      <w:bookmarkStart w:id="2621" w:name="_Toc453272485"/>
      <w:bookmarkStart w:id="2622" w:name="_Toc453269591"/>
      <w:bookmarkStart w:id="2623" w:name="_Toc453272486"/>
      <w:bookmarkStart w:id="2624" w:name="_Toc453269592"/>
      <w:bookmarkStart w:id="2625" w:name="_Toc453272487"/>
      <w:bookmarkStart w:id="2626" w:name="_Toc453269593"/>
      <w:bookmarkStart w:id="2627" w:name="_Toc453272488"/>
      <w:bookmarkStart w:id="2628" w:name="_Toc453269594"/>
      <w:bookmarkStart w:id="2629" w:name="_Toc453272489"/>
      <w:bookmarkStart w:id="2630" w:name="_Toc453269595"/>
      <w:bookmarkStart w:id="2631" w:name="_Toc453272490"/>
      <w:bookmarkStart w:id="2632" w:name="_Toc453269606"/>
      <w:bookmarkStart w:id="2633" w:name="_Toc453272501"/>
      <w:bookmarkStart w:id="2634" w:name="_Toc453269607"/>
      <w:bookmarkStart w:id="2635" w:name="_Toc453272502"/>
      <w:bookmarkStart w:id="2636" w:name="_Toc453269608"/>
      <w:bookmarkStart w:id="2637" w:name="_Toc453272503"/>
      <w:bookmarkStart w:id="2638" w:name="_Toc453269609"/>
      <w:bookmarkStart w:id="2639" w:name="_Toc453272504"/>
      <w:bookmarkStart w:id="2640" w:name="_Toc453269620"/>
      <w:bookmarkStart w:id="2641" w:name="_Toc453272515"/>
      <w:bookmarkStart w:id="2642" w:name="_Toc453269621"/>
      <w:bookmarkStart w:id="2643" w:name="_Toc453272516"/>
      <w:bookmarkStart w:id="2644" w:name="_Toc453269622"/>
      <w:bookmarkStart w:id="2645" w:name="_Toc453272517"/>
      <w:bookmarkStart w:id="2646" w:name="_Toc453269623"/>
      <w:bookmarkStart w:id="2647" w:name="_Toc453272518"/>
      <w:bookmarkStart w:id="2648" w:name="_Toc453269624"/>
      <w:bookmarkStart w:id="2649" w:name="_Toc453272519"/>
      <w:bookmarkStart w:id="2650" w:name="_Toc453269625"/>
      <w:bookmarkStart w:id="2651" w:name="_Toc453272520"/>
      <w:bookmarkStart w:id="2652" w:name="_Toc453269626"/>
      <w:bookmarkStart w:id="2653" w:name="_Toc453272521"/>
      <w:bookmarkStart w:id="2654" w:name="_Toc453269627"/>
      <w:bookmarkStart w:id="2655" w:name="_Toc453272522"/>
      <w:bookmarkStart w:id="2656" w:name="_Toc453269628"/>
      <w:bookmarkStart w:id="2657" w:name="_Toc453272523"/>
      <w:bookmarkStart w:id="2658" w:name="_Toc453269629"/>
      <w:bookmarkStart w:id="2659" w:name="_Toc453272524"/>
      <w:bookmarkStart w:id="2660" w:name="_Toc453269630"/>
      <w:bookmarkStart w:id="2661" w:name="_Toc453272525"/>
      <w:bookmarkStart w:id="2662" w:name="_Toc453269631"/>
      <w:bookmarkStart w:id="2663" w:name="_Toc453272526"/>
      <w:bookmarkStart w:id="2664" w:name="_Toc453269632"/>
      <w:bookmarkStart w:id="2665" w:name="_Toc453272527"/>
      <w:bookmarkStart w:id="2666" w:name="_Toc453269633"/>
      <w:bookmarkStart w:id="2667" w:name="_Toc453272528"/>
      <w:bookmarkStart w:id="2668" w:name="_Toc453269634"/>
      <w:bookmarkStart w:id="2669" w:name="_Toc453272529"/>
      <w:bookmarkStart w:id="2670" w:name="_Toc453269635"/>
      <w:bookmarkStart w:id="2671" w:name="_Toc453272530"/>
      <w:bookmarkStart w:id="2672" w:name="_Toc453269636"/>
      <w:bookmarkStart w:id="2673" w:name="_Toc453272531"/>
      <w:bookmarkStart w:id="2674" w:name="_Toc453269637"/>
      <w:bookmarkStart w:id="2675" w:name="_Toc453272532"/>
      <w:bookmarkStart w:id="2676" w:name="_Toc453269638"/>
      <w:bookmarkStart w:id="2677" w:name="_Toc453272533"/>
      <w:bookmarkStart w:id="2678" w:name="_Toc453269639"/>
      <w:bookmarkStart w:id="2679" w:name="_Toc453272534"/>
      <w:bookmarkStart w:id="2680" w:name="_Toc453269640"/>
      <w:bookmarkStart w:id="2681" w:name="_Toc453272535"/>
      <w:bookmarkStart w:id="2682" w:name="_Toc453269641"/>
      <w:bookmarkStart w:id="2683" w:name="_Toc453272536"/>
      <w:bookmarkStart w:id="2684" w:name="_Toc453269642"/>
      <w:bookmarkStart w:id="2685" w:name="_Toc453272537"/>
      <w:bookmarkStart w:id="2686" w:name="_Toc453269643"/>
      <w:bookmarkStart w:id="2687" w:name="_Toc453272538"/>
      <w:bookmarkStart w:id="2688" w:name="_Toc453269644"/>
      <w:bookmarkStart w:id="2689" w:name="_Toc453272539"/>
      <w:bookmarkStart w:id="2690" w:name="_Toc453269645"/>
      <w:bookmarkStart w:id="2691" w:name="_Toc453272540"/>
      <w:bookmarkStart w:id="2692" w:name="_Toc453269646"/>
      <w:bookmarkStart w:id="2693" w:name="_Toc453272541"/>
      <w:bookmarkStart w:id="2694" w:name="_Toc453269647"/>
      <w:bookmarkStart w:id="2695" w:name="_Toc453272542"/>
      <w:bookmarkStart w:id="2696" w:name="_Toc453269648"/>
      <w:bookmarkStart w:id="2697" w:name="_Toc453272543"/>
      <w:bookmarkStart w:id="2698" w:name="_Toc453269649"/>
      <w:bookmarkStart w:id="2699" w:name="_Toc453272544"/>
      <w:bookmarkStart w:id="2700" w:name="_Toc453269650"/>
      <w:bookmarkStart w:id="2701" w:name="_Toc453272545"/>
      <w:bookmarkStart w:id="2702" w:name="_Toc453269651"/>
      <w:bookmarkStart w:id="2703" w:name="_Toc453272546"/>
      <w:bookmarkStart w:id="2704" w:name="_Toc453269652"/>
      <w:bookmarkStart w:id="2705" w:name="_Toc453272547"/>
      <w:bookmarkStart w:id="2706" w:name="_Toc453269653"/>
      <w:bookmarkStart w:id="2707" w:name="_Toc453272548"/>
      <w:bookmarkStart w:id="2708" w:name="_Toc453269654"/>
      <w:bookmarkStart w:id="2709" w:name="_Toc453272549"/>
      <w:bookmarkStart w:id="2710" w:name="_Toc453269655"/>
      <w:bookmarkStart w:id="2711" w:name="_Toc453272550"/>
      <w:bookmarkStart w:id="2712" w:name="_Toc453269656"/>
      <w:bookmarkStart w:id="2713" w:name="_Toc453272551"/>
      <w:bookmarkStart w:id="2714" w:name="_Toc453269832"/>
      <w:bookmarkStart w:id="2715" w:name="_Toc453272727"/>
      <w:bookmarkStart w:id="2716" w:name="_Toc453269833"/>
      <w:bookmarkStart w:id="2717" w:name="_Toc453272728"/>
      <w:bookmarkStart w:id="2718" w:name="_Toc453269834"/>
      <w:bookmarkStart w:id="2719" w:name="_Toc453272729"/>
      <w:bookmarkStart w:id="2720" w:name="_Toc453269835"/>
      <w:bookmarkStart w:id="2721" w:name="_Toc453272730"/>
      <w:bookmarkStart w:id="2722" w:name="_Toc453269836"/>
      <w:bookmarkStart w:id="2723" w:name="_Toc453272731"/>
      <w:bookmarkStart w:id="2724" w:name="_Toc453269837"/>
      <w:bookmarkStart w:id="2725" w:name="_Toc453272732"/>
      <w:bookmarkStart w:id="2726" w:name="_Toc453269838"/>
      <w:bookmarkStart w:id="2727" w:name="_Toc453272733"/>
      <w:bookmarkStart w:id="2728" w:name="_Toc453269839"/>
      <w:bookmarkStart w:id="2729" w:name="_Toc453272734"/>
      <w:bookmarkStart w:id="2730" w:name="_Toc453269840"/>
      <w:bookmarkStart w:id="2731" w:name="_Toc453272735"/>
      <w:bookmarkStart w:id="2732" w:name="_Toc453269841"/>
      <w:bookmarkStart w:id="2733" w:name="_Toc453272736"/>
      <w:bookmarkStart w:id="2734" w:name="_Toc453269842"/>
      <w:bookmarkStart w:id="2735" w:name="_Toc453272737"/>
      <w:bookmarkStart w:id="2736" w:name="_Toc453269843"/>
      <w:bookmarkStart w:id="2737" w:name="_Toc453272738"/>
      <w:bookmarkStart w:id="2738" w:name="_Toc453269844"/>
      <w:bookmarkStart w:id="2739" w:name="_Toc453272739"/>
      <w:bookmarkStart w:id="2740" w:name="_Toc453269845"/>
      <w:bookmarkStart w:id="2741" w:name="_Toc453272740"/>
      <w:bookmarkStart w:id="2742" w:name="_Toc453269846"/>
      <w:bookmarkStart w:id="2743" w:name="_Toc453272741"/>
      <w:bookmarkStart w:id="2744" w:name="_Toc453269847"/>
      <w:bookmarkStart w:id="2745" w:name="_Toc453272742"/>
      <w:bookmarkStart w:id="2746" w:name="_Toc453269848"/>
      <w:bookmarkStart w:id="2747" w:name="_Toc453272743"/>
      <w:bookmarkStart w:id="2748" w:name="_Toc453269853"/>
      <w:bookmarkStart w:id="2749" w:name="_Toc453272748"/>
      <w:bookmarkStart w:id="2750" w:name="_Toc453269972"/>
      <w:bookmarkStart w:id="2751" w:name="_Toc453272867"/>
      <w:bookmarkStart w:id="2752" w:name="_Toc453269973"/>
      <w:bookmarkStart w:id="2753" w:name="_Toc453272868"/>
      <w:bookmarkStart w:id="2754" w:name="_Toc453269974"/>
      <w:bookmarkStart w:id="2755" w:name="_Toc453272869"/>
      <w:bookmarkStart w:id="2756" w:name="_Toc453269975"/>
      <w:bookmarkStart w:id="2757" w:name="_Toc453272870"/>
      <w:bookmarkStart w:id="2758" w:name="_Toc453270121"/>
      <w:bookmarkStart w:id="2759" w:name="_Toc453273016"/>
      <w:bookmarkStart w:id="2760" w:name="_Toc453270122"/>
      <w:bookmarkStart w:id="2761" w:name="_Toc453273017"/>
      <w:bookmarkStart w:id="2762" w:name="_Toc453270123"/>
      <w:bookmarkStart w:id="2763" w:name="_Toc453273018"/>
      <w:bookmarkStart w:id="2764" w:name="_Toc453270124"/>
      <w:bookmarkStart w:id="2765" w:name="_Toc453273019"/>
      <w:bookmarkStart w:id="2766" w:name="_Toc453270125"/>
      <w:bookmarkStart w:id="2767" w:name="_Toc453273020"/>
      <w:bookmarkStart w:id="2768" w:name="_Toc453270684"/>
      <w:bookmarkStart w:id="2769" w:name="_Toc453273579"/>
      <w:bookmarkStart w:id="2770" w:name="_Toc453270685"/>
      <w:bookmarkStart w:id="2771" w:name="_Toc453273580"/>
      <w:bookmarkStart w:id="2772" w:name="_Toc453270686"/>
      <w:bookmarkStart w:id="2773" w:name="_Toc453273581"/>
      <w:bookmarkStart w:id="2774" w:name="_Toc453270817"/>
      <w:bookmarkStart w:id="2775" w:name="_Toc453273712"/>
      <w:bookmarkStart w:id="2776" w:name="_Toc453270818"/>
      <w:bookmarkStart w:id="2777" w:name="_Toc453273713"/>
      <w:bookmarkStart w:id="2778" w:name="_Toc453270819"/>
      <w:bookmarkStart w:id="2779" w:name="_Toc453273714"/>
      <w:bookmarkStart w:id="2780" w:name="_Toc453271206"/>
      <w:bookmarkStart w:id="2781" w:name="_Toc453274101"/>
      <w:bookmarkStart w:id="2782" w:name="_Toc453271207"/>
      <w:bookmarkStart w:id="2783" w:name="_Toc453274102"/>
      <w:bookmarkStart w:id="2784" w:name="_Toc453271578"/>
      <w:bookmarkStart w:id="2785" w:name="_Toc453274473"/>
      <w:bookmarkStart w:id="2786" w:name="_Toc453271579"/>
      <w:bookmarkStart w:id="2787" w:name="_Toc453274474"/>
      <w:bookmarkStart w:id="2788" w:name="_Toc357714438"/>
      <w:bookmarkStart w:id="2789" w:name="_Ref397183258"/>
      <w:bookmarkStart w:id="2790" w:name="_Toc397332185"/>
      <w:bookmarkStart w:id="2791" w:name="_Toc397607940"/>
      <w:bookmarkStart w:id="2792" w:name="_Toc399623775"/>
      <w:bookmarkStart w:id="2793" w:name="_Ref422012684"/>
      <w:bookmarkStart w:id="2794" w:name="_Toc453367647"/>
      <w:bookmarkStart w:id="2795" w:name="_Toc457355529"/>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r w:rsidRPr="00C60AD1">
        <w:lastRenderedPageBreak/>
        <w:t>FUEL AND POWER PURCHASE COST ADJUSTMENT SURCHARGE</w:t>
      </w:r>
      <w:bookmarkEnd w:id="2788"/>
      <w:bookmarkEnd w:id="2789"/>
      <w:bookmarkEnd w:id="2790"/>
      <w:bookmarkEnd w:id="2791"/>
      <w:bookmarkEnd w:id="2792"/>
      <w:bookmarkEnd w:id="2793"/>
      <w:bookmarkEnd w:id="2794"/>
      <w:bookmarkEnd w:id="2795"/>
    </w:p>
    <w:p w:rsidR="00C34658" w:rsidRPr="00C60AD1" w:rsidRDefault="00C34658" w:rsidP="00C34658">
      <w:pPr>
        <w:pStyle w:val="Heading2"/>
        <w:keepNext/>
        <w:numPr>
          <w:ilvl w:val="0"/>
          <w:numId w:val="0"/>
        </w:numPr>
        <w:autoSpaceDE/>
        <w:autoSpaceDN/>
        <w:adjustRightInd/>
        <w:spacing w:before="0" w:line="276" w:lineRule="auto"/>
        <w:ind w:left="990"/>
        <w:contextualSpacing w:val="0"/>
      </w:pPr>
    </w:p>
    <w:p w:rsidR="00C34658" w:rsidRPr="00C60AD1" w:rsidRDefault="00000B80" w:rsidP="00C34658">
      <w:pPr>
        <w:pStyle w:val="Heading3"/>
        <w:numPr>
          <w:ilvl w:val="0"/>
          <w:numId w:val="0"/>
        </w:numPr>
        <w:spacing w:before="0"/>
        <w:ind w:left="936"/>
        <w:jc w:val="center"/>
        <w:rPr>
          <w:b/>
        </w:rPr>
      </w:pPr>
      <w:bookmarkStart w:id="2796" w:name="_Toc357738760"/>
      <w:bookmarkStart w:id="2797" w:name="_Toc397332370"/>
      <w:bookmarkStart w:id="2798" w:name="_Toc397607645"/>
      <w:bookmarkStart w:id="2799" w:name="_Toc399624152"/>
      <w:bookmarkStart w:id="2800" w:name="_Toc453367733"/>
      <w:bookmarkStart w:id="2801" w:name="_Toc457355669"/>
      <w:r w:rsidRPr="00C60AD1">
        <w:rPr>
          <w:b/>
        </w:rPr>
        <w:t xml:space="preserve">TABLE </w:t>
      </w:r>
      <w:r>
        <w:rPr>
          <w:b/>
        </w:rPr>
        <w:t>10</w:t>
      </w:r>
      <w:r w:rsidRPr="00C60AD1">
        <w:rPr>
          <w:b/>
        </w:rPr>
        <w:noBreakHyphen/>
      </w:r>
      <w:r w:rsidR="004A2D9E" w:rsidRPr="00C60AD1">
        <w:rPr>
          <w:b/>
        </w:rPr>
        <w:fldChar w:fldCharType="begin"/>
      </w:r>
      <w:r w:rsidRPr="00C60AD1">
        <w:rPr>
          <w:b/>
        </w:rPr>
        <w:instrText xml:space="preserve"> SEQ Table \* ARABIC \s 1 </w:instrText>
      </w:r>
      <w:r w:rsidR="004A2D9E" w:rsidRPr="00C60AD1">
        <w:rPr>
          <w:b/>
        </w:rPr>
        <w:fldChar w:fldCharType="separate"/>
      </w:r>
      <w:r w:rsidR="0011185B">
        <w:rPr>
          <w:b/>
          <w:noProof/>
        </w:rPr>
        <w:t>4</w:t>
      </w:r>
      <w:r w:rsidR="004A2D9E" w:rsidRPr="00C60AD1">
        <w:rPr>
          <w:b/>
        </w:rPr>
        <w:fldChar w:fldCharType="end"/>
      </w:r>
      <w:r>
        <w:rPr>
          <w:b/>
        </w:rPr>
        <w:t>: A</w:t>
      </w:r>
      <w:r w:rsidR="00C34658" w:rsidRPr="00C60AD1">
        <w:rPr>
          <w:b/>
        </w:rPr>
        <w:t xml:space="preserve">PPROPRIATION OF APPROVED POWER PURCHASE FOR FY </w:t>
      </w:r>
      <w:r w:rsidR="00C34658">
        <w:rPr>
          <w:b/>
        </w:rPr>
        <w:t>2016-17</w:t>
      </w:r>
      <w:r w:rsidR="00C34658" w:rsidRPr="00C60AD1">
        <w:rPr>
          <w:b/>
        </w:rPr>
        <w:t>: FPPCA</w:t>
      </w:r>
      <w:bookmarkEnd w:id="2796"/>
      <w:bookmarkEnd w:id="2797"/>
      <w:bookmarkEnd w:id="2798"/>
      <w:bookmarkEnd w:id="2799"/>
      <w:bookmarkEnd w:id="2800"/>
      <w:bookmarkEnd w:id="2801"/>
    </w:p>
    <w:p w:rsidR="00C34658" w:rsidRDefault="00C34658" w:rsidP="00C34658">
      <w:pPr>
        <w:pStyle w:val="Heading3"/>
        <w:numPr>
          <w:ilvl w:val="0"/>
          <w:numId w:val="0"/>
        </w:numPr>
        <w:tabs>
          <w:tab w:val="clear" w:pos="720"/>
        </w:tabs>
        <w:spacing w:before="0"/>
        <w:rPr>
          <w:rFonts w:asciiTheme="minorHAnsi" w:hAnsiTheme="minorHAnsi"/>
          <w:b/>
        </w:rPr>
      </w:pPr>
    </w:p>
    <w:tbl>
      <w:tblPr>
        <w:tblW w:w="5000" w:type="pct"/>
        <w:tblLayout w:type="fixed"/>
        <w:tblLook w:val="04A0"/>
      </w:tblPr>
      <w:tblGrid>
        <w:gridCol w:w="2899"/>
        <w:gridCol w:w="839"/>
        <w:gridCol w:w="9"/>
        <w:gridCol w:w="28"/>
        <w:gridCol w:w="9"/>
        <w:gridCol w:w="11"/>
        <w:gridCol w:w="748"/>
        <w:gridCol w:w="11"/>
        <w:gridCol w:w="28"/>
        <w:gridCol w:w="11"/>
        <w:gridCol w:w="99"/>
        <w:gridCol w:w="663"/>
        <w:gridCol w:w="11"/>
        <w:gridCol w:w="23"/>
        <w:gridCol w:w="14"/>
        <w:gridCol w:w="184"/>
        <w:gridCol w:w="490"/>
        <w:gridCol w:w="11"/>
        <w:gridCol w:w="20"/>
        <w:gridCol w:w="17"/>
        <w:gridCol w:w="366"/>
        <w:gridCol w:w="306"/>
        <w:gridCol w:w="11"/>
        <w:gridCol w:w="20"/>
        <w:gridCol w:w="14"/>
        <w:gridCol w:w="550"/>
        <w:gridCol w:w="147"/>
        <w:gridCol w:w="11"/>
        <w:gridCol w:w="9"/>
        <w:gridCol w:w="734"/>
        <w:gridCol w:w="60"/>
        <w:gridCol w:w="11"/>
        <w:gridCol w:w="9"/>
        <w:gridCol w:w="791"/>
        <w:gridCol w:w="11"/>
        <w:gridCol w:w="28"/>
        <w:gridCol w:w="777"/>
        <w:gridCol w:w="31"/>
        <w:gridCol w:w="9"/>
        <w:gridCol w:w="714"/>
        <w:gridCol w:w="14"/>
        <w:gridCol w:w="785"/>
        <w:gridCol w:w="26"/>
        <w:gridCol w:w="6"/>
        <w:gridCol w:w="870"/>
        <w:gridCol w:w="26"/>
        <w:gridCol w:w="6"/>
        <w:gridCol w:w="689"/>
        <w:gridCol w:w="116"/>
        <w:gridCol w:w="11"/>
        <w:gridCol w:w="887"/>
      </w:tblGrid>
      <w:tr w:rsidR="007E6794" w:rsidRPr="00686CF8" w:rsidTr="00A459A2">
        <w:trPr>
          <w:trHeight w:val="170"/>
          <w:tblHeader/>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PVVNL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3,231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3,550</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3,540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3,544</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3,576</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2,996</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2,980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2,661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2,767</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2,826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2,485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2,893</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37,048</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1,377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1,513</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1,509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1,511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1,524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1,277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1,270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1,134</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1,179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1,204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1,233</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15,791</w:t>
            </w:r>
          </w:p>
        </w:tc>
      </w:tr>
      <w:tr w:rsidR="007E6794" w:rsidRPr="00686CF8" w:rsidTr="00A459A2">
        <w:trPr>
          <w:trHeight w:val="287"/>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FY 2016-17</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DVVNL</w:t>
            </w:r>
          </w:p>
        </w:tc>
        <w:tc>
          <w:tcPr>
            <w:tcW w:w="28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62"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2,481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2,726</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2,719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2,721</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2,747</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2,301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2,289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2,125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2,170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1,908</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2,223</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28,452</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319" w:type="pct"/>
            <w:gridSpan w:val="2"/>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1,057</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1,162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1,159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1,160</w:t>
            </w:r>
          </w:p>
        </w:tc>
        <w:tc>
          <w:tcPr>
            <w:tcW w:w="262"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1,171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981</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975</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906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925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813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947</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12,127</w:t>
            </w:r>
          </w:p>
        </w:tc>
      </w:tr>
      <w:tr w:rsidR="007E6794" w:rsidRPr="00686CF8" w:rsidTr="00A459A2">
        <w:trPr>
          <w:trHeight w:val="368"/>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E6794" w:rsidRPr="00686CF8" w:rsidTr="00A459A2">
        <w:trPr>
          <w:trHeight w:val="698"/>
        </w:trPr>
        <w:tc>
          <w:tcPr>
            <w:tcW w:w="1322" w:type="pct"/>
            <w:gridSpan w:val="3"/>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lastRenderedPageBreak/>
              <w:t>MVVNL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7"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8"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70"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2,043</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2,245</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2,239</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2,242</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2,261</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1,894</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1,884</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1,683</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1,750</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1,787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1,571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1,829</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23,430</w:t>
            </w:r>
          </w:p>
        </w:tc>
      </w:tr>
      <w:tr w:rsidR="007E6794" w:rsidRPr="00686CF8" w:rsidTr="00A459A2">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322" w:type="pct"/>
            <w:gridSpan w:val="3"/>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871</w:t>
            </w:r>
          </w:p>
        </w:tc>
        <w:tc>
          <w:tcPr>
            <w:tcW w:w="28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957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954</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956</w:t>
            </w:r>
          </w:p>
        </w:tc>
        <w:tc>
          <w:tcPr>
            <w:tcW w:w="25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964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807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803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717</w:t>
            </w:r>
          </w:p>
        </w:tc>
        <w:tc>
          <w:tcPr>
            <w:tcW w:w="270"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746</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762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669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780</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9,986</w:t>
            </w:r>
          </w:p>
        </w:tc>
      </w:tr>
      <w:tr w:rsidR="007E6794" w:rsidRPr="00686CF8" w:rsidTr="00A459A2">
        <w:trPr>
          <w:trHeight w:val="233"/>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E6794" w:rsidRPr="00686CF8" w:rsidTr="00A459A2">
        <w:trPr>
          <w:trHeight w:val="698"/>
        </w:trPr>
        <w:tc>
          <w:tcPr>
            <w:tcW w:w="1332" w:type="pct"/>
            <w:gridSpan w:val="4"/>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PuVVNL</w:t>
            </w:r>
          </w:p>
        </w:tc>
        <w:tc>
          <w:tcPr>
            <w:tcW w:w="28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4"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5"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86"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9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4" w:type="pct"/>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2,967</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3,261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3,251</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3,255</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3,284</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2,752</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2,736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2,443</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2,541</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2,594</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2,282</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2,657</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34,022</w:t>
            </w:r>
          </w:p>
        </w:tc>
      </w:tr>
      <w:tr w:rsidR="007E6794" w:rsidRPr="00686CF8" w:rsidTr="00A459A2">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9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332" w:type="pct"/>
            <w:gridSpan w:val="4"/>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1,265</w:t>
            </w:r>
          </w:p>
        </w:tc>
        <w:tc>
          <w:tcPr>
            <w:tcW w:w="28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1,390</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1,386</w:t>
            </w:r>
          </w:p>
        </w:tc>
        <w:tc>
          <w:tcPr>
            <w:tcW w:w="254"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1,387</w:t>
            </w:r>
          </w:p>
        </w:tc>
        <w:tc>
          <w:tcPr>
            <w:tcW w:w="255"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1,400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1,173</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1,166</w:t>
            </w:r>
          </w:p>
        </w:tc>
        <w:tc>
          <w:tcPr>
            <w:tcW w:w="29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1,041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1,083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1,106</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973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1,133</w:t>
            </w:r>
          </w:p>
        </w:tc>
        <w:tc>
          <w:tcPr>
            <w:tcW w:w="314" w:type="pct"/>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14,501</w:t>
            </w:r>
          </w:p>
        </w:tc>
      </w:tr>
      <w:tr w:rsidR="007E6794" w:rsidRPr="00686CF8" w:rsidTr="00A459A2">
        <w:trPr>
          <w:trHeight w:val="269"/>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E6794" w:rsidRPr="00686CF8" w:rsidTr="00A459A2">
        <w:trPr>
          <w:trHeight w:val="698"/>
        </w:trPr>
        <w:tc>
          <w:tcPr>
            <w:tcW w:w="1335" w:type="pct"/>
            <w:gridSpan w:val="5"/>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KESCO</w:t>
            </w:r>
          </w:p>
        </w:tc>
        <w:tc>
          <w:tcPr>
            <w:tcW w:w="286"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286"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255"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253"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253"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287"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292"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7"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6"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86"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18"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389</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427</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430</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361</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359</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321</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333</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340</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299</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4,462</w:t>
            </w:r>
          </w:p>
        </w:tc>
      </w:tr>
      <w:tr w:rsidR="007E6794" w:rsidRPr="00686CF8" w:rsidTr="00A459A2">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lastRenderedPageBreak/>
              <w:t>Approved average power power per unit (Rs/Unit)</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3"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3"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92"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335" w:type="pct"/>
            <w:gridSpan w:val="5"/>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166</w:t>
            </w:r>
          </w:p>
        </w:tc>
        <w:tc>
          <w:tcPr>
            <w:tcW w:w="28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5"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182</w:t>
            </w:r>
          </w:p>
        </w:tc>
        <w:tc>
          <w:tcPr>
            <w:tcW w:w="253"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183</w:t>
            </w:r>
          </w:p>
        </w:tc>
        <w:tc>
          <w:tcPr>
            <w:tcW w:w="287"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154</w:t>
            </w:r>
          </w:p>
        </w:tc>
        <w:tc>
          <w:tcPr>
            <w:tcW w:w="292"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153</w:t>
            </w:r>
          </w:p>
        </w:tc>
        <w:tc>
          <w:tcPr>
            <w:tcW w:w="28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137</w:t>
            </w:r>
          </w:p>
        </w:tc>
        <w:tc>
          <w:tcPr>
            <w:tcW w:w="257"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142</w:t>
            </w:r>
          </w:p>
        </w:tc>
        <w:tc>
          <w:tcPr>
            <w:tcW w:w="286"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145</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127</w:t>
            </w:r>
          </w:p>
        </w:tc>
        <w:tc>
          <w:tcPr>
            <w:tcW w:w="286"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148</w:t>
            </w:r>
          </w:p>
        </w:tc>
        <w:tc>
          <w:tcPr>
            <w:tcW w:w="318"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1,902</w:t>
            </w:r>
          </w:p>
        </w:tc>
      </w:tr>
      <w:tr w:rsidR="007E6794" w:rsidRPr="00686CF8" w:rsidTr="00A459A2">
        <w:trPr>
          <w:trHeight w:val="224"/>
        </w:trPr>
        <w:tc>
          <w:tcPr>
            <w:tcW w:w="5000" w:type="pct"/>
            <w:gridSpan w:val="51"/>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FY 2016-17</w:t>
            </w:r>
          </w:p>
        </w:tc>
      </w:tr>
      <w:tr w:rsidR="007E6794" w:rsidRPr="00686CF8" w:rsidTr="00A459A2">
        <w:trPr>
          <w:trHeight w:val="698"/>
        </w:trPr>
        <w:tc>
          <w:tcPr>
            <w:tcW w:w="1023" w:type="pct"/>
            <w:tcBorders>
              <w:top w:val="nil"/>
              <w:left w:val="single" w:sz="4" w:space="0" w:color="auto"/>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left"/>
              <w:rPr>
                <w:rFonts w:asciiTheme="minorHAnsi" w:hAnsiTheme="minorHAnsi"/>
                <w:b/>
                <w:sz w:val="22"/>
                <w:szCs w:val="22"/>
                <w:lang w:val="en-US"/>
              </w:rPr>
            </w:pPr>
            <w:r>
              <w:rPr>
                <w:rFonts w:asciiTheme="minorHAnsi" w:hAnsiTheme="minorHAnsi"/>
                <w:b/>
                <w:sz w:val="22"/>
                <w:szCs w:val="22"/>
                <w:lang w:val="en-US"/>
              </w:rPr>
              <w:t>UPPCL</w:t>
            </w:r>
          </w:p>
        </w:tc>
        <w:tc>
          <w:tcPr>
            <w:tcW w:w="316"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Apr</w:t>
            </w:r>
          </w:p>
        </w:tc>
        <w:tc>
          <w:tcPr>
            <w:tcW w:w="317"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May</w:t>
            </w:r>
          </w:p>
        </w:tc>
        <w:tc>
          <w:tcPr>
            <w:tcW w:w="316"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June</w:t>
            </w:r>
          </w:p>
        </w:tc>
        <w:tc>
          <w:tcPr>
            <w:tcW w:w="319"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July</w:t>
            </w:r>
          </w:p>
        </w:tc>
        <w:tc>
          <w:tcPr>
            <w:tcW w:w="318" w:type="pct"/>
            <w:gridSpan w:val="5"/>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Aug</w:t>
            </w:r>
          </w:p>
        </w:tc>
        <w:tc>
          <w:tcPr>
            <w:tcW w:w="318" w:type="pct"/>
            <w:gridSpan w:val="4"/>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Sept</w:t>
            </w:r>
          </w:p>
        </w:tc>
        <w:tc>
          <w:tcPr>
            <w:tcW w:w="321" w:type="pct"/>
            <w:gridSpan w:val="6"/>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Oct</w:t>
            </w:r>
          </w:p>
        </w:tc>
        <w:tc>
          <w:tcPr>
            <w:tcW w:w="285"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Nov</w:t>
            </w:r>
          </w:p>
        </w:tc>
        <w:tc>
          <w:tcPr>
            <w:tcW w:w="255"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Dec</w:t>
            </w:r>
          </w:p>
        </w:tc>
        <w:tc>
          <w:tcPr>
            <w:tcW w:w="282" w:type="pct"/>
            <w:gridSpan w:val="2"/>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Jan</w:t>
            </w:r>
          </w:p>
        </w:tc>
        <w:tc>
          <w:tcPr>
            <w:tcW w:w="318"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Feb</w:t>
            </w:r>
          </w:p>
        </w:tc>
        <w:tc>
          <w:tcPr>
            <w:tcW w:w="254"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Mar</w:t>
            </w:r>
          </w:p>
        </w:tc>
        <w:tc>
          <w:tcPr>
            <w:tcW w:w="359" w:type="pct"/>
            <w:gridSpan w:val="3"/>
            <w:tcBorders>
              <w:top w:val="nil"/>
              <w:left w:val="nil"/>
              <w:bottom w:val="single" w:sz="4" w:space="0" w:color="auto"/>
              <w:right w:val="single" w:sz="4" w:space="0" w:color="auto"/>
            </w:tcBorders>
            <w:shd w:val="clear" w:color="000000" w:fill="DBE5F1"/>
            <w:vAlign w:val="center"/>
            <w:hideMark/>
          </w:tcPr>
          <w:p w:rsidR="007E6794" w:rsidRDefault="007E6794" w:rsidP="00A459A2">
            <w:pPr>
              <w:spacing w:before="0" w:line="240" w:lineRule="auto"/>
              <w:jc w:val="right"/>
              <w:rPr>
                <w:rFonts w:asciiTheme="minorHAnsi" w:hAnsiTheme="minorHAnsi"/>
                <w:b/>
                <w:sz w:val="22"/>
                <w:szCs w:val="22"/>
                <w:lang w:val="en-US"/>
              </w:rPr>
            </w:pPr>
            <w:r>
              <w:rPr>
                <w:rFonts w:asciiTheme="minorHAnsi" w:hAnsiTheme="minorHAnsi"/>
                <w:b/>
                <w:sz w:val="22"/>
                <w:szCs w:val="22"/>
                <w:lang w:val="en-US"/>
              </w:rPr>
              <w:t>Total</w:t>
            </w:r>
          </w:p>
        </w:tc>
      </w:tr>
      <w:tr w:rsidR="007E6794" w:rsidRPr="00686CF8" w:rsidTr="00A459A2">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Allocation of Approved Power Purchase (MU)</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11,111</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12,211</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12,174</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12,190</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12,299</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10,305</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10,248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9,151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9,515</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9,717</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8,544</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9,952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127,414</w:t>
            </w:r>
          </w:p>
        </w:tc>
      </w:tr>
      <w:tr w:rsidR="007E6794" w:rsidRPr="00686CF8" w:rsidTr="00A459A2">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Approved average power power per unit (Rs/Unit)</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9"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21" w:type="pct"/>
            <w:gridSpan w:val="6"/>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82"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254"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p>
        </w:tc>
        <w:tc>
          <w:tcPr>
            <w:tcW w:w="359"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4.26</w:t>
            </w:r>
          </w:p>
        </w:tc>
      </w:tr>
      <w:tr w:rsidR="007E6794" w:rsidRPr="00686CF8" w:rsidTr="00A459A2">
        <w:trPr>
          <w:trHeight w:val="698"/>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7E6794" w:rsidRDefault="007E6794" w:rsidP="00A459A2">
            <w:pPr>
              <w:spacing w:before="0" w:line="240" w:lineRule="auto"/>
              <w:jc w:val="left"/>
              <w:rPr>
                <w:rFonts w:asciiTheme="minorHAnsi" w:hAnsiTheme="minorHAnsi"/>
                <w:sz w:val="22"/>
                <w:szCs w:val="22"/>
                <w:lang w:val="en-US"/>
              </w:rPr>
            </w:pPr>
            <w:r>
              <w:rPr>
                <w:rFonts w:asciiTheme="minorHAnsi" w:hAnsiTheme="minorHAnsi"/>
                <w:sz w:val="22"/>
                <w:szCs w:val="22"/>
                <w:lang w:val="en-US"/>
              </w:rPr>
              <w:t>Allocated Approved Power Purchase Cost (Rs. Crs)</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4,736</w:t>
            </w:r>
          </w:p>
        </w:tc>
        <w:tc>
          <w:tcPr>
            <w:tcW w:w="317"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5,205</w:t>
            </w:r>
          </w:p>
        </w:tc>
        <w:tc>
          <w:tcPr>
            <w:tcW w:w="316"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5,189</w:t>
            </w:r>
          </w:p>
        </w:tc>
        <w:tc>
          <w:tcPr>
            <w:tcW w:w="319"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5,196</w:t>
            </w:r>
          </w:p>
        </w:tc>
        <w:tc>
          <w:tcPr>
            <w:tcW w:w="318" w:type="pct"/>
            <w:gridSpan w:val="5"/>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5,242</w:t>
            </w:r>
          </w:p>
        </w:tc>
        <w:tc>
          <w:tcPr>
            <w:tcW w:w="318" w:type="pct"/>
            <w:gridSpan w:val="4"/>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4,392</w:t>
            </w:r>
          </w:p>
        </w:tc>
        <w:tc>
          <w:tcPr>
            <w:tcW w:w="321" w:type="pct"/>
            <w:gridSpan w:val="6"/>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4,368</w:t>
            </w:r>
          </w:p>
        </w:tc>
        <w:tc>
          <w:tcPr>
            <w:tcW w:w="28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3,901</w:t>
            </w:r>
          </w:p>
        </w:tc>
        <w:tc>
          <w:tcPr>
            <w:tcW w:w="255"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4,056</w:t>
            </w:r>
          </w:p>
        </w:tc>
        <w:tc>
          <w:tcPr>
            <w:tcW w:w="282" w:type="pct"/>
            <w:gridSpan w:val="2"/>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4,142</w:t>
            </w:r>
          </w:p>
        </w:tc>
        <w:tc>
          <w:tcPr>
            <w:tcW w:w="318"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3,642</w:t>
            </w:r>
          </w:p>
        </w:tc>
        <w:tc>
          <w:tcPr>
            <w:tcW w:w="254"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4,242</w:t>
            </w:r>
          </w:p>
        </w:tc>
        <w:tc>
          <w:tcPr>
            <w:tcW w:w="359" w:type="pct"/>
            <w:gridSpan w:val="3"/>
            <w:tcBorders>
              <w:top w:val="nil"/>
              <w:left w:val="nil"/>
              <w:bottom w:val="single" w:sz="4" w:space="0" w:color="auto"/>
              <w:right w:val="single" w:sz="4" w:space="0" w:color="auto"/>
            </w:tcBorders>
            <w:shd w:val="clear" w:color="auto" w:fill="auto"/>
            <w:noWrap/>
            <w:vAlign w:val="center"/>
            <w:hideMark/>
          </w:tcPr>
          <w:p w:rsidR="007E6794" w:rsidRDefault="007E6794" w:rsidP="00A459A2">
            <w:pPr>
              <w:spacing w:before="0" w:line="240" w:lineRule="auto"/>
              <w:jc w:val="right"/>
              <w:rPr>
                <w:rFonts w:asciiTheme="minorHAnsi" w:hAnsiTheme="minorHAnsi"/>
                <w:sz w:val="22"/>
                <w:szCs w:val="22"/>
                <w:lang w:val="en-US"/>
              </w:rPr>
            </w:pPr>
            <w:r w:rsidRPr="00D27775">
              <w:rPr>
                <w:rFonts w:asciiTheme="minorHAnsi" w:hAnsiTheme="minorHAnsi"/>
                <w:sz w:val="22"/>
                <w:szCs w:val="22"/>
              </w:rPr>
              <w:t>54,307</w:t>
            </w:r>
          </w:p>
        </w:tc>
      </w:tr>
    </w:tbl>
    <w:p w:rsidR="007E6794" w:rsidRDefault="007E6794" w:rsidP="00C34658">
      <w:pPr>
        <w:pStyle w:val="Heading3"/>
        <w:numPr>
          <w:ilvl w:val="0"/>
          <w:numId w:val="0"/>
        </w:numPr>
        <w:tabs>
          <w:tab w:val="clear" w:pos="720"/>
        </w:tabs>
        <w:spacing w:before="0"/>
        <w:rPr>
          <w:rFonts w:asciiTheme="minorHAnsi" w:hAnsiTheme="minorHAnsi"/>
          <w:b/>
        </w:rPr>
      </w:pPr>
    </w:p>
    <w:p w:rsidR="00707B91" w:rsidRDefault="00707B91" w:rsidP="00C34658">
      <w:pPr>
        <w:pStyle w:val="Heading3"/>
        <w:numPr>
          <w:ilvl w:val="0"/>
          <w:numId w:val="0"/>
        </w:numPr>
        <w:tabs>
          <w:tab w:val="clear" w:pos="720"/>
        </w:tabs>
        <w:spacing w:before="0"/>
        <w:rPr>
          <w:rFonts w:asciiTheme="minorHAnsi" w:hAnsiTheme="minorHAnsi"/>
          <w:b/>
        </w:rPr>
      </w:pPr>
    </w:p>
    <w:p w:rsidR="00707B91" w:rsidRDefault="00707B91" w:rsidP="00C34658">
      <w:pPr>
        <w:pStyle w:val="Heading3"/>
        <w:numPr>
          <w:ilvl w:val="0"/>
          <w:numId w:val="0"/>
        </w:numPr>
        <w:tabs>
          <w:tab w:val="clear" w:pos="720"/>
        </w:tabs>
        <w:spacing w:before="0"/>
        <w:rPr>
          <w:rFonts w:asciiTheme="minorHAnsi" w:hAnsiTheme="minorHAnsi"/>
          <w:b/>
        </w:rPr>
      </w:pPr>
    </w:p>
    <w:p w:rsidR="00707B91" w:rsidRDefault="00707B91" w:rsidP="00C34658">
      <w:pPr>
        <w:pStyle w:val="Heading3"/>
        <w:numPr>
          <w:ilvl w:val="0"/>
          <w:numId w:val="0"/>
        </w:numPr>
        <w:tabs>
          <w:tab w:val="clear" w:pos="720"/>
        </w:tabs>
        <w:spacing w:before="0"/>
        <w:rPr>
          <w:rFonts w:asciiTheme="minorHAnsi" w:hAnsiTheme="minorHAnsi"/>
          <w:b/>
        </w:rPr>
      </w:pPr>
    </w:p>
    <w:p w:rsidR="00F82416" w:rsidRDefault="00F82416" w:rsidP="00C34658">
      <w:pPr>
        <w:pStyle w:val="Heading3"/>
        <w:numPr>
          <w:ilvl w:val="0"/>
          <w:numId w:val="0"/>
        </w:numPr>
        <w:tabs>
          <w:tab w:val="clear" w:pos="720"/>
        </w:tabs>
        <w:spacing w:before="0"/>
        <w:rPr>
          <w:rFonts w:asciiTheme="minorHAnsi" w:hAnsiTheme="minorHAnsi"/>
          <w:b/>
        </w:rPr>
      </w:pPr>
    </w:p>
    <w:p w:rsidR="00F82416" w:rsidRDefault="00F82416" w:rsidP="00C34658">
      <w:pPr>
        <w:pStyle w:val="Heading3"/>
        <w:numPr>
          <w:ilvl w:val="0"/>
          <w:numId w:val="0"/>
        </w:numPr>
        <w:tabs>
          <w:tab w:val="clear" w:pos="720"/>
        </w:tabs>
        <w:spacing w:before="0"/>
        <w:rPr>
          <w:rFonts w:asciiTheme="minorHAnsi" w:hAnsiTheme="minorHAnsi"/>
          <w:b/>
        </w:rPr>
      </w:pPr>
    </w:p>
    <w:p w:rsidR="00A51013" w:rsidRDefault="00A51013" w:rsidP="00BA3941">
      <w:pPr>
        <w:pStyle w:val="Heading2"/>
        <w:numPr>
          <w:ilvl w:val="1"/>
          <w:numId w:val="23"/>
        </w:numPr>
      </w:pPr>
      <w:bookmarkStart w:id="2802" w:name="_Toc457355530"/>
      <w:r w:rsidRPr="00707B91">
        <w:t>ACTION TAKEN REPORT ON THE DIRECTIONS ISSUED BY THE COMMISSION IN THE ARR / TARIFF ORDER FOR FY 2016</w:t>
      </w:r>
      <w:r>
        <w:t>-17</w:t>
      </w:r>
      <w:bookmarkEnd w:id="2802"/>
    </w:p>
    <w:p w:rsidR="00023318" w:rsidRDefault="00023318" w:rsidP="00023318">
      <w:pPr>
        <w:pStyle w:val="Heading2"/>
        <w:numPr>
          <w:ilvl w:val="0"/>
          <w:numId w:val="0"/>
        </w:numPr>
        <w:ind w:left="780"/>
      </w:pPr>
    </w:p>
    <w:tbl>
      <w:tblPr>
        <w:tblW w:w="5083" w:type="pct"/>
        <w:tblLayout w:type="fixed"/>
        <w:tblLook w:val="04A0"/>
      </w:tblPr>
      <w:tblGrid>
        <w:gridCol w:w="919"/>
        <w:gridCol w:w="8459"/>
        <w:gridCol w:w="2757"/>
        <w:gridCol w:w="2270"/>
      </w:tblGrid>
      <w:tr w:rsidR="00707B91" w:rsidRPr="00835EE1" w:rsidTr="00E07DF6">
        <w:trPr>
          <w:trHeight w:val="630"/>
          <w:tblHeader/>
        </w:trPr>
        <w:tc>
          <w:tcPr>
            <w:tcW w:w="319" w:type="pct"/>
            <w:tcBorders>
              <w:top w:val="single" w:sz="4" w:space="0" w:color="auto"/>
              <w:left w:val="single" w:sz="4" w:space="0" w:color="auto"/>
              <w:bottom w:val="single" w:sz="4" w:space="0" w:color="auto"/>
              <w:right w:val="single" w:sz="4" w:space="0" w:color="auto"/>
            </w:tcBorders>
            <w:shd w:val="clear" w:color="000000" w:fill="C5D9F1"/>
            <w:hideMark/>
          </w:tcPr>
          <w:p w:rsidR="00B05011" w:rsidRDefault="00707B91">
            <w:pPr>
              <w:spacing w:line="240" w:lineRule="auto"/>
              <w:jc w:val="center"/>
              <w:rPr>
                <w:rFonts w:cstheme="minorHAnsi"/>
                <w:b/>
                <w:bCs/>
                <w:color w:val="000000" w:themeColor="text1"/>
              </w:rPr>
            </w:pPr>
            <w:r w:rsidRPr="00835EE1">
              <w:rPr>
                <w:rFonts w:cstheme="minorHAnsi"/>
                <w:b/>
                <w:bCs/>
                <w:color w:val="000000" w:themeColor="text1"/>
              </w:rPr>
              <w:lastRenderedPageBreak/>
              <w:t>Sl.No.</w:t>
            </w:r>
          </w:p>
        </w:tc>
        <w:tc>
          <w:tcPr>
            <w:tcW w:w="2936" w:type="pct"/>
            <w:tcBorders>
              <w:top w:val="single" w:sz="4" w:space="0" w:color="auto"/>
              <w:left w:val="nil"/>
              <w:bottom w:val="single" w:sz="4" w:space="0" w:color="auto"/>
              <w:right w:val="single" w:sz="4" w:space="0" w:color="auto"/>
            </w:tcBorders>
            <w:shd w:val="clear" w:color="000000" w:fill="C5D9F1"/>
            <w:hideMark/>
          </w:tcPr>
          <w:p w:rsidR="00B05011" w:rsidRDefault="00707B91">
            <w:pPr>
              <w:spacing w:line="240" w:lineRule="auto"/>
              <w:jc w:val="center"/>
              <w:rPr>
                <w:rFonts w:cstheme="minorHAnsi"/>
                <w:b/>
                <w:bCs/>
                <w:color w:val="000000" w:themeColor="text1"/>
              </w:rPr>
            </w:pPr>
            <w:r w:rsidRPr="00835EE1">
              <w:rPr>
                <w:rFonts w:cstheme="minorHAnsi"/>
                <w:b/>
                <w:bCs/>
                <w:color w:val="000000" w:themeColor="text1"/>
              </w:rPr>
              <w:t>Description of Directive</w:t>
            </w:r>
          </w:p>
        </w:tc>
        <w:tc>
          <w:tcPr>
            <w:tcW w:w="957" w:type="pct"/>
            <w:tcBorders>
              <w:top w:val="single" w:sz="4" w:space="0" w:color="auto"/>
              <w:left w:val="nil"/>
              <w:bottom w:val="single" w:sz="4" w:space="0" w:color="auto"/>
              <w:right w:val="single" w:sz="4" w:space="0" w:color="auto"/>
            </w:tcBorders>
            <w:shd w:val="clear" w:color="000000" w:fill="C5D9F1"/>
            <w:hideMark/>
          </w:tcPr>
          <w:p w:rsidR="00B05011" w:rsidRDefault="00707B91">
            <w:pPr>
              <w:spacing w:line="240" w:lineRule="auto"/>
              <w:jc w:val="center"/>
              <w:rPr>
                <w:rFonts w:cstheme="minorHAnsi"/>
                <w:b/>
                <w:bCs/>
                <w:color w:val="000000" w:themeColor="text1"/>
              </w:rPr>
            </w:pPr>
            <w:r w:rsidRPr="00835EE1">
              <w:rPr>
                <w:rFonts w:cstheme="minorHAnsi"/>
                <w:b/>
                <w:bCs/>
                <w:color w:val="000000" w:themeColor="text1"/>
              </w:rPr>
              <w:t>Time Period for compliance from the date of issue of the Tariff Order</w:t>
            </w:r>
          </w:p>
        </w:tc>
        <w:tc>
          <w:tcPr>
            <w:tcW w:w="788" w:type="pct"/>
            <w:tcBorders>
              <w:top w:val="single" w:sz="4" w:space="0" w:color="auto"/>
              <w:left w:val="nil"/>
              <w:bottom w:val="single" w:sz="4" w:space="0" w:color="auto"/>
              <w:right w:val="single" w:sz="4" w:space="0" w:color="auto"/>
            </w:tcBorders>
            <w:shd w:val="clear" w:color="000000" w:fill="C5D9F1"/>
          </w:tcPr>
          <w:p w:rsidR="00B05011" w:rsidRDefault="00707B91">
            <w:pPr>
              <w:spacing w:line="240" w:lineRule="auto"/>
              <w:jc w:val="center"/>
              <w:rPr>
                <w:rFonts w:cstheme="minorHAnsi"/>
                <w:b/>
                <w:bCs/>
                <w:color w:val="000000" w:themeColor="text1"/>
              </w:rPr>
            </w:pPr>
            <w:r>
              <w:rPr>
                <w:rFonts w:cstheme="minorHAnsi"/>
                <w:b/>
                <w:bCs/>
                <w:color w:val="000000" w:themeColor="text1"/>
              </w:rPr>
              <w:t>Status of Compliance</w:t>
            </w:r>
          </w:p>
        </w:tc>
      </w:tr>
      <w:tr w:rsidR="00707B91" w:rsidRPr="00835EE1" w:rsidTr="00707B91">
        <w:trPr>
          <w:trHeight w:val="386"/>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pressingly pursue the GoUP for finalisation of the Transfer Scheme and submit a copy of the same.</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2</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again reiterates its direction to the Licensee to ensure proper maintenance of detailed fixed assets registers as specified in the Distribution Tariff Regulations. As the fixed asset registers are pending since the creation of Discom, the Commission directs the Licensee to submit a status report and provide the proposed timelines / milestones for clearing the backlog. Also, the Petitioner must submit the Fixed Asset Register from FY 2012-13 to FY 2015-16 along with the </w:t>
            </w:r>
            <w:r>
              <w:rPr>
                <w:rFonts w:cstheme="minorHAnsi"/>
                <w:color w:val="000000" w:themeColor="text1"/>
              </w:rPr>
              <w:t>p</w:t>
            </w:r>
            <w:r w:rsidRPr="00835EE1">
              <w:rPr>
                <w:rFonts w:cstheme="minorHAnsi"/>
                <w:color w:val="000000" w:themeColor="text1"/>
              </w:rPr>
              <w:t>etition for FY 2017-18.</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Pr>
                <w:rFonts w:cstheme="minorHAnsi"/>
                <w:color w:val="000000" w:themeColor="text1"/>
              </w:rPr>
              <w:t>With</w:t>
            </w:r>
            <w:r w:rsidRPr="00835EE1">
              <w:rPr>
                <w:rFonts w:cstheme="minorHAnsi"/>
                <w:color w:val="000000" w:themeColor="text1"/>
              </w:rPr>
              <w:t xml:space="preserve"> next ARR filings</w:t>
            </w:r>
          </w:p>
        </w:tc>
        <w:tc>
          <w:tcPr>
            <w:tcW w:w="788" w:type="pct"/>
            <w:tcBorders>
              <w:top w:val="nil"/>
              <w:left w:val="nil"/>
              <w:bottom w:val="single" w:sz="4" w:space="0" w:color="auto"/>
              <w:right w:val="single" w:sz="4" w:space="0" w:color="auto"/>
            </w:tcBorders>
          </w:tcPr>
          <w:p w:rsidR="00707B91" w:rsidRDefault="00707B91" w:rsidP="00A459A2">
            <w:pPr>
              <w:spacing w:line="240" w:lineRule="auto"/>
              <w:rPr>
                <w:rFonts w:cstheme="minorHAnsi"/>
                <w:color w:val="000000" w:themeColor="text1"/>
              </w:rPr>
            </w:pPr>
          </w:p>
        </w:tc>
      </w:tr>
      <w:tr w:rsidR="00707B91" w:rsidRPr="00835EE1" w:rsidTr="00707B91">
        <w:trPr>
          <w:trHeight w:val="530"/>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3</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frame an appropriate policy on capitalization of (i) employee costs, and (ii) A&amp;G expenses.</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57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4</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submit Fresh Actuarial Valuation Study Report in respect to employee expenses.</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5</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As lack of approved transparent policy on identifying and writing off bad debts is hindering allowance of bad debts as an ARR component; the Commission directs the Licensee to submit ten sample cases of LT &amp; HT consumers where orders have been issued for writing off bad debts, clearly depicting the procedure adopted for writing off bad debts along with policy framework for managing bad debts for the Commission’s perusal.</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242"/>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6</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directs the Licensee to evolve principles for prudent segregation of </w:t>
            </w:r>
            <w:r w:rsidRPr="00835EE1">
              <w:rPr>
                <w:rFonts w:cstheme="minorHAnsi"/>
                <w:color w:val="000000" w:themeColor="text1"/>
              </w:rPr>
              <w:lastRenderedPageBreak/>
              <w:t>ARR towards wheeling function and retail supply function embedded in the distribution function in accordance with Regulation 36 of the Multi Year Tariff Regulations, 2014. Further the Licensee is directed to submit the draft Term of Reference for the approval of the Commission.</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7</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directs the Licensee to submit a business plan for the control period i.e. from April 1, 2017 to March 31, 2020   in accordance with Regulation </w:t>
            </w:r>
            <w:r>
              <w:rPr>
                <w:rFonts w:cstheme="minorHAnsi"/>
                <w:color w:val="000000" w:themeColor="text1"/>
              </w:rPr>
              <w:t xml:space="preserve">5, </w:t>
            </w:r>
            <w:r w:rsidRPr="00835EE1">
              <w:rPr>
                <w:rFonts w:cstheme="minorHAnsi"/>
                <w:color w:val="000000" w:themeColor="text1"/>
              </w:rPr>
              <w:t xml:space="preserve">12.1 &amp; 13.1 of the Multi Year Tariff Regulations, 2014. The Licensee in such business plan shall submit but not limited  to  detailed  category-wise  sales  and  demand  projections,  power  procurement  plan, capital investment plan, financing plan and physical targets. The licensee should note that the specified timeline of June 1, 2016 for submission of the same under the Multi Year Tariff Regulation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242"/>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8</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directs the Licensee to conduct benchmarking studies to determine the desired performance standards in accordance with Regulation 4.2.1 of the Multi Year Tariff Regulations, 2014. The licensee should note that specified timeline of September 30,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728"/>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9</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ensure 100 % compliance of the Commission's Orders and targets to achieve 100% metering. The Licensee should submit the Quarterly progress report in this regard</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75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1</w:t>
            </w:r>
            <w:r w:rsidR="001146CA">
              <w:rPr>
                <w:rFonts w:cstheme="minorHAnsi"/>
                <w:color w:val="000000" w:themeColor="text1"/>
              </w:rPr>
              <w:t>0</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submit data related to its peak demand and off peak demand in MW along with its sales projections in accordance with Clause 3.1.4 of the Distribution Tariff Regulations. Licensee should submit the same for its licensee area.</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341"/>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1</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once again directs the Licensee to reconcile the inter-unit balances lying un-reconciled either itself or through independent chartered accountant firms. The Commission has trued-up the ARR for various years. However, it has been observed that the amount shown in head of inter-unit balance is very high and a detailed reconciliation and breakup of the same should be submitted to the Commission. The above details should be submitted for FY 2011-12, FY 2012-13, 2013-14, 2014-15 and 2015-16.</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2</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once again directs the licensee that they should file FPPCA in a timely and regular manner failing which the Commission may have to resort to take strict action against the Licensee like disallowance of additional power purchase expenses and the associated carrying cost on account of additional Power Purchase expenses or any other action that the Commission may deem fit while doing the Truing up.</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3</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Licensee to submit the consumer category and sub-category wise Regulatory Surcharges collected for each year till FY 2015-16 (December) since inception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1</w:t>
            </w:r>
            <w:r w:rsidR="001146CA">
              <w:rPr>
                <w:rFonts w:cstheme="minorHAnsi"/>
                <w:color w:val="000000" w:themeColor="text1"/>
              </w:rPr>
              <w:t>4</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reiterates that the Licensee should adhere to the time line outlined in Uttar Pradesh Electricity Regulatory Commission (Multi Year Distribution Tariff) Regulations, 2014 for conducting a detailed study to provide accurate and effective consumption norms as specified by the Commission in its earlier directions. The licensee should note that specified timeline of December 1,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5</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once again directs the Distribution Licensee to formulate a mechanism so as to make their officials accountable by providing incentives or disincentives for achievement or non-achievement of the distribution loss and the collection efficiency targets.  The Licensee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57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6</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Petitioner to sign the MoUs to be implemented at all levels and submit the copy of the same to the Commission</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7</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Petitioner should complete the Assessment Study of metered consumers as per the Regulations 16.2 notified vide MYT Regulations, 2014 and subsequently submit the report to the Commission. The licensee should note that specified timeline of September 30, 2015 for submission of the same under the Multi Year Tariff Regulation, 2014 has expired.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945"/>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1</w:t>
            </w:r>
            <w:r w:rsidR="001146CA">
              <w:rPr>
                <w:rFonts w:cstheme="minorHAnsi"/>
                <w:color w:val="000000" w:themeColor="text1"/>
              </w:rPr>
              <w:t>8</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Petitioner should complete the Assessment Study of un-metered consumers to establish base line norms as per the Regulations 17.1 notified vide MYT Regulations, </w:t>
            </w:r>
            <w:r w:rsidRPr="00835EE1">
              <w:rPr>
                <w:rFonts w:cstheme="minorHAnsi"/>
                <w:color w:val="000000" w:themeColor="text1"/>
              </w:rPr>
              <w:lastRenderedPageBreak/>
              <w:t xml:space="preserve">2014 and subsequently submit the report to the Commission. The licensee should note that specified timeline of December 1, 2015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152"/>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1146CA" w:rsidP="00A459A2">
            <w:pPr>
              <w:spacing w:line="240" w:lineRule="auto"/>
              <w:rPr>
                <w:rFonts w:cstheme="minorHAnsi"/>
                <w:color w:val="000000" w:themeColor="text1"/>
              </w:rPr>
            </w:pPr>
            <w:r>
              <w:rPr>
                <w:rFonts w:cstheme="minorHAnsi"/>
                <w:color w:val="000000" w:themeColor="text1"/>
              </w:rPr>
              <w:lastRenderedPageBreak/>
              <w:t>19</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Petitioner should submit Roadmap for Reduction of Cross Subsidy as per the Regulation 39 notified vide MYT Regulations, 2014. The licensee should note that specified timeline of October, 2014 for submission of the same under the Multi Year Tariff Regulation, 2014 </w:t>
            </w:r>
            <w:r>
              <w:rPr>
                <w:rFonts w:cstheme="minorHAnsi"/>
                <w:color w:val="000000" w:themeColor="text1"/>
              </w:rPr>
              <w:t>is over</w:t>
            </w:r>
            <w:r w:rsidRPr="00835EE1">
              <w:rPr>
                <w:rFonts w:cstheme="minorHAnsi"/>
                <w:color w:val="000000" w:themeColor="text1"/>
              </w:rPr>
              <w:t>. The Licens</w:t>
            </w:r>
            <w:r>
              <w:rPr>
                <w:rFonts w:cstheme="minorHAnsi"/>
                <w:color w:val="000000" w:themeColor="text1"/>
              </w:rPr>
              <w:t>e</w:t>
            </w:r>
            <w:r w:rsidRPr="00835EE1">
              <w:rPr>
                <w:rFonts w:cstheme="minorHAnsi"/>
                <w:color w:val="000000" w:themeColor="text1"/>
              </w:rPr>
              <w:t>e should submit the same at the earliest.</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422"/>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2</w:t>
            </w:r>
            <w:r w:rsidR="001146CA">
              <w:rPr>
                <w:rFonts w:cstheme="minorHAnsi"/>
                <w:color w:val="000000" w:themeColor="text1"/>
              </w:rPr>
              <w:t>0</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Petitioner should submit month wise details of number of supply hours for urban area for FY 2014-15 &amp; FY 2015-1</w:t>
            </w:r>
            <w:r>
              <w:rPr>
                <w:rFonts w:cstheme="minorHAnsi"/>
                <w:color w:val="000000" w:themeColor="text1"/>
              </w:rPr>
              <w:t>6</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Within one month from issue of this  Order</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242"/>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2</w:t>
            </w:r>
            <w:r w:rsidR="001146CA">
              <w:rPr>
                <w:rFonts w:cstheme="minorHAnsi"/>
                <w:color w:val="000000" w:themeColor="text1"/>
              </w:rPr>
              <w:t>1</w:t>
            </w:r>
          </w:p>
        </w:tc>
        <w:tc>
          <w:tcPr>
            <w:tcW w:w="2936" w:type="pct"/>
            <w:tcBorders>
              <w:top w:val="nil"/>
              <w:left w:val="nil"/>
              <w:bottom w:val="single" w:sz="4" w:space="0" w:color="auto"/>
              <w:right w:val="single" w:sz="4" w:space="0" w:color="auto"/>
            </w:tcBorders>
            <w:shd w:val="clear" w:color="auto" w:fill="auto"/>
            <w:noWrap/>
            <w:hideMark/>
          </w:tcPr>
          <w:p w:rsidR="00707B91" w:rsidRDefault="00707B91" w:rsidP="00A459A2">
            <w:pPr>
              <w:spacing w:line="240" w:lineRule="auto"/>
              <w:rPr>
                <w:rFonts w:cstheme="minorHAnsi"/>
                <w:color w:val="000000" w:themeColor="text1"/>
              </w:rPr>
            </w:pPr>
            <w:r w:rsidRPr="00835EE1">
              <w:rPr>
                <w:rFonts w:cstheme="minorHAnsi"/>
                <w:color w:val="000000" w:themeColor="text1"/>
              </w:rPr>
              <w:t>Petitioner should submit</w:t>
            </w:r>
            <w:r>
              <w:rPr>
                <w:rFonts w:cstheme="minorHAnsi"/>
                <w:color w:val="000000" w:themeColor="text1"/>
              </w:rPr>
              <w:t xml:space="preserve"> actual </w:t>
            </w:r>
            <w:r w:rsidRPr="00835EE1">
              <w:rPr>
                <w:rFonts w:cstheme="minorHAnsi"/>
                <w:color w:val="000000" w:themeColor="text1"/>
              </w:rPr>
              <w:t>distribution loss in FY 2014-15 &amp; FY 2015-16. The Petitioner is hereby directed to submit the relevant information at the earliest from the issuance of this Order.</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At the earliest</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701"/>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2</w:t>
            </w:r>
            <w:r w:rsidR="001146CA">
              <w:rPr>
                <w:rFonts w:cstheme="minorHAnsi"/>
                <w:color w:val="000000" w:themeColor="text1"/>
              </w:rPr>
              <w:t>2</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The Commission directs the Petitioner to frame guidelines and procedures for identifying, physically verifying and writing off the bad debts and also to fix responsibility of its employees in this regard and submit the same to the Commission for its approval.</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Immediate</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707B91">
        <w:trPr>
          <w:trHeight w:val="737"/>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2</w:t>
            </w:r>
            <w:r w:rsidR="001146CA">
              <w:rPr>
                <w:rFonts w:cstheme="minorHAnsi"/>
                <w:color w:val="000000" w:themeColor="text1"/>
              </w:rPr>
              <w:t>3</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directs the Licensee </w:t>
            </w:r>
            <w:r>
              <w:rPr>
                <w:rFonts w:cstheme="minorHAnsi"/>
                <w:color w:val="000000" w:themeColor="text1"/>
              </w:rPr>
              <w:t xml:space="preserve">that </w:t>
            </w:r>
            <w:r w:rsidRPr="00835EE1">
              <w:rPr>
                <w:rFonts w:cstheme="minorHAnsi"/>
                <w:color w:val="000000" w:themeColor="text1"/>
              </w:rPr>
              <w:t xml:space="preserve">it should clearly depict the total power purchase cost incurred at UPPCL level, total power purchase cost paid by the Licensee to UPPCL and power cost payable to UPPCL for the </w:t>
            </w:r>
            <w:r>
              <w:rPr>
                <w:rFonts w:cstheme="minorHAnsi"/>
                <w:color w:val="000000" w:themeColor="text1"/>
              </w:rPr>
              <w:t>year 2016.</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At the time of</w:t>
            </w:r>
            <w:r>
              <w:rPr>
                <w:rFonts w:cstheme="minorHAnsi"/>
                <w:color w:val="000000" w:themeColor="text1"/>
              </w:rPr>
              <w:t xml:space="preserve"> next</w:t>
            </w:r>
            <w:r w:rsidRPr="00835EE1">
              <w:rPr>
                <w:rFonts w:cstheme="minorHAnsi"/>
                <w:color w:val="000000" w:themeColor="text1"/>
              </w:rPr>
              <w:t xml:space="preserve"> ARR filings</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707B91" w:rsidRPr="00835EE1" w:rsidTr="00C7686C">
        <w:trPr>
          <w:trHeight w:val="1916"/>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lastRenderedPageBreak/>
              <w:t>2</w:t>
            </w:r>
            <w:r w:rsidR="001146CA">
              <w:rPr>
                <w:rFonts w:cstheme="minorHAnsi"/>
                <w:color w:val="000000" w:themeColor="text1"/>
              </w:rPr>
              <w:t>4</w:t>
            </w:r>
          </w:p>
        </w:tc>
        <w:tc>
          <w:tcPr>
            <w:tcW w:w="2936" w:type="pct"/>
            <w:tcBorders>
              <w:top w:val="nil"/>
              <w:left w:val="nil"/>
              <w:bottom w:val="single" w:sz="4" w:space="0" w:color="auto"/>
              <w:right w:val="single" w:sz="4" w:space="0" w:color="auto"/>
            </w:tcBorders>
            <w:shd w:val="clear" w:color="auto" w:fill="auto"/>
            <w:noWrap/>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 xml:space="preserve">The Commission directs UPPCL to submit a </w:t>
            </w:r>
            <w:r>
              <w:rPr>
                <w:rFonts w:cstheme="minorHAnsi"/>
                <w:color w:val="000000" w:themeColor="text1"/>
              </w:rPr>
              <w:t xml:space="preserve">monthly </w:t>
            </w:r>
            <w:r w:rsidRPr="00835EE1">
              <w:rPr>
                <w:rFonts w:cstheme="minorHAnsi"/>
                <w:color w:val="000000" w:themeColor="text1"/>
              </w:rPr>
              <w:t>power purchase plan showing that how it will take the advantage of cheaper power either through the Energy Exchanges or other sources. The Commission would monitor the steps taken by UPPCL in future on monthly basis. UPPCL should submit the details of monthly power procurement to the Commission highlighting the efforts made by it in the light of observations made by the Commission.”</w:t>
            </w:r>
          </w:p>
        </w:tc>
        <w:tc>
          <w:tcPr>
            <w:tcW w:w="957" w:type="pct"/>
            <w:tcBorders>
              <w:top w:val="nil"/>
              <w:left w:val="nil"/>
              <w:bottom w:val="single" w:sz="4" w:space="0" w:color="auto"/>
              <w:right w:val="single" w:sz="4" w:space="0" w:color="auto"/>
            </w:tcBorders>
            <w:shd w:val="clear" w:color="auto" w:fill="auto"/>
            <w:hideMark/>
          </w:tcPr>
          <w:p w:rsidR="00707B91" w:rsidRPr="00835EE1" w:rsidRDefault="00707B91" w:rsidP="00A459A2">
            <w:pPr>
              <w:spacing w:line="240" w:lineRule="auto"/>
              <w:rPr>
                <w:rFonts w:cstheme="minorHAnsi"/>
                <w:color w:val="000000" w:themeColor="text1"/>
              </w:rPr>
            </w:pPr>
            <w:r w:rsidRPr="00835EE1">
              <w:rPr>
                <w:rFonts w:cstheme="minorHAnsi"/>
                <w:color w:val="000000" w:themeColor="text1"/>
              </w:rPr>
              <w:t>Monthly Basis</w:t>
            </w:r>
          </w:p>
        </w:tc>
        <w:tc>
          <w:tcPr>
            <w:tcW w:w="788" w:type="pct"/>
            <w:tcBorders>
              <w:top w:val="nil"/>
              <w:left w:val="nil"/>
              <w:bottom w:val="single" w:sz="4" w:space="0" w:color="auto"/>
              <w:right w:val="single" w:sz="4" w:space="0" w:color="auto"/>
            </w:tcBorders>
          </w:tcPr>
          <w:p w:rsidR="00707B91" w:rsidRPr="00835EE1" w:rsidRDefault="00707B91" w:rsidP="00A459A2">
            <w:pPr>
              <w:spacing w:line="240" w:lineRule="auto"/>
              <w:rPr>
                <w:rFonts w:cstheme="minorHAnsi"/>
                <w:color w:val="000000" w:themeColor="text1"/>
              </w:rPr>
            </w:pPr>
          </w:p>
        </w:tc>
      </w:tr>
      <w:tr w:rsidR="00063BFC" w:rsidRPr="00835EE1" w:rsidTr="00707B91">
        <w:trPr>
          <w:trHeight w:val="629"/>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063BFC" w:rsidRPr="00835EE1" w:rsidRDefault="00063BFC" w:rsidP="00A459A2">
            <w:pPr>
              <w:spacing w:line="240" w:lineRule="auto"/>
              <w:rPr>
                <w:rFonts w:cstheme="minorHAnsi"/>
                <w:color w:val="000000" w:themeColor="text1"/>
              </w:rPr>
            </w:pPr>
            <w:r w:rsidRPr="00835EE1">
              <w:rPr>
                <w:rFonts w:cstheme="minorHAnsi"/>
                <w:color w:val="000000" w:themeColor="text1"/>
              </w:rPr>
              <w:t>2</w:t>
            </w:r>
            <w:r>
              <w:rPr>
                <w:rFonts w:cstheme="minorHAnsi"/>
                <w:color w:val="000000" w:themeColor="text1"/>
              </w:rPr>
              <w:t>5</w:t>
            </w:r>
          </w:p>
        </w:tc>
        <w:tc>
          <w:tcPr>
            <w:tcW w:w="2936" w:type="pct"/>
            <w:tcBorders>
              <w:top w:val="nil"/>
              <w:left w:val="nil"/>
              <w:bottom w:val="single" w:sz="4" w:space="0" w:color="auto"/>
              <w:right w:val="single" w:sz="4" w:space="0" w:color="auto"/>
            </w:tcBorders>
            <w:shd w:val="clear" w:color="auto" w:fill="auto"/>
            <w:noWrap/>
            <w:hideMark/>
          </w:tcPr>
          <w:p w:rsidR="00063BFC" w:rsidRPr="00835EE1" w:rsidRDefault="00063BFC" w:rsidP="00A459A2">
            <w:pPr>
              <w:spacing w:line="240" w:lineRule="auto"/>
              <w:rPr>
                <w:rFonts w:cstheme="minorHAnsi"/>
                <w:color w:val="000000" w:themeColor="text1"/>
              </w:rPr>
            </w:pPr>
            <w:r w:rsidRPr="00835EE1">
              <w:rPr>
                <w:rFonts w:cstheme="minorHAnsi"/>
                <w:color w:val="000000" w:themeColor="text1"/>
              </w:rPr>
              <w:t>The Petitioner should file the MYT Petition for the Control FY 2017-18 to FY 2019-20 as per the Regulations 12.2, 12.7, 12.8 &amp; 12.9 as per MYT Regulations, 2014</w:t>
            </w:r>
          </w:p>
        </w:tc>
        <w:tc>
          <w:tcPr>
            <w:tcW w:w="957" w:type="pct"/>
            <w:tcBorders>
              <w:top w:val="nil"/>
              <w:left w:val="nil"/>
              <w:bottom w:val="single" w:sz="4" w:space="0" w:color="auto"/>
              <w:right w:val="single" w:sz="4" w:space="0" w:color="auto"/>
            </w:tcBorders>
            <w:shd w:val="clear" w:color="auto" w:fill="auto"/>
            <w:hideMark/>
          </w:tcPr>
          <w:p w:rsidR="00063BFC" w:rsidRPr="00835EE1" w:rsidRDefault="00063BFC" w:rsidP="00A459A2">
            <w:pPr>
              <w:spacing w:line="240" w:lineRule="auto"/>
              <w:rPr>
                <w:rFonts w:cstheme="minorHAnsi"/>
                <w:color w:val="000000" w:themeColor="text1"/>
              </w:rPr>
            </w:pPr>
            <w:r w:rsidRPr="00835EE1">
              <w:rPr>
                <w:rFonts w:cstheme="minorHAnsi"/>
                <w:color w:val="000000" w:themeColor="text1"/>
              </w:rPr>
              <w:t>As per MYT timeline</w:t>
            </w:r>
          </w:p>
        </w:tc>
        <w:tc>
          <w:tcPr>
            <w:tcW w:w="788" w:type="pct"/>
            <w:tcBorders>
              <w:top w:val="nil"/>
              <w:left w:val="nil"/>
              <w:bottom w:val="single" w:sz="4" w:space="0" w:color="auto"/>
              <w:right w:val="single" w:sz="4" w:space="0" w:color="auto"/>
            </w:tcBorders>
          </w:tcPr>
          <w:p w:rsidR="00063BFC" w:rsidRPr="00835EE1" w:rsidRDefault="00063BFC" w:rsidP="00A459A2">
            <w:pPr>
              <w:spacing w:line="240" w:lineRule="auto"/>
              <w:rPr>
                <w:rFonts w:cstheme="minorHAnsi"/>
                <w:color w:val="000000" w:themeColor="text1"/>
              </w:rPr>
            </w:pPr>
          </w:p>
        </w:tc>
      </w:tr>
      <w:tr w:rsidR="00063BFC" w:rsidRPr="00835EE1" w:rsidTr="000F26D5">
        <w:trPr>
          <w:trHeight w:val="629"/>
        </w:trPr>
        <w:tc>
          <w:tcPr>
            <w:tcW w:w="319" w:type="pct"/>
            <w:tcBorders>
              <w:top w:val="nil"/>
              <w:left w:val="single" w:sz="4" w:space="0" w:color="auto"/>
              <w:bottom w:val="single" w:sz="4" w:space="0" w:color="auto"/>
              <w:right w:val="single" w:sz="4" w:space="0" w:color="auto"/>
            </w:tcBorders>
            <w:shd w:val="clear" w:color="auto" w:fill="auto"/>
            <w:vAlign w:val="center"/>
            <w:hideMark/>
          </w:tcPr>
          <w:p w:rsidR="00063BFC" w:rsidRPr="00C7686C"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26</w:t>
            </w:r>
          </w:p>
        </w:tc>
        <w:tc>
          <w:tcPr>
            <w:tcW w:w="2936" w:type="pct"/>
            <w:tcBorders>
              <w:top w:val="nil"/>
              <w:left w:val="nil"/>
              <w:bottom w:val="single" w:sz="4" w:space="0" w:color="auto"/>
              <w:right w:val="single" w:sz="4" w:space="0" w:color="auto"/>
            </w:tcBorders>
            <w:shd w:val="clear" w:color="auto" w:fill="auto"/>
            <w:noWrap/>
            <w:hideMark/>
          </w:tcPr>
          <w:p w:rsidR="00063BFC" w:rsidRPr="00C7686C"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The Commission directs the Petitioner to submit a proposal for “Rate Schedule” linked to number of hours of supply.</w:t>
            </w:r>
          </w:p>
        </w:tc>
        <w:tc>
          <w:tcPr>
            <w:tcW w:w="957" w:type="pct"/>
            <w:tcBorders>
              <w:top w:val="nil"/>
              <w:left w:val="nil"/>
              <w:bottom w:val="single" w:sz="4" w:space="0" w:color="auto"/>
              <w:right w:val="single" w:sz="4" w:space="0" w:color="auto"/>
            </w:tcBorders>
            <w:shd w:val="clear" w:color="auto" w:fill="auto"/>
            <w:hideMark/>
          </w:tcPr>
          <w:p w:rsidR="00063BFC" w:rsidRPr="00C7686C" w:rsidRDefault="00E65D3C" w:rsidP="00A459A2">
            <w:pPr>
              <w:spacing w:line="240" w:lineRule="auto"/>
              <w:rPr>
                <w:rFonts w:cstheme="minorHAnsi"/>
                <w:color w:val="000000" w:themeColor="text1"/>
              </w:rPr>
            </w:pPr>
            <w:r w:rsidRPr="00E65D3C">
              <w:rPr>
                <w:rFonts w:asciiTheme="minorHAnsi" w:hAnsiTheme="minorHAnsi" w:cstheme="minorHAnsi"/>
                <w:color w:val="000000" w:themeColor="text1"/>
                <w:szCs w:val="22"/>
              </w:rPr>
              <w:t>At the time of next ARR filings</w:t>
            </w:r>
          </w:p>
        </w:tc>
        <w:tc>
          <w:tcPr>
            <w:tcW w:w="788" w:type="pct"/>
            <w:tcBorders>
              <w:top w:val="nil"/>
              <w:left w:val="nil"/>
              <w:bottom w:val="single" w:sz="4" w:space="0" w:color="auto"/>
              <w:right w:val="single" w:sz="4" w:space="0" w:color="auto"/>
            </w:tcBorders>
          </w:tcPr>
          <w:p w:rsidR="00063BFC" w:rsidRPr="00C7686C" w:rsidRDefault="00063BFC" w:rsidP="00A459A2">
            <w:pPr>
              <w:spacing w:line="240" w:lineRule="auto"/>
              <w:rPr>
                <w:rFonts w:cstheme="minorHAnsi"/>
                <w:color w:val="000000" w:themeColor="text1"/>
              </w:rPr>
            </w:pPr>
          </w:p>
        </w:tc>
      </w:tr>
      <w:tr w:rsidR="000F26D5" w:rsidRPr="00835EE1" w:rsidTr="000F26D5">
        <w:trPr>
          <w:trHeight w:val="629"/>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26D5" w:rsidRPr="00E65D3C" w:rsidRDefault="000F26D5" w:rsidP="00A459A2">
            <w:pPr>
              <w:spacing w:line="240" w:lineRule="auto"/>
              <w:rPr>
                <w:rFonts w:asciiTheme="minorHAnsi" w:hAnsiTheme="minorHAnsi" w:cstheme="minorHAnsi"/>
                <w:color w:val="000000" w:themeColor="text1"/>
                <w:szCs w:val="22"/>
              </w:rPr>
            </w:pPr>
            <w:r>
              <w:rPr>
                <w:rFonts w:asciiTheme="minorHAnsi" w:hAnsiTheme="minorHAnsi" w:cstheme="minorHAnsi"/>
                <w:color w:val="000000" w:themeColor="text1"/>
                <w:szCs w:val="22"/>
              </w:rPr>
              <w:t>27</w:t>
            </w:r>
          </w:p>
        </w:tc>
        <w:tc>
          <w:tcPr>
            <w:tcW w:w="2936" w:type="pct"/>
            <w:tcBorders>
              <w:top w:val="single" w:sz="4" w:space="0" w:color="auto"/>
              <w:left w:val="nil"/>
              <w:bottom w:val="single" w:sz="4" w:space="0" w:color="auto"/>
              <w:right w:val="single" w:sz="4" w:space="0" w:color="auto"/>
            </w:tcBorders>
            <w:shd w:val="clear" w:color="auto" w:fill="auto"/>
            <w:noWrap/>
            <w:hideMark/>
          </w:tcPr>
          <w:p w:rsidR="000F26D5" w:rsidRPr="00E65D3C" w:rsidRDefault="000F26D5" w:rsidP="00A459A2">
            <w:pPr>
              <w:spacing w:line="240" w:lineRule="auto"/>
              <w:rPr>
                <w:rFonts w:asciiTheme="minorHAnsi" w:hAnsiTheme="minorHAnsi" w:cstheme="minorHAnsi"/>
                <w:color w:val="000000" w:themeColor="text1"/>
                <w:szCs w:val="22"/>
              </w:rPr>
            </w:pPr>
            <w:r>
              <w:rPr>
                <w:rFonts w:cstheme="minorHAnsi"/>
                <w:color w:val="000000" w:themeColor="text1"/>
              </w:rPr>
              <w:t>The Licensee is directed to explore the possibility of having TOD tariff structure for domestic and non-domestic categories and submit their proposal.</w:t>
            </w:r>
          </w:p>
        </w:tc>
        <w:tc>
          <w:tcPr>
            <w:tcW w:w="957" w:type="pct"/>
            <w:tcBorders>
              <w:top w:val="single" w:sz="4" w:space="0" w:color="auto"/>
              <w:left w:val="nil"/>
              <w:bottom w:val="single" w:sz="4" w:space="0" w:color="auto"/>
              <w:right w:val="single" w:sz="4" w:space="0" w:color="auto"/>
            </w:tcBorders>
            <w:shd w:val="clear" w:color="auto" w:fill="auto"/>
            <w:hideMark/>
          </w:tcPr>
          <w:p w:rsidR="000F26D5" w:rsidRPr="00E65D3C" w:rsidRDefault="000F26D5" w:rsidP="00A459A2">
            <w:pPr>
              <w:spacing w:line="240" w:lineRule="auto"/>
              <w:rPr>
                <w:rFonts w:asciiTheme="minorHAnsi" w:hAnsiTheme="minorHAnsi" w:cstheme="minorHAnsi"/>
                <w:color w:val="000000" w:themeColor="text1"/>
                <w:szCs w:val="22"/>
              </w:rPr>
            </w:pPr>
            <w:r w:rsidRPr="006C63AF">
              <w:rPr>
                <w:rFonts w:cstheme="minorHAnsi"/>
                <w:color w:val="000000" w:themeColor="text1"/>
              </w:rPr>
              <w:t>At the time of next ARR filings</w:t>
            </w:r>
          </w:p>
        </w:tc>
        <w:tc>
          <w:tcPr>
            <w:tcW w:w="788" w:type="pct"/>
            <w:tcBorders>
              <w:top w:val="single" w:sz="4" w:space="0" w:color="auto"/>
              <w:left w:val="nil"/>
              <w:bottom w:val="single" w:sz="4" w:space="0" w:color="auto"/>
              <w:right w:val="single" w:sz="4" w:space="0" w:color="auto"/>
            </w:tcBorders>
          </w:tcPr>
          <w:p w:rsidR="000F26D5" w:rsidRPr="00C7686C" w:rsidRDefault="000F26D5" w:rsidP="00A459A2">
            <w:pPr>
              <w:spacing w:line="240" w:lineRule="auto"/>
              <w:rPr>
                <w:rFonts w:cstheme="minorHAnsi"/>
                <w:color w:val="000000" w:themeColor="text1"/>
              </w:rPr>
            </w:pPr>
          </w:p>
        </w:tc>
      </w:tr>
    </w:tbl>
    <w:p w:rsidR="003D16C3" w:rsidRDefault="003D16C3">
      <w:pPr>
        <w:pStyle w:val="Heading2"/>
        <w:numPr>
          <w:ilvl w:val="0"/>
          <w:numId w:val="0"/>
        </w:numPr>
        <w:ind w:left="780"/>
        <w:rPr>
          <w:b w:val="0"/>
        </w:rPr>
      </w:pPr>
    </w:p>
    <w:sectPr w:rsidR="003D16C3" w:rsidSect="00C34658">
      <w:pgSz w:w="16834" w:h="11909" w:orient="landscape"/>
      <w:pgMar w:top="1800" w:right="1440" w:bottom="1440" w:left="1440" w:header="720" w:footer="720" w:gutter="0"/>
      <w:pgNumType w:chapSep="colon"/>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F44" w:rsidRDefault="00EB1F44">
      <w:r>
        <w:separator/>
      </w:r>
    </w:p>
  </w:endnote>
  <w:endnote w:type="continuationSeparator" w:id="1">
    <w:p w:rsidR="00EB1F44" w:rsidRDefault="00EB1F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TE23FEB88t00">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Default="004A2D9E" w:rsidP="004B0510">
    <w:pPr>
      <w:pStyle w:val="Footer"/>
      <w:rPr>
        <w:rFonts w:cs="Tahoma"/>
        <w:b/>
        <w:bCs/>
        <w:i/>
        <w:iCs/>
        <w:sz w:val="8"/>
        <w:lang w:val="en-US"/>
      </w:rPr>
    </w:pPr>
    <w:r w:rsidRPr="004A2D9E">
      <w:rPr>
        <w:rFonts w:cs="Tahoma"/>
        <w:b/>
        <w:bCs/>
        <w:i/>
        <w:iCs/>
        <w:noProof/>
        <w:sz w:val="8"/>
        <w:lang w:val="en-US"/>
      </w:rPr>
      <w:pict>
        <v:line id="_x0000_s2062" style="position:absolute;left:0;text-align:left;z-index:2516531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6x8bCICAAA5BAAADgAAAAAAAAAAAAAAAAAuAgAAZHJzL2Uyb0RvYy54&#10;bWxQSwECLQAUAAYACAAAACEAJpeGRN8AAAAOAQAADwAAAAAAAAAAAAAAAAB8BAAAZHJzL2Rvd25y&#10;ZXYueG1sUEsFBgAAAAAEAAQA8wAAAIgFAAAAAA==&#10;" strokecolor="#1f497d" strokeweight="1.25pt"/>
      </w:pict>
    </w:r>
    <w:r w:rsidRPr="004A2D9E">
      <w:rPr>
        <w:rFonts w:cs="Tahoma"/>
        <w:b/>
        <w:bCs/>
        <w:i/>
        <w:iCs/>
        <w:noProof/>
        <w:sz w:val="8"/>
        <w:lang w:val="en-US"/>
      </w:rPr>
      <w:pict>
        <v:line id="_x0000_s2061" style="position:absolute;left:0;text-align:left;z-index:251652096;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f2hIIQIAADkEAAAOAAAAAAAAAAAAAAAAAC4CAABkcnMvZTJvRG9jLnht&#10;bFBLAQItABQABgAIAAAAIQAml4ZE3wAAAA4BAAAPAAAAAAAAAAAAAAAAAHsEAABkcnMvZG93bnJl&#10;di54bWxQSwUGAAAAAAQABADzAAAAhwUAAAAA&#10;" strokecolor="#1f497d" strokeweight="1.25pt"/>
      </w:pict>
    </w:r>
  </w:p>
  <w:p w:rsidR="00D146E1" w:rsidRPr="007E05F1" w:rsidRDefault="004A2D9E" w:rsidP="004B0510">
    <w:pPr>
      <w:pStyle w:val="Footer"/>
      <w:tabs>
        <w:tab w:val="clear" w:pos="4320"/>
        <w:tab w:val="clear" w:pos="8640"/>
      </w:tabs>
      <w:jc w:val="left"/>
      <w:rPr>
        <w:rFonts w:cs="Tahoma"/>
        <w:sz w:val="20"/>
        <w:szCs w:val="20"/>
        <w:lang w:val="en-US"/>
      </w:rPr>
    </w:pPr>
    <w:r w:rsidRPr="004A2D9E">
      <w:rPr>
        <w:noProof/>
        <w:lang w:val="en-IN" w:eastAsia="en-IN"/>
      </w:rPr>
      <w:pict>
        <v:line id="_x0000_s2064" style="position:absolute;z-index:251655168;visibility:visible" from="10.35pt,-.1pt" to="466.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Pr>
        <w:rFonts w:cs="Tahoma"/>
        <w:sz w:val="20"/>
        <w:szCs w:val="20"/>
        <w:lang w:val="en-US"/>
      </w:rPr>
      <w:tab/>
    </w:r>
    <w:r w:rsidR="00D146E1" w:rsidRPr="007E05F1">
      <w:rPr>
        <w:rFonts w:cs="Tahoma"/>
        <w:sz w:val="20"/>
        <w:szCs w:val="20"/>
        <w:lang w:val="en-US"/>
      </w:rPr>
      <w:t xml:space="preserve">Page </w:t>
    </w:r>
    <w:r w:rsidRPr="007E05F1">
      <w:rPr>
        <w:rFonts w:cs="Tahoma"/>
        <w:sz w:val="20"/>
        <w:szCs w:val="20"/>
        <w:lang w:val="en-US"/>
      </w:rPr>
      <w:fldChar w:fldCharType="begin"/>
    </w:r>
    <w:r w:rsidR="00D146E1" w:rsidRPr="007E05F1">
      <w:rPr>
        <w:rFonts w:cs="Tahoma"/>
        <w:sz w:val="20"/>
        <w:szCs w:val="20"/>
        <w:lang w:val="en-US"/>
      </w:rPr>
      <w:instrText xml:space="preserve"> PAGE </w:instrText>
    </w:r>
    <w:r w:rsidRPr="007E05F1">
      <w:rPr>
        <w:rFonts w:cs="Tahoma"/>
        <w:sz w:val="20"/>
        <w:szCs w:val="20"/>
        <w:lang w:val="en-US"/>
      </w:rPr>
      <w:fldChar w:fldCharType="separate"/>
    </w:r>
    <w:r w:rsidR="007E7BB7">
      <w:rPr>
        <w:rFonts w:cs="Tahoma"/>
        <w:noProof/>
        <w:sz w:val="20"/>
        <w:szCs w:val="20"/>
        <w:lang w:val="en-US"/>
      </w:rPr>
      <w:t>5</w:t>
    </w:r>
    <w:r w:rsidRPr="007E05F1">
      <w:rPr>
        <w:rFonts w:cs="Tahoma"/>
        <w:sz w:val="20"/>
        <w:szCs w:val="20"/>
        <w:lang w:val="en-US"/>
      </w:rPr>
      <w:fldChar w:fldCharType="end"/>
    </w:r>
  </w:p>
  <w:p w:rsidR="00D146E1" w:rsidRDefault="004A2D9E">
    <w:pPr>
      <w:pStyle w:val="Footer"/>
    </w:pPr>
    <w:r w:rsidRPr="004A2D9E">
      <w:rPr>
        <w:rFonts w:cs="Tahoma"/>
        <w:b/>
        <w:bCs/>
        <w:i/>
        <w:iCs/>
        <w:noProof/>
        <w:sz w:val="8"/>
        <w:lang w:val="en-IN" w:eastAsia="en-IN"/>
      </w:rPr>
      <w:pict>
        <v:line id="_x0000_s2063" style="position:absolute;left:0;text-align:left;z-index:251654144;visibility:visible" from="88.5pt,1213.75pt" to="513.7pt,12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Default="004A2D9E">
    <w:pPr>
      <w:pStyle w:val="Footer"/>
      <w:rPr>
        <w:rFonts w:cs="Tahoma"/>
        <w:b/>
        <w:bCs/>
        <w:i/>
        <w:iCs/>
        <w:sz w:val="8"/>
        <w:lang w:val="en-US"/>
      </w:rPr>
    </w:pPr>
    <w:r w:rsidRPr="004A2D9E">
      <w:rPr>
        <w:rFonts w:cs="Tahoma"/>
        <w:b/>
        <w:bCs/>
        <w:i/>
        <w:iCs/>
        <w:noProof/>
        <w:sz w:val="8"/>
        <w:lang w:val="en-US"/>
      </w:rPr>
      <w:pict>
        <v:line id="Straight Connector 43" o:spid="_x0000_s2091" style="position:absolute;left:0;text-align:left;z-index:251679744;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" strokecolor="#1f497d" strokeweight="1.25pt"/>
      </w:pict>
    </w:r>
    <w:r w:rsidRPr="004A2D9E">
      <w:rPr>
        <w:rFonts w:cs="Tahoma"/>
        <w:b/>
        <w:bCs/>
        <w:i/>
        <w:iCs/>
        <w:noProof/>
        <w:sz w:val="8"/>
        <w:lang w:val="en-US"/>
      </w:rPr>
      <w:pict>
        <v:line id="Straight Connector 44" o:spid="_x0000_s2090" style="position:absolute;left:0;text-align:left;z-index:251678720;visibility:visible" from="90pt,787.35pt" to="525.6pt,7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" strokecolor="#1f497d" strokeweight="1.25pt"/>
      </w:pict>
    </w:r>
  </w:p>
  <w:p w:rsidR="00D146E1" w:rsidRDefault="00D146E1">
    <w:pPr>
      <w:pStyle w:val="Footer"/>
      <w:tabs>
        <w:tab w:val="clear" w:pos="4320"/>
        <w:tab w:val="clear" w:pos="8640"/>
      </w:tabs>
      <w:jc w:val="right"/>
      <w:rPr>
        <w:rFonts w:cs="Tahoma"/>
        <w:sz w:val="20"/>
        <w:szCs w:val="20"/>
        <w:lang w:val="en-US"/>
      </w:rPr>
    </w:pP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noProof/>
        <w:sz w:val="20"/>
        <w:szCs w:val="20"/>
        <w:lang w:val="en-IN" w:eastAsia="en-IN"/>
      </w:rPr>
      <w:drawing>
        <wp:inline distT="0" distB="0" distL="0" distR="0">
          <wp:extent cx="5561965" cy="3810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561965" cy="38100"/>
                  </a:xfrm>
                  <a:prstGeom prst="rect">
                    <a:avLst/>
                  </a:prstGeom>
                  <a:noFill/>
                </pic:spPr>
              </pic:pic>
            </a:graphicData>
          </a:graphic>
        </wp:inline>
      </w:drawing>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r>
    <w:r w:rsidRPr="007E05F1">
      <w:rPr>
        <w:rFonts w:cs="Tahoma"/>
        <w:sz w:val="20"/>
        <w:szCs w:val="20"/>
        <w:lang w:val="en-US"/>
      </w:rPr>
      <w:t xml:space="preserve">Page </w:t>
    </w:r>
    <w:r w:rsidR="004A2D9E" w:rsidRPr="007E05F1">
      <w:rPr>
        <w:rFonts w:cs="Tahoma"/>
        <w:sz w:val="20"/>
        <w:szCs w:val="20"/>
        <w:lang w:val="en-US"/>
      </w:rPr>
      <w:fldChar w:fldCharType="begin"/>
    </w:r>
    <w:r w:rsidRPr="007E05F1">
      <w:rPr>
        <w:rFonts w:cs="Tahoma"/>
        <w:sz w:val="20"/>
        <w:szCs w:val="20"/>
        <w:lang w:val="en-US"/>
      </w:rPr>
      <w:instrText xml:space="preserve"> PAGE </w:instrText>
    </w:r>
    <w:r w:rsidR="004A2D9E" w:rsidRPr="007E05F1">
      <w:rPr>
        <w:rFonts w:cs="Tahoma"/>
        <w:sz w:val="20"/>
        <w:szCs w:val="20"/>
        <w:lang w:val="en-US"/>
      </w:rPr>
      <w:fldChar w:fldCharType="separate"/>
    </w:r>
    <w:r w:rsidR="00DF5FB9">
      <w:rPr>
        <w:rFonts w:cs="Tahoma"/>
        <w:noProof/>
        <w:sz w:val="20"/>
        <w:szCs w:val="20"/>
        <w:lang w:val="en-US"/>
      </w:rPr>
      <w:t>111</w:t>
    </w:r>
    <w:r w:rsidR="004A2D9E" w:rsidRPr="007E05F1">
      <w:rPr>
        <w:rFonts w:cs="Tahoma"/>
        <w:sz w:val="20"/>
        <w:szCs w:val="2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Default="004A2D9E">
    <w:pPr>
      <w:pStyle w:val="Footer"/>
      <w:rPr>
        <w:rFonts w:cs="Tahoma"/>
        <w:b/>
        <w:bCs/>
        <w:i/>
        <w:iCs/>
        <w:sz w:val="8"/>
        <w:lang w:val="en-US"/>
      </w:rPr>
    </w:pPr>
    <w:r w:rsidRPr="004A2D9E">
      <w:rPr>
        <w:rFonts w:cs="Tahoma"/>
        <w:noProof/>
        <w:sz w:val="8"/>
        <w:lang w:val="en-US"/>
      </w:rPr>
      <w:pict>
        <v:line id="_x0000_s2089" style="position:absolute;left:0;text-align:left;z-index:251676672;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D146E1" w:rsidRPr="007E05F1" w:rsidRDefault="00D146E1" w:rsidP="00AF16B8">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4A2D9E" w:rsidRPr="007E05F1">
      <w:rPr>
        <w:rFonts w:cs="Tahoma"/>
        <w:sz w:val="20"/>
        <w:szCs w:val="20"/>
        <w:lang w:val="en-US"/>
      </w:rPr>
      <w:fldChar w:fldCharType="begin"/>
    </w:r>
    <w:r w:rsidRPr="007E05F1">
      <w:rPr>
        <w:rFonts w:cs="Tahoma"/>
        <w:sz w:val="20"/>
        <w:szCs w:val="20"/>
        <w:lang w:val="en-US"/>
      </w:rPr>
      <w:instrText xml:space="preserve"> PAGE </w:instrText>
    </w:r>
    <w:r w:rsidR="004A2D9E" w:rsidRPr="007E05F1">
      <w:rPr>
        <w:rFonts w:cs="Tahoma"/>
        <w:sz w:val="20"/>
        <w:szCs w:val="20"/>
        <w:lang w:val="en-US"/>
      </w:rPr>
      <w:fldChar w:fldCharType="separate"/>
    </w:r>
    <w:r w:rsidR="00DF5FB9">
      <w:rPr>
        <w:rFonts w:cs="Tahoma"/>
        <w:noProof/>
        <w:sz w:val="20"/>
        <w:szCs w:val="20"/>
        <w:lang w:val="en-US"/>
      </w:rPr>
      <w:t>209</w:t>
    </w:r>
    <w:r w:rsidR="004A2D9E" w:rsidRPr="007E05F1">
      <w:rPr>
        <w:rFonts w:cs="Tahoma"/>
        <w:sz w:val="20"/>
        <w:szCs w:val="20"/>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17762"/>
      <w:docPartObj>
        <w:docPartGallery w:val="Page Numbers (Bottom of Page)"/>
        <w:docPartUnique/>
      </w:docPartObj>
    </w:sdtPr>
    <w:sdtContent>
      <w:p w:rsidR="00D146E1" w:rsidRDefault="004A2D9E">
        <w:pPr>
          <w:pStyle w:val="Footer"/>
          <w:jc w:val="right"/>
        </w:pPr>
        <w:r w:rsidRPr="004A2D9E">
          <w:rPr>
            <w:noProof/>
            <w:lang w:val="en-US"/>
          </w:rPr>
          <w:pict>
            <v:line id="_x0000_s2109" style="position:absolute;left:0;text-align:left;z-index:251696128;visibility:visible;mso-position-horizontal-relative:text;mso-position-vertical-relative:text" from="30pt,257.05pt" to="465.6pt,2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r w:rsidRPr="004A2D9E">
          <w:rPr>
            <w:noProof/>
            <w:lang w:val="en-US"/>
          </w:rPr>
          <w:pict>
            <v:line id="_x0000_s2108" style="position:absolute;left:0;text-align:left;z-index:251695104;visibility:visible;mso-position-horizontal-relative:text;mso-position-vertical-relative:text" from="30pt,257.05pt" to="465.6pt,2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r w:rsidR="00D146E1">
          <w:t xml:space="preserve">Page | </w:t>
        </w:r>
        <w:fldSimple w:instr=" PAGE   \* MERGEFORMAT ">
          <w:r w:rsidR="007E7BB7">
            <w:rPr>
              <w:noProof/>
            </w:rPr>
            <w:t>254</w:t>
          </w:r>
        </w:fldSimple>
      </w:p>
    </w:sdtContent>
  </w:sdt>
  <w:p w:rsidR="00D146E1" w:rsidRDefault="00D146E1">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3865704"/>
      <w:docPartObj>
        <w:docPartGallery w:val="Page Numbers (Bottom of Page)"/>
        <w:docPartUnique/>
      </w:docPartObj>
    </w:sdtPr>
    <w:sdtContent>
      <w:p w:rsidR="00771D79" w:rsidRDefault="004A2D9E">
        <w:pPr>
          <w:pStyle w:val="Footer"/>
          <w:jc w:val="right"/>
        </w:pPr>
        <w:r w:rsidRPr="004A2D9E">
          <w:rPr>
            <w:noProof/>
            <w:lang w:val="en-US"/>
          </w:rPr>
          <w:pict>
            <v:line id="_x0000_s2111" style="position:absolute;left:0;text-align:left;z-index:251699200;visibility:visible;mso-position-horizontal-relative:text;mso-position-vertical-relative:text" from="30pt,257.05pt" to="465.6pt,2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r w:rsidRPr="004A2D9E">
          <w:rPr>
            <w:noProof/>
            <w:lang w:val="en-US"/>
          </w:rPr>
          <w:pict>
            <v:line id="_x0000_s2110" style="position:absolute;left:0;text-align:left;z-index:251698176;visibility:visible;mso-position-horizontal-relative:text;mso-position-vertical-relative:text" from="30pt,257.05pt" to="465.6pt,2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r w:rsidR="00771D79">
          <w:t xml:space="preserve">Page | </w:t>
        </w:r>
        <w:fldSimple w:instr=" PAGE   \* MERGEFORMAT ">
          <w:r w:rsidR="007E7BB7">
            <w:rPr>
              <w:noProof/>
            </w:rPr>
            <w:t>255</w:t>
          </w:r>
        </w:fldSimple>
      </w:p>
    </w:sdtContent>
  </w:sdt>
  <w:p w:rsidR="00771D79" w:rsidRDefault="00771D7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9D7" w:rsidRDefault="004A2D9E">
    <w:pPr>
      <w:pStyle w:val="Footer"/>
      <w:rPr>
        <w:rFonts w:cs="Tahoma"/>
        <w:b/>
        <w:bCs/>
        <w:i/>
        <w:iCs/>
        <w:sz w:val="8"/>
        <w:lang w:val="en-US"/>
      </w:rPr>
    </w:pPr>
    <w:r w:rsidRPr="004A2D9E">
      <w:rPr>
        <w:rFonts w:cs="Tahoma"/>
        <w:noProof/>
        <w:sz w:val="8"/>
        <w:lang w:val="en-US"/>
      </w:rPr>
      <w:pict>
        <v:line id="_x0000_s2112" style="position:absolute;left:0;text-align:left;z-index:251701248;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" strokecolor="#4f81bd" strokeweight="1.25pt"/>
      </w:pict>
    </w:r>
  </w:p>
  <w:p w:rsidR="006349D7" w:rsidRDefault="006349D7" w:rsidP="006F02AD">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4A2D9E" w:rsidRPr="007E05F1">
      <w:rPr>
        <w:rFonts w:cs="Tahoma"/>
        <w:sz w:val="20"/>
        <w:szCs w:val="20"/>
        <w:lang w:val="en-US"/>
      </w:rPr>
      <w:fldChar w:fldCharType="begin"/>
    </w:r>
    <w:r w:rsidRPr="007E05F1">
      <w:rPr>
        <w:rFonts w:cs="Tahoma"/>
        <w:sz w:val="20"/>
        <w:szCs w:val="20"/>
        <w:lang w:val="en-US"/>
      </w:rPr>
      <w:instrText xml:space="preserve"> PAGE </w:instrText>
    </w:r>
    <w:r w:rsidR="004A2D9E" w:rsidRPr="007E05F1">
      <w:rPr>
        <w:rFonts w:cs="Tahoma"/>
        <w:sz w:val="20"/>
        <w:szCs w:val="20"/>
        <w:lang w:val="en-US"/>
      </w:rPr>
      <w:fldChar w:fldCharType="separate"/>
    </w:r>
    <w:r w:rsidR="00DF5FB9">
      <w:rPr>
        <w:rFonts w:cs="Tahoma"/>
        <w:noProof/>
        <w:sz w:val="20"/>
        <w:szCs w:val="20"/>
        <w:lang w:val="en-US"/>
      </w:rPr>
      <w:t>278</w:t>
    </w:r>
    <w:r w:rsidR="004A2D9E" w:rsidRPr="007E05F1">
      <w:rPr>
        <w:rFonts w:cs="Tahoma"/>
        <w:sz w:val="20"/>
        <w:szCs w:val="20"/>
        <w:lang w:val="en-US"/>
      </w:rPr>
      <w:fldChar w:fldCharType="end"/>
    </w:r>
    <w:r w:rsidRPr="007E05F1">
      <w:rPr>
        <w:rFonts w:cs="Tahoma"/>
        <w:sz w:val="20"/>
        <w:szCs w:val="20"/>
        <w:lang w:val="en-US"/>
      </w:rP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Default="004A2D9E">
    <w:pPr>
      <w:pStyle w:val="Footer"/>
      <w:rPr>
        <w:rFonts w:cs="Tahoma"/>
        <w:b/>
        <w:bCs/>
        <w:i/>
        <w:iCs/>
        <w:sz w:val="8"/>
        <w:lang w:val="en-US"/>
      </w:rPr>
    </w:pPr>
    <w:r w:rsidRPr="004A2D9E">
      <w:rPr>
        <w:rFonts w:cs="Tahoma"/>
        <w:noProof/>
        <w:sz w:val="8"/>
        <w:lang w:val="en-US"/>
      </w:rPr>
      <w:pict>
        <v:line id="_x0000_s2094" style="position:absolute;left:0;text-align:left;z-index:251683840;visibility:visibl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" strokecolor="#1f497d" strokeweight="1.25pt"/>
      </w:pict>
    </w:r>
  </w:p>
  <w:p w:rsidR="00D146E1" w:rsidRPr="007E05F1" w:rsidRDefault="00D146E1" w:rsidP="00885CA3">
    <w:pPr>
      <w:pStyle w:val="Footer"/>
      <w:tabs>
        <w:tab w:val="clear" w:pos="4320"/>
        <w:tab w:val="clear" w:pos="8640"/>
      </w:tabs>
      <w:jc w:val="right"/>
      <w:rPr>
        <w:rFonts w:cs="Tahoma"/>
        <w:sz w:val="20"/>
        <w:szCs w:val="20"/>
        <w:lang w:val="en-US"/>
      </w:rPr>
    </w:pPr>
    <w:r w:rsidRPr="007E05F1">
      <w:rPr>
        <w:rFonts w:cs="Tahoma"/>
        <w:sz w:val="20"/>
        <w:szCs w:val="20"/>
        <w:lang w:val="en-US"/>
      </w:rPr>
      <w:t xml:space="preserve">Page </w:t>
    </w:r>
    <w:r w:rsidR="004A2D9E" w:rsidRPr="007E05F1">
      <w:rPr>
        <w:rFonts w:cs="Tahoma"/>
        <w:sz w:val="20"/>
        <w:szCs w:val="20"/>
        <w:lang w:val="en-US"/>
      </w:rPr>
      <w:fldChar w:fldCharType="begin"/>
    </w:r>
    <w:r w:rsidRPr="007E05F1">
      <w:rPr>
        <w:rFonts w:cs="Tahoma"/>
        <w:sz w:val="20"/>
        <w:szCs w:val="20"/>
        <w:lang w:val="en-US"/>
      </w:rPr>
      <w:instrText xml:space="preserve"> PAGE </w:instrText>
    </w:r>
    <w:r w:rsidR="004A2D9E" w:rsidRPr="007E05F1">
      <w:rPr>
        <w:rFonts w:cs="Tahoma"/>
        <w:sz w:val="20"/>
        <w:szCs w:val="20"/>
        <w:lang w:val="en-US"/>
      </w:rPr>
      <w:fldChar w:fldCharType="separate"/>
    </w:r>
    <w:r w:rsidR="00DF5FB9">
      <w:rPr>
        <w:rFonts w:cs="Tahoma"/>
        <w:noProof/>
        <w:sz w:val="20"/>
        <w:szCs w:val="20"/>
        <w:lang w:val="en-US"/>
      </w:rPr>
      <w:t>333</w:t>
    </w:r>
    <w:r w:rsidR="004A2D9E" w:rsidRPr="007E05F1">
      <w:rPr>
        <w:rFonts w:cs="Tahoma"/>
        <w:sz w:val="20"/>
        <w:szCs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F44" w:rsidRDefault="00EB1F44">
      <w:r>
        <w:separator/>
      </w:r>
    </w:p>
  </w:footnote>
  <w:footnote w:type="continuationSeparator" w:id="1">
    <w:p w:rsidR="00EB1F44" w:rsidRDefault="00EB1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Pr="00331ACB" w:rsidRDefault="00D146E1" w:rsidP="00D97F7F">
    <w:pPr>
      <w:pStyle w:val="Header"/>
      <w:ind w:left="4620" w:hanging="4620"/>
    </w:pPr>
    <w:r>
      <w:rPr>
        <w:noProof/>
        <w:lang w:val="en-IN" w:eastAsia="en-IN"/>
      </w:rPr>
      <w:drawing>
        <wp:inline distT="0" distB="0" distL="0" distR="0">
          <wp:extent cx="647700" cy="647700"/>
          <wp:effectExtent l="0" t="0" r="0" b="0"/>
          <wp:docPr id="4"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Tariff of</w:t>
    </w:r>
    <w:r>
      <w:rPr>
        <w:i/>
        <w:sz w:val="20"/>
        <w:szCs w:val="20"/>
      </w:rPr>
      <w:t xml:space="preserve"> KESCO for FY 2016-17 and True-up of FY 2013-14</w:t>
    </w:r>
  </w:p>
  <w:p w:rsidR="00D146E1" w:rsidRDefault="004A2D9E" w:rsidP="004B0510">
    <w:pPr>
      <w:pStyle w:val="Header"/>
    </w:pPr>
    <w:r w:rsidRPr="004A2D9E">
      <w:rPr>
        <w:noProof/>
        <w:lang w:val="en-US"/>
      </w:rPr>
      <w:pict>
        <v:line id="_x0000_s2060" style="position:absolute;left:0;text-align:left;z-index:251651072;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6E1" w:rsidRPr="00331ACB" w:rsidRDefault="00D146E1" w:rsidP="00FD2199">
    <w:pPr>
      <w:pStyle w:val="Header"/>
      <w:ind w:left="4620" w:hanging="4620"/>
    </w:pPr>
    <w:r>
      <w:rPr>
        <w:noProof/>
        <w:lang w:val="en-IN" w:eastAsia="en-IN"/>
      </w:rPr>
      <w:drawing>
        <wp:inline distT="0" distB="0" distL="0" distR="0">
          <wp:extent cx="647700" cy="647700"/>
          <wp:effectExtent l="0" t="0" r="0" b="0"/>
          <wp:docPr id="3"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KESCO for FY 2016-17 and True-up of FY 2013-14</w:t>
    </w:r>
  </w:p>
  <w:p w:rsidR="00D146E1" w:rsidRDefault="004A2D9E" w:rsidP="00D51BD0">
    <w:pPr>
      <w:pStyle w:val="Header"/>
    </w:pPr>
    <w:r w:rsidRPr="004A2D9E">
      <w:rPr>
        <w:noProof/>
        <w:lang w:val="en-US"/>
      </w:rPr>
      <w:pict>
        <v:line id="_x0000_s2092" style="position:absolute;left:0;text-align:left;z-index:251680768;visibility:visible" from="-1.5pt,1.1pt" to="437.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33D" w:rsidRPr="00331ACB" w:rsidRDefault="00C9333D" w:rsidP="00C9333D">
    <w:pPr>
      <w:pStyle w:val="Header"/>
      <w:ind w:left="4620" w:hanging="4620"/>
    </w:pPr>
    <w:r>
      <w:rPr>
        <w:noProof/>
        <w:lang w:val="en-IN" w:eastAsia="en-IN"/>
      </w:rPr>
      <w:drawing>
        <wp:inline distT="0" distB="0" distL="0" distR="0">
          <wp:extent cx="647700" cy="647700"/>
          <wp:effectExtent l="0" t="0" r="0" b="0"/>
          <wp:docPr id="2"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KESCO for FY 2016-17 and True-up of FY 2013-14</w:t>
    </w:r>
  </w:p>
  <w:p w:rsidR="00D146E1" w:rsidRDefault="004A2D9E">
    <w:pPr>
      <w:pStyle w:val="Header"/>
    </w:pPr>
    <w:r w:rsidRPr="004A2D9E">
      <w:rPr>
        <w:noProof/>
        <w:lang w:val="en-US"/>
      </w:rPr>
      <w:pict>
        <v:line id="_x0000_s2097" style="position:absolute;left:0;text-align:left;z-index:251686912;visibility:visible" from="-56.95pt,6.3pt" to="44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" strokecolor="#1f497d" strokeweight="1.25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1A2" w:rsidRPr="00331ACB" w:rsidRDefault="001571A2" w:rsidP="001571A2">
    <w:pPr>
      <w:pStyle w:val="Header"/>
      <w:ind w:left="4620" w:hanging="4620"/>
    </w:pPr>
    <w:r>
      <w:rPr>
        <w:noProof/>
        <w:lang w:val="en-IN" w:eastAsia="en-IN"/>
      </w:rPr>
      <w:drawing>
        <wp:inline distT="0" distB="0" distL="0" distR="0">
          <wp:extent cx="647700" cy="647700"/>
          <wp:effectExtent l="0" t="0" r="0" b="0"/>
          <wp:docPr id="17" name="Picture 25" descr="uper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er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647700" cy="647700"/>
                  </a:xfrm>
                  <a:prstGeom prst="rect">
                    <a:avLst/>
                  </a:prstGeom>
                  <a:noFill/>
                  <a:ln>
                    <a:noFill/>
                  </a:ln>
                </pic:spPr>
              </pic:pic>
            </a:graphicData>
          </a:graphic>
        </wp:inline>
      </w:drawing>
    </w:r>
    <w:r>
      <w:rPr>
        <w:i/>
        <w:sz w:val="20"/>
        <w:szCs w:val="20"/>
      </w:rPr>
      <w:tab/>
      <w:t xml:space="preserve">                                                                                Determination of ARR and </w:t>
    </w:r>
    <w:r w:rsidRPr="00B6794F">
      <w:rPr>
        <w:i/>
        <w:sz w:val="20"/>
        <w:szCs w:val="20"/>
      </w:rPr>
      <w:t xml:space="preserve">Tariff of </w:t>
    </w:r>
    <w:r>
      <w:rPr>
        <w:i/>
        <w:sz w:val="20"/>
        <w:szCs w:val="20"/>
      </w:rPr>
      <w:t>KESCO for FY 2016-17 and True-up of FY 2013-14</w:t>
    </w:r>
  </w:p>
  <w:p w:rsidR="006349D7" w:rsidRPr="000873E5" w:rsidRDefault="004A2D9E" w:rsidP="006F02AD">
    <w:pPr>
      <w:jc w:val="right"/>
      <w:rPr>
        <w:i/>
      </w:rPr>
    </w:pPr>
    <w:r>
      <w:rPr>
        <w:i/>
        <w:noProof/>
        <w:lang w:val="en-IN" w:eastAsia="en-IN"/>
      </w:rPr>
      <w:pict>
        <v:shapetype id="_x0000_t32" coordsize="21600,21600" o:spt="32" o:oned="t" path="m,l21600,21600e" filled="f">
          <v:path arrowok="t" fillok="f" o:connecttype="none"/>
          <o:lock v:ext="edit" shapetype="t"/>
        </v:shapetype>
        <v:shape id="_x0000_s2113" type="#_x0000_t32" style="position:absolute;left:0;text-align:left;margin-left:-10.7pt;margin-top:7.95pt;width:460.5pt;height:0;z-index:251702272" o:connectortype="straight" strokecolor="#365f91 [2404]"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5F6"/>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01AA00DE"/>
    <w:multiLevelType w:val="hybridMultilevel"/>
    <w:tmpl w:val="D6DC7220"/>
    <w:lvl w:ilvl="0" w:tplc="B20E4DB6">
      <w:start w:val="1"/>
      <w:numFmt w:val="lowerRoman"/>
      <w:lvlText w:val="(%1)"/>
      <w:lvlJc w:val="left"/>
      <w:pPr>
        <w:tabs>
          <w:tab w:val="num" w:pos="1080"/>
        </w:tabs>
        <w:ind w:left="720" w:hanging="360"/>
      </w:pPr>
    </w:lvl>
    <w:lvl w:ilvl="1" w:tplc="7E503096">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B86B8C"/>
    <w:multiLevelType w:val="hybridMultilevel"/>
    <w:tmpl w:val="843C73F6"/>
    <w:lvl w:ilvl="0" w:tplc="40090001">
      <w:start w:val="1"/>
      <w:numFmt w:val="bullet"/>
      <w:lvlText w:val=""/>
      <w:lvlJc w:val="left"/>
      <w:pPr>
        <w:ind w:left="1267" w:hanging="360"/>
      </w:pPr>
      <w:rPr>
        <w:rFonts w:ascii="Symbol" w:hAnsi="Symbol" w:hint="default"/>
      </w:rPr>
    </w:lvl>
    <w:lvl w:ilvl="1" w:tplc="40090001">
      <w:start w:val="1"/>
      <w:numFmt w:val="bullet"/>
      <w:lvlText w:val=""/>
      <w:lvlJc w:val="left"/>
      <w:pPr>
        <w:ind w:left="1987" w:hanging="360"/>
      </w:pPr>
      <w:rPr>
        <w:rFonts w:ascii="Symbol" w:hAnsi="Symbol" w:hint="default"/>
      </w:rPr>
    </w:lvl>
    <w:lvl w:ilvl="2" w:tplc="40090005" w:tentative="1">
      <w:start w:val="1"/>
      <w:numFmt w:val="bullet"/>
      <w:lvlText w:val=""/>
      <w:lvlJc w:val="left"/>
      <w:pPr>
        <w:ind w:left="2707" w:hanging="360"/>
      </w:pPr>
      <w:rPr>
        <w:rFonts w:ascii="Wingdings" w:hAnsi="Wingdings" w:hint="default"/>
      </w:rPr>
    </w:lvl>
    <w:lvl w:ilvl="3" w:tplc="40090001" w:tentative="1">
      <w:start w:val="1"/>
      <w:numFmt w:val="bullet"/>
      <w:lvlText w:val=""/>
      <w:lvlJc w:val="left"/>
      <w:pPr>
        <w:ind w:left="3427" w:hanging="360"/>
      </w:pPr>
      <w:rPr>
        <w:rFonts w:ascii="Symbol" w:hAnsi="Symbol" w:hint="default"/>
      </w:rPr>
    </w:lvl>
    <w:lvl w:ilvl="4" w:tplc="40090003" w:tentative="1">
      <w:start w:val="1"/>
      <w:numFmt w:val="bullet"/>
      <w:lvlText w:val="o"/>
      <w:lvlJc w:val="left"/>
      <w:pPr>
        <w:ind w:left="4147" w:hanging="360"/>
      </w:pPr>
      <w:rPr>
        <w:rFonts w:ascii="Courier New" w:hAnsi="Courier New" w:cs="Courier New" w:hint="default"/>
      </w:rPr>
    </w:lvl>
    <w:lvl w:ilvl="5" w:tplc="40090005" w:tentative="1">
      <w:start w:val="1"/>
      <w:numFmt w:val="bullet"/>
      <w:lvlText w:val=""/>
      <w:lvlJc w:val="left"/>
      <w:pPr>
        <w:ind w:left="4867" w:hanging="360"/>
      </w:pPr>
      <w:rPr>
        <w:rFonts w:ascii="Wingdings" w:hAnsi="Wingdings" w:hint="default"/>
      </w:rPr>
    </w:lvl>
    <w:lvl w:ilvl="6" w:tplc="40090001" w:tentative="1">
      <w:start w:val="1"/>
      <w:numFmt w:val="bullet"/>
      <w:lvlText w:val=""/>
      <w:lvlJc w:val="left"/>
      <w:pPr>
        <w:ind w:left="5587" w:hanging="360"/>
      </w:pPr>
      <w:rPr>
        <w:rFonts w:ascii="Symbol" w:hAnsi="Symbol" w:hint="default"/>
      </w:rPr>
    </w:lvl>
    <w:lvl w:ilvl="7" w:tplc="40090003" w:tentative="1">
      <w:start w:val="1"/>
      <w:numFmt w:val="bullet"/>
      <w:lvlText w:val="o"/>
      <w:lvlJc w:val="left"/>
      <w:pPr>
        <w:ind w:left="6307" w:hanging="360"/>
      </w:pPr>
      <w:rPr>
        <w:rFonts w:ascii="Courier New" w:hAnsi="Courier New" w:cs="Courier New" w:hint="default"/>
      </w:rPr>
    </w:lvl>
    <w:lvl w:ilvl="8" w:tplc="40090005" w:tentative="1">
      <w:start w:val="1"/>
      <w:numFmt w:val="bullet"/>
      <w:lvlText w:val=""/>
      <w:lvlJc w:val="left"/>
      <w:pPr>
        <w:ind w:left="7027" w:hanging="360"/>
      </w:pPr>
      <w:rPr>
        <w:rFonts w:ascii="Wingdings" w:hAnsi="Wingdings" w:hint="default"/>
      </w:rPr>
    </w:lvl>
  </w:abstractNum>
  <w:abstractNum w:abstractNumId="3">
    <w:nsid w:val="04056378"/>
    <w:multiLevelType w:val="hybridMultilevel"/>
    <w:tmpl w:val="A7D40F3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40C7404"/>
    <w:multiLevelType w:val="hybridMultilevel"/>
    <w:tmpl w:val="C55001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4107C38"/>
    <w:multiLevelType w:val="hybridMultilevel"/>
    <w:tmpl w:val="6C08089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4695659"/>
    <w:multiLevelType w:val="hybridMultilevel"/>
    <w:tmpl w:val="5C1C274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5943257"/>
    <w:multiLevelType w:val="hybridMultilevel"/>
    <w:tmpl w:val="C9288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397BCC"/>
    <w:multiLevelType w:val="hybridMultilevel"/>
    <w:tmpl w:val="064AA3C8"/>
    <w:lvl w:ilvl="0" w:tplc="04090005">
      <w:start w:val="1"/>
      <w:numFmt w:val="bullet"/>
      <w:lvlText w:val=""/>
      <w:lvlJc w:val="left"/>
      <w:pPr>
        <w:ind w:left="2433" w:hanging="360"/>
      </w:pPr>
      <w:rPr>
        <w:rFonts w:ascii="Wingdings" w:hAnsi="Wingdings" w:hint="default"/>
      </w:rPr>
    </w:lvl>
    <w:lvl w:ilvl="1" w:tplc="04090003" w:tentative="1">
      <w:start w:val="1"/>
      <w:numFmt w:val="bullet"/>
      <w:lvlText w:val="o"/>
      <w:lvlJc w:val="left"/>
      <w:pPr>
        <w:ind w:left="3153" w:hanging="360"/>
      </w:pPr>
      <w:rPr>
        <w:rFonts w:ascii="Courier New" w:hAnsi="Courier New" w:cs="Courier New" w:hint="default"/>
      </w:rPr>
    </w:lvl>
    <w:lvl w:ilvl="2" w:tplc="04090005" w:tentative="1">
      <w:start w:val="1"/>
      <w:numFmt w:val="bullet"/>
      <w:lvlText w:val=""/>
      <w:lvlJc w:val="left"/>
      <w:pPr>
        <w:ind w:left="3873" w:hanging="360"/>
      </w:pPr>
      <w:rPr>
        <w:rFonts w:ascii="Wingdings" w:hAnsi="Wingdings" w:hint="default"/>
      </w:rPr>
    </w:lvl>
    <w:lvl w:ilvl="3" w:tplc="04090001" w:tentative="1">
      <w:start w:val="1"/>
      <w:numFmt w:val="bullet"/>
      <w:lvlText w:val=""/>
      <w:lvlJc w:val="left"/>
      <w:pPr>
        <w:ind w:left="4593" w:hanging="360"/>
      </w:pPr>
      <w:rPr>
        <w:rFonts w:ascii="Symbol" w:hAnsi="Symbol" w:hint="default"/>
      </w:rPr>
    </w:lvl>
    <w:lvl w:ilvl="4" w:tplc="04090003" w:tentative="1">
      <w:start w:val="1"/>
      <w:numFmt w:val="bullet"/>
      <w:lvlText w:val="o"/>
      <w:lvlJc w:val="left"/>
      <w:pPr>
        <w:ind w:left="5313" w:hanging="360"/>
      </w:pPr>
      <w:rPr>
        <w:rFonts w:ascii="Courier New" w:hAnsi="Courier New" w:cs="Courier New" w:hint="default"/>
      </w:rPr>
    </w:lvl>
    <w:lvl w:ilvl="5" w:tplc="04090005" w:tentative="1">
      <w:start w:val="1"/>
      <w:numFmt w:val="bullet"/>
      <w:lvlText w:val=""/>
      <w:lvlJc w:val="left"/>
      <w:pPr>
        <w:ind w:left="6033" w:hanging="360"/>
      </w:pPr>
      <w:rPr>
        <w:rFonts w:ascii="Wingdings" w:hAnsi="Wingdings" w:hint="default"/>
      </w:rPr>
    </w:lvl>
    <w:lvl w:ilvl="6" w:tplc="04090001" w:tentative="1">
      <w:start w:val="1"/>
      <w:numFmt w:val="bullet"/>
      <w:lvlText w:val=""/>
      <w:lvlJc w:val="left"/>
      <w:pPr>
        <w:ind w:left="6753" w:hanging="360"/>
      </w:pPr>
      <w:rPr>
        <w:rFonts w:ascii="Symbol" w:hAnsi="Symbol" w:hint="default"/>
      </w:rPr>
    </w:lvl>
    <w:lvl w:ilvl="7" w:tplc="04090003" w:tentative="1">
      <w:start w:val="1"/>
      <w:numFmt w:val="bullet"/>
      <w:lvlText w:val="o"/>
      <w:lvlJc w:val="left"/>
      <w:pPr>
        <w:ind w:left="7473" w:hanging="360"/>
      </w:pPr>
      <w:rPr>
        <w:rFonts w:ascii="Courier New" w:hAnsi="Courier New" w:cs="Courier New" w:hint="default"/>
      </w:rPr>
    </w:lvl>
    <w:lvl w:ilvl="8" w:tplc="04090005" w:tentative="1">
      <w:start w:val="1"/>
      <w:numFmt w:val="bullet"/>
      <w:lvlText w:val=""/>
      <w:lvlJc w:val="left"/>
      <w:pPr>
        <w:ind w:left="8193" w:hanging="360"/>
      </w:pPr>
      <w:rPr>
        <w:rFonts w:ascii="Wingdings" w:hAnsi="Wingdings" w:hint="default"/>
      </w:rPr>
    </w:lvl>
  </w:abstractNum>
  <w:abstractNum w:abstractNumId="9">
    <w:nsid w:val="092177BE"/>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0BCF31DE"/>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C915064"/>
    <w:multiLevelType w:val="hybridMultilevel"/>
    <w:tmpl w:val="BFAA689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1DF4F60"/>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5D7167A"/>
    <w:multiLevelType w:val="hybridMultilevel"/>
    <w:tmpl w:val="7CD8FE98"/>
    <w:lvl w:ilvl="0" w:tplc="B20E4DB6">
      <w:start w:val="1"/>
      <w:numFmt w:val="lowerRoman"/>
      <w:lvlText w:val="(%1)"/>
      <w:lvlJc w:val="left"/>
      <w:pPr>
        <w:tabs>
          <w:tab w:val="num" w:pos="1080"/>
        </w:tabs>
        <w:ind w:left="720" w:hanging="360"/>
      </w:pPr>
    </w:lvl>
    <w:lvl w:ilvl="1" w:tplc="98A22EEE">
      <w:start w:val="5"/>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15E47274"/>
    <w:multiLevelType w:val="hybridMultilevel"/>
    <w:tmpl w:val="490CB090"/>
    <w:lvl w:ilvl="0" w:tplc="1EC6FA7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5">
    <w:nsid w:val="16EA51C1"/>
    <w:multiLevelType w:val="hybridMultilevel"/>
    <w:tmpl w:val="22F8D016"/>
    <w:lvl w:ilvl="0" w:tplc="7A6C152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D55CBF54">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17A00AAE"/>
    <w:multiLevelType w:val="hybridMultilevel"/>
    <w:tmpl w:val="8D22C916"/>
    <w:lvl w:ilvl="0" w:tplc="9F065854">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18745932"/>
    <w:multiLevelType w:val="hybridMultilevel"/>
    <w:tmpl w:val="9790E43A"/>
    <w:lvl w:ilvl="0" w:tplc="0E36897E">
      <w:start w:val="1"/>
      <w:numFmt w:val="decimal"/>
      <w:pStyle w:val="TariffScheduleList"/>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9080030"/>
    <w:multiLevelType w:val="hybridMultilevel"/>
    <w:tmpl w:val="A3E8AD94"/>
    <w:lvl w:ilvl="0" w:tplc="04090001">
      <w:start w:val="1"/>
      <w:numFmt w:val="bullet"/>
      <w:lvlText w:val=""/>
      <w:lvlJc w:val="left"/>
      <w:pPr>
        <w:ind w:left="1353" w:hanging="360"/>
      </w:pPr>
      <w:rPr>
        <w:rFonts w:ascii="Symbol" w:hAnsi="Symbol" w:hint="default"/>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nsid w:val="19743332"/>
    <w:multiLevelType w:val="hybridMultilevel"/>
    <w:tmpl w:val="FB3A889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C9F33C0"/>
    <w:multiLevelType w:val="hybridMultilevel"/>
    <w:tmpl w:val="3A38094C"/>
    <w:lvl w:ilvl="0" w:tplc="091CC8D6">
      <w:start w:val="1"/>
      <w:numFmt w:val="decimal"/>
      <w:lvlText w:val="%1."/>
      <w:lvlJc w:val="left"/>
      <w:pPr>
        <w:tabs>
          <w:tab w:val="num" w:pos="360"/>
        </w:tabs>
        <w:ind w:left="360" w:hanging="360"/>
      </w:pPr>
      <w:rPr>
        <w:rFonts w:ascii="Arial" w:hAnsi="Arial" w:cs="Times New Roman" w:hint="default"/>
        <w:b/>
        <w:i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1DDA6C2C"/>
    <w:multiLevelType w:val="hybridMultilevel"/>
    <w:tmpl w:val="29400300"/>
    <w:lvl w:ilvl="0" w:tplc="04090001">
      <w:start w:val="1"/>
      <w:numFmt w:val="bullet"/>
      <w:lvlText w:val=""/>
      <w:lvlJc w:val="left"/>
      <w:pPr>
        <w:ind w:left="1353" w:hanging="360"/>
      </w:pPr>
      <w:rPr>
        <w:rFonts w:ascii="Symbol" w:hAnsi="Symbol" w:hint="default"/>
        <w:b w:val="0"/>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nsid w:val="1FB0656E"/>
    <w:multiLevelType w:val="hybridMultilevel"/>
    <w:tmpl w:val="DF3ED68E"/>
    <w:lvl w:ilvl="0" w:tplc="04090001">
      <w:start w:val="1"/>
      <w:numFmt w:val="bullet"/>
      <w:lvlText w:val=""/>
      <w:lvlJc w:val="left"/>
      <w:pPr>
        <w:ind w:left="171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1FC02D64"/>
    <w:multiLevelType w:val="hybridMultilevel"/>
    <w:tmpl w:val="175EB5E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4">
    <w:nsid w:val="20075894"/>
    <w:multiLevelType w:val="hybridMultilevel"/>
    <w:tmpl w:val="977AC84E"/>
    <w:lvl w:ilvl="0" w:tplc="71D2E1A8">
      <w:start w:val="1"/>
      <w:numFmt w:val="decimal"/>
      <w:lvlText w:val="%1."/>
      <w:lvlJc w:val="left"/>
      <w:pPr>
        <w:ind w:left="770" w:hanging="360"/>
      </w:pPr>
    </w:lvl>
    <w:lvl w:ilvl="1" w:tplc="A0FC7C8C" w:tentative="1">
      <w:start w:val="1"/>
      <w:numFmt w:val="lowerLetter"/>
      <w:lvlText w:val="%2."/>
      <w:lvlJc w:val="left"/>
      <w:pPr>
        <w:ind w:left="1490" w:hanging="360"/>
      </w:pPr>
    </w:lvl>
    <w:lvl w:ilvl="2" w:tplc="7094667C" w:tentative="1">
      <w:start w:val="1"/>
      <w:numFmt w:val="lowerRoman"/>
      <w:lvlText w:val="%3."/>
      <w:lvlJc w:val="right"/>
      <w:pPr>
        <w:ind w:left="2210" w:hanging="180"/>
      </w:pPr>
    </w:lvl>
    <w:lvl w:ilvl="3" w:tplc="110432AE" w:tentative="1">
      <w:start w:val="1"/>
      <w:numFmt w:val="decimal"/>
      <w:lvlText w:val="%4."/>
      <w:lvlJc w:val="left"/>
      <w:pPr>
        <w:ind w:left="2930" w:hanging="360"/>
      </w:pPr>
    </w:lvl>
    <w:lvl w:ilvl="4" w:tplc="CDA84660" w:tentative="1">
      <w:start w:val="1"/>
      <w:numFmt w:val="lowerLetter"/>
      <w:lvlText w:val="%5."/>
      <w:lvlJc w:val="left"/>
      <w:pPr>
        <w:ind w:left="3650" w:hanging="360"/>
      </w:pPr>
    </w:lvl>
    <w:lvl w:ilvl="5" w:tplc="4EF0A48E" w:tentative="1">
      <w:start w:val="1"/>
      <w:numFmt w:val="lowerRoman"/>
      <w:lvlText w:val="%6."/>
      <w:lvlJc w:val="right"/>
      <w:pPr>
        <w:ind w:left="4370" w:hanging="180"/>
      </w:pPr>
    </w:lvl>
    <w:lvl w:ilvl="6" w:tplc="8C2CD5C4" w:tentative="1">
      <w:start w:val="1"/>
      <w:numFmt w:val="decimal"/>
      <w:lvlText w:val="%7."/>
      <w:lvlJc w:val="left"/>
      <w:pPr>
        <w:ind w:left="5090" w:hanging="360"/>
      </w:pPr>
    </w:lvl>
    <w:lvl w:ilvl="7" w:tplc="4ABEB19E" w:tentative="1">
      <w:start w:val="1"/>
      <w:numFmt w:val="lowerLetter"/>
      <w:lvlText w:val="%8."/>
      <w:lvlJc w:val="left"/>
      <w:pPr>
        <w:ind w:left="5810" w:hanging="360"/>
      </w:pPr>
    </w:lvl>
    <w:lvl w:ilvl="8" w:tplc="662AB508" w:tentative="1">
      <w:start w:val="1"/>
      <w:numFmt w:val="lowerRoman"/>
      <w:lvlText w:val="%9."/>
      <w:lvlJc w:val="right"/>
      <w:pPr>
        <w:ind w:left="6530" w:hanging="180"/>
      </w:pPr>
    </w:lvl>
  </w:abstractNum>
  <w:abstractNum w:abstractNumId="25">
    <w:nsid w:val="21754051"/>
    <w:multiLevelType w:val="hybridMultilevel"/>
    <w:tmpl w:val="5644D868"/>
    <w:lvl w:ilvl="0" w:tplc="D5C81474">
      <w:start w:val="1"/>
      <w:numFmt w:val="decimal"/>
      <w:lvlText w:val="%1."/>
      <w:lvlJc w:val="left"/>
      <w:pPr>
        <w:tabs>
          <w:tab w:val="num" w:pos="1080"/>
        </w:tabs>
        <w:ind w:left="108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237046B9"/>
    <w:multiLevelType w:val="hybridMultilevel"/>
    <w:tmpl w:val="ECE6F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23E7150F"/>
    <w:multiLevelType w:val="hybridMultilevel"/>
    <w:tmpl w:val="A92EF89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7505F18"/>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9FB4E7F"/>
    <w:multiLevelType w:val="hybridMultilevel"/>
    <w:tmpl w:val="57B2A66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B3A0144"/>
    <w:multiLevelType w:val="hybridMultilevel"/>
    <w:tmpl w:val="F8AA4D9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B99452F"/>
    <w:multiLevelType w:val="hybridMultilevel"/>
    <w:tmpl w:val="81AACBB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CFC6ABF"/>
    <w:multiLevelType w:val="hybridMultilevel"/>
    <w:tmpl w:val="A52AE4F2"/>
    <w:lvl w:ilvl="0" w:tplc="DCA4420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2E2744B8"/>
    <w:multiLevelType w:val="hybridMultilevel"/>
    <w:tmpl w:val="A71089DC"/>
    <w:lvl w:ilvl="0" w:tplc="6A5A8C3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4">
    <w:nsid w:val="2E541985"/>
    <w:multiLevelType w:val="hybridMultilevel"/>
    <w:tmpl w:val="65A61078"/>
    <w:lvl w:ilvl="0" w:tplc="4009001B">
      <w:start w:val="1"/>
      <w:numFmt w:val="lowerRoman"/>
      <w:lvlText w:val="%1."/>
      <w:lvlJc w:val="right"/>
      <w:pPr>
        <w:ind w:left="720" w:hanging="360"/>
      </w:pPr>
    </w:lvl>
    <w:lvl w:ilvl="1" w:tplc="4009001B">
      <w:start w:val="1"/>
      <w:numFmt w:val="low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2EF11B88"/>
    <w:multiLevelType w:val="hybridMultilevel"/>
    <w:tmpl w:val="B9128C98"/>
    <w:lvl w:ilvl="0" w:tplc="04090001">
      <w:start w:val="1"/>
      <w:numFmt w:val="bullet"/>
      <w:lvlText w:val=""/>
      <w:lvlJc w:val="left"/>
      <w:pPr>
        <w:ind w:left="2430" w:hanging="360"/>
      </w:pPr>
      <w:rPr>
        <w:rFonts w:ascii="Symbol" w:hAnsi="Symbol"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6">
    <w:nsid w:val="2EFA6D38"/>
    <w:multiLevelType w:val="hybridMultilevel"/>
    <w:tmpl w:val="9E046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25AE0B38">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DB013B"/>
    <w:multiLevelType w:val="hybridMultilevel"/>
    <w:tmpl w:val="DACA386A"/>
    <w:lvl w:ilvl="0" w:tplc="40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31055164"/>
    <w:multiLevelType w:val="hybridMultilevel"/>
    <w:tmpl w:val="6C14C612"/>
    <w:lvl w:ilvl="0" w:tplc="04090001">
      <w:start w:val="1"/>
      <w:numFmt w:val="bullet"/>
      <w:lvlText w:val=""/>
      <w:lvlJc w:val="left"/>
      <w:pPr>
        <w:ind w:left="810" w:hanging="360"/>
      </w:pPr>
      <w:rPr>
        <w:rFonts w:ascii="Symbol" w:hAnsi="Symbol" w:hint="default"/>
      </w:rPr>
    </w:lvl>
    <w:lvl w:ilvl="1" w:tplc="F72E251A" w:tentative="1">
      <w:start w:val="1"/>
      <w:numFmt w:val="bullet"/>
      <w:lvlText w:val="o"/>
      <w:lvlJc w:val="left"/>
      <w:pPr>
        <w:ind w:left="1530" w:hanging="360"/>
      </w:pPr>
      <w:rPr>
        <w:rFonts w:ascii="Courier New" w:hAnsi="Courier New" w:cs="Courier New" w:hint="default"/>
      </w:rPr>
    </w:lvl>
    <w:lvl w:ilvl="2" w:tplc="BAC0D684" w:tentative="1">
      <w:start w:val="1"/>
      <w:numFmt w:val="bullet"/>
      <w:lvlText w:val=""/>
      <w:lvlJc w:val="left"/>
      <w:pPr>
        <w:ind w:left="2250" w:hanging="360"/>
      </w:pPr>
      <w:rPr>
        <w:rFonts w:ascii="Wingdings" w:hAnsi="Wingdings" w:hint="default"/>
      </w:rPr>
    </w:lvl>
    <w:lvl w:ilvl="3" w:tplc="2AAC5312" w:tentative="1">
      <w:start w:val="1"/>
      <w:numFmt w:val="bullet"/>
      <w:lvlText w:val=""/>
      <w:lvlJc w:val="left"/>
      <w:pPr>
        <w:ind w:left="2970" w:hanging="360"/>
      </w:pPr>
      <w:rPr>
        <w:rFonts w:ascii="Symbol" w:hAnsi="Symbol" w:hint="default"/>
      </w:rPr>
    </w:lvl>
    <w:lvl w:ilvl="4" w:tplc="38A8D850" w:tentative="1">
      <w:start w:val="1"/>
      <w:numFmt w:val="bullet"/>
      <w:lvlText w:val="o"/>
      <w:lvlJc w:val="left"/>
      <w:pPr>
        <w:ind w:left="3690" w:hanging="360"/>
      </w:pPr>
      <w:rPr>
        <w:rFonts w:ascii="Courier New" w:hAnsi="Courier New" w:cs="Courier New" w:hint="default"/>
      </w:rPr>
    </w:lvl>
    <w:lvl w:ilvl="5" w:tplc="133082B8" w:tentative="1">
      <w:start w:val="1"/>
      <w:numFmt w:val="bullet"/>
      <w:lvlText w:val=""/>
      <w:lvlJc w:val="left"/>
      <w:pPr>
        <w:ind w:left="4410" w:hanging="360"/>
      </w:pPr>
      <w:rPr>
        <w:rFonts w:ascii="Wingdings" w:hAnsi="Wingdings" w:hint="default"/>
      </w:rPr>
    </w:lvl>
    <w:lvl w:ilvl="6" w:tplc="712E5E4E" w:tentative="1">
      <w:start w:val="1"/>
      <w:numFmt w:val="bullet"/>
      <w:lvlText w:val=""/>
      <w:lvlJc w:val="left"/>
      <w:pPr>
        <w:ind w:left="5130" w:hanging="360"/>
      </w:pPr>
      <w:rPr>
        <w:rFonts w:ascii="Symbol" w:hAnsi="Symbol" w:hint="default"/>
      </w:rPr>
    </w:lvl>
    <w:lvl w:ilvl="7" w:tplc="4386DFA2" w:tentative="1">
      <w:start w:val="1"/>
      <w:numFmt w:val="bullet"/>
      <w:lvlText w:val="o"/>
      <w:lvlJc w:val="left"/>
      <w:pPr>
        <w:ind w:left="5850" w:hanging="360"/>
      </w:pPr>
      <w:rPr>
        <w:rFonts w:ascii="Courier New" w:hAnsi="Courier New" w:cs="Courier New" w:hint="default"/>
      </w:rPr>
    </w:lvl>
    <w:lvl w:ilvl="8" w:tplc="D49A9B0A" w:tentative="1">
      <w:start w:val="1"/>
      <w:numFmt w:val="bullet"/>
      <w:lvlText w:val=""/>
      <w:lvlJc w:val="left"/>
      <w:pPr>
        <w:ind w:left="6570" w:hanging="360"/>
      </w:pPr>
      <w:rPr>
        <w:rFonts w:ascii="Wingdings" w:hAnsi="Wingdings" w:hint="default"/>
      </w:rPr>
    </w:lvl>
  </w:abstractNum>
  <w:abstractNum w:abstractNumId="39">
    <w:nsid w:val="317061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328A276E"/>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2F77947"/>
    <w:multiLevelType w:val="hybridMultilevel"/>
    <w:tmpl w:val="53765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83A4E88"/>
    <w:multiLevelType w:val="hybridMultilevel"/>
    <w:tmpl w:val="D840CE2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84C7EAD"/>
    <w:multiLevelType w:val="multilevel"/>
    <w:tmpl w:val="172A0C5E"/>
    <w:lvl w:ilvl="0">
      <w:start w:val="2"/>
      <w:numFmt w:val="lowerRoman"/>
      <w:lvlText w:val="%1."/>
      <w:lvlJc w:val="left"/>
      <w:pPr>
        <w:tabs>
          <w:tab w:val="num" w:pos="2610"/>
        </w:tabs>
        <w:ind w:left="2610" w:hanging="720"/>
      </w:pPr>
      <w:rPr>
        <w:b/>
      </w:rPr>
    </w:lvl>
    <w:lvl w:ilvl="1">
      <w:start w:val="2"/>
      <w:numFmt w:val="lowerLetter"/>
      <w:lvlText w:val="%2."/>
      <w:lvlJc w:val="left"/>
      <w:pPr>
        <w:tabs>
          <w:tab w:val="num" w:pos="2970"/>
        </w:tabs>
        <w:ind w:left="2970" w:hanging="360"/>
      </w:pPr>
    </w:lvl>
    <w:lvl w:ilvl="2">
      <w:start w:val="1"/>
      <w:numFmt w:val="lowerRoman"/>
      <w:lvlText w:val="%3."/>
      <w:lvlJc w:val="right"/>
      <w:pPr>
        <w:tabs>
          <w:tab w:val="num" w:pos="3690"/>
        </w:tabs>
        <w:ind w:left="3690" w:hanging="180"/>
      </w:pPr>
    </w:lvl>
    <w:lvl w:ilvl="3">
      <w:start w:val="1"/>
      <w:numFmt w:val="decimal"/>
      <w:lvlText w:val="%4."/>
      <w:lvlJc w:val="left"/>
      <w:pPr>
        <w:tabs>
          <w:tab w:val="num" w:pos="4410"/>
        </w:tabs>
        <w:ind w:left="4410" w:hanging="360"/>
      </w:pPr>
    </w:lvl>
    <w:lvl w:ilvl="4">
      <w:start w:val="1"/>
      <w:numFmt w:val="lowerLetter"/>
      <w:lvlText w:val="%5."/>
      <w:lvlJc w:val="left"/>
      <w:pPr>
        <w:tabs>
          <w:tab w:val="num" w:pos="5130"/>
        </w:tabs>
        <w:ind w:left="5130" w:hanging="360"/>
      </w:pPr>
    </w:lvl>
    <w:lvl w:ilvl="5">
      <w:start w:val="1"/>
      <w:numFmt w:val="lowerRoman"/>
      <w:lvlText w:val="%6."/>
      <w:lvlJc w:val="right"/>
      <w:pPr>
        <w:tabs>
          <w:tab w:val="num" w:pos="5850"/>
        </w:tabs>
        <w:ind w:left="5850" w:hanging="180"/>
      </w:pPr>
    </w:lvl>
    <w:lvl w:ilvl="6">
      <w:start w:val="1"/>
      <w:numFmt w:val="decimal"/>
      <w:lvlText w:val="%7."/>
      <w:lvlJc w:val="left"/>
      <w:pPr>
        <w:tabs>
          <w:tab w:val="num" w:pos="6570"/>
        </w:tabs>
        <w:ind w:left="6570" w:hanging="360"/>
      </w:pPr>
    </w:lvl>
    <w:lvl w:ilvl="7">
      <w:start w:val="1"/>
      <w:numFmt w:val="lowerLetter"/>
      <w:lvlText w:val="%8."/>
      <w:lvlJc w:val="left"/>
      <w:pPr>
        <w:tabs>
          <w:tab w:val="num" w:pos="7290"/>
        </w:tabs>
        <w:ind w:left="7290" w:hanging="360"/>
      </w:pPr>
    </w:lvl>
    <w:lvl w:ilvl="8">
      <w:start w:val="1"/>
      <w:numFmt w:val="lowerRoman"/>
      <w:lvlText w:val="%9."/>
      <w:lvlJc w:val="right"/>
      <w:pPr>
        <w:tabs>
          <w:tab w:val="num" w:pos="8010"/>
        </w:tabs>
        <w:ind w:left="8010" w:hanging="180"/>
      </w:pPr>
    </w:lvl>
  </w:abstractNum>
  <w:abstractNum w:abstractNumId="44">
    <w:nsid w:val="38A84729"/>
    <w:multiLevelType w:val="hybridMultilevel"/>
    <w:tmpl w:val="AEF6914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8E03690"/>
    <w:multiLevelType w:val="hybridMultilevel"/>
    <w:tmpl w:val="B494243E"/>
    <w:lvl w:ilvl="0" w:tplc="4FF28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8FC614C"/>
    <w:multiLevelType w:val="hybridMultilevel"/>
    <w:tmpl w:val="CC403D8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7">
    <w:nsid w:val="3AF33DE1"/>
    <w:multiLevelType w:val="hybridMultilevel"/>
    <w:tmpl w:val="2F3ECDD2"/>
    <w:lvl w:ilvl="0" w:tplc="9904CE7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BF85FF1"/>
    <w:multiLevelType w:val="hybridMultilevel"/>
    <w:tmpl w:val="B04AA58A"/>
    <w:lvl w:ilvl="0" w:tplc="DB085446">
      <w:start w:val="1"/>
      <w:numFmt w:val="bullet"/>
      <w:lvlText w:val=""/>
      <w:lvlJc w:val="left"/>
      <w:pPr>
        <w:ind w:left="720" w:hanging="360"/>
      </w:pPr>
      <w:rPr>
        <w:rFonts w:ascii="Symbol" w:hAnsi="Symbol" w:hint="default"/>
      </w:rPr>
    </w:lvl>
    <w:lvl w:ilvl="1" w:tplc="05667706"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nsid w:val="3D367C60"/>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3ED65A14"/>
    <w:multiLevelType w:val="multilevel"/>
    <w:tmpl w:val="282C66D8"/>
    <w:lvl w:ilvl="0">
      <w:start w:val="1"/>
      <w:numFmt w:val="decimal"/>
      <w:lvlText w:val="%1"/>
      <w:lvlJc w:val="left"/>
      <w:pPr>
        <w:ind w:left="432" w:hanging="432"/>
      </w:pPr>
    </w:lvl>
    <w:lvl w:ilvl="1">
      <w:start w:val="1"/>
      <w:numFmt w:val="decimal"/>
      <w:pStyle w:val="TariffRateScheduleleve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nsid w:val="43CA6164"/>
    <w:multiLevelType w:val="hybridMultilevel"/>
    <w:tmpl w:val="0C28B400"/>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2">
    <w:nsid w:val="449C49E6"/>
    <w:multiLevelType w:val="hybridMultilevel"/>
    <w:tmpl w:val="FB34B34C"/>
    <w:lvl w:ilvl="0" w:tplc="FAD0A96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nsid w:val="46C1253C"/>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nsid w:val="46C81EBF"/>
    <w:multiLevelType w:val="hybridMultilevel"/>
    <w:tmpl w:val="8B8E2D4C"/>
    <w:lvl w:ilvl="0" w:tplc="A6A69DF0">
      <w:numFmt w:val="bullet"/>
      <w:lvlText w:val="•"/>
      <w:lvlJc w:val="left"/>
      <w:pPr>
        <w:ind w:left="1713" w:hanging="360"/>
      </w:pPr>
      <w:rPr>
        <w:rFonts w:ascii="Calibri" w:eastAsia="Times New Roman" w:hAnsi="Calibri" w:cs="Calibri"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5">
    <w:nsid w:val="46D51526"/>
    <w:multiLevelType w:val="hybridMultilevel"/>
    <w:tmpl w:val="8D22C916"/>
    <w:lvl w:ilvl="0" w:tplc="77C8CB5E">
      <w:start w:val="1"/>
      <w:numFmt w:val="lowerRoman"/>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6">
    <w:nsid w:val="471530F7"/>
    <w:multiLevelType w:val="hybridMultilevel"/>
    <w:tmpl w:val="42202EBE"/>
    <w:lvl w:ilvl="0" w:tplc="4009000F">
      <w:start w:val="1"/>
      <w:numFmt w:val="decimal"/>
      <w:lvlText w:val="%1."/>
      <w:lvlJc w:val="left"/>
      <w:pPr>
        <w:ind w:left="2421" w:hanging="360"/>
      </w:pPr>
    </w:lvl>
    <w:lvl w:ilvl="1" w:tplc="40090019" w:tentative="1">
      <w:start w:val="1"/>
      <w:numFmt w:val="lowerLetter"/>
      <w:lvlText w:val="%2."/>
      <w:lvlJc w:val="left"/>
      <w:pPr>
        <w:ind w:left="3141" w:hanging="360"/>
      </w:pPr>
    </w:lvl>
    <w:lvl w:ilvl="2" w:tplc="4009001B" w:tentative="1">
      <w:start w:val="1"/>
      <w:numFmt w:val="lowerRoman"/>
      <w:lvlText w:val="%3."/>
      <w:lvlJc w:val="right"/>
      <w:pPr>
        <w:ind w:left="3861" w:hanging="180"/>
      </w:pPr>
    </w:lvl>
    <w:lvl w:ilvl="3" w:tplc="4009000F" w:tentative="1">
      <w:start w:val="1"/>
      <w:numFmt w:val="decimal"/>
      <w:lvlText w:val="%4."/>
      <w:lvlJc w:val="left"/>
      <w:pPr>
        <w:ind w:left="4581" w:hanging="360"/>
      </w:pPr>
    </w:lvl>
    <w:lvl w:ilvl="4" w:tplc="40090019" w:tentative="1">
      <w:start w:val="1"/>
      <w:numFmt w:val="lowerLetter"/>
      <w:lvlText w:val="%5."/>
      <w:lvlJc w:val="left"/>
      <w:pPr>
        <w:ind w:left="5301" w:hanging="360"/>
      </w:pPr>
    </w:lvl>
    <w:lvl w:ilvl="5" w:tplc="4009001B" w:tentative="1">
      <w:start w:val="1"/>
      <w:numFmt w:val="lowerRoman"/>
      <w:lvlText w:val="%6."/>
      <w:lvlJc w:val="right"/>
      <w:pPr>
        <w:ind w:left="6021" w:hanging="180"/>
      </w:pPr>
    </w:lvl>
    <w:lvl w:ilvl="6" w:tplc="4009000F" w:tentative="1">
      <w:start w:val="1"/>
      <w:numFmt w:val="decimal"/>
      <w:lvlText w:val="%7."/>
      <w:lvlJc w:val="left"/>
      <w:pPr>
        <w:ind w:left="6741" w:hanging="360"/>
      </w:pPr>
    </w:lvl>
    <w:lvl w:ilvl="7" w:tplc="40090019" w:tentative="1">
      <w:start w:val="1"/>
      <w:numFmt w:val="lowerLetter"/>
      <w:lvlText w:val="%8."/>
      <w:lvlJc w:val="left"/>
      <w:pPr>
        <w:ind w:left="7461" w:hanging="360"/>
      </w:pPr>
    </w:lvl>
    <w:lvl w:ilvl="8" w:tplc="4009001B" w:tentative="1">
      <w:start w:val="1"/>
      <w:numFmt w:val="lowerRoman"/>
      <w:lvlText w:val="%9."/>
      <w:lvlJc w:val="right"/>
      <w:pPr>
        <w:ind w:left="8181" w:hanging="180"/>
      </w:pPr>
    </w:lvl>
  </w:abstractNum>
  <w:abstractNum w:abstractNumId="57">
    <w:nsid w:val="493F3E49"/>
    <w:multiLevelType w:val="hybridMultilevel"/>
    <w:tmpl w:val="2004836A"/>
    <w:lvl w:ilvl="0" w:tplc="041AB48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95334D1"/>
    <w:multiLevelType w:val="hybridMultilevel"/>
    <w:tmpl w:val="E7E86E52"/>
    <w:lvl w:ilvl="0" w:tplc="40090001">
      <w:start w:val="1"/>
      <w:numFmt w:val="bullet"/>
      <w:lvlText w:val=""/>
      <w:lvlJc w:val="left"/>
      <w:pPr>
        <w:ind w:left="1353" w:hanging="360"/>
      </w:pPr>
      <w:rPr>
        <w:rFonts w:ascii="Symbol" w:hAnsi="Symbol" w:hint="default"/>
      </w:rPr>
    </w:lvl>
    <w:lvl w:ilvl="1" w:tplc="40090003" w:tentative="1">
      <w:start w:val="1"/>
      <w:numFmt w:val="bullet"/>
      <w:lvlText w:val="o"/>
      <w:lvlJc w:val="left"/>
      <w:pPr>
        <w:ind w:left="2073" w:hanging="360"/>
      </w:pPr>
      <w:rPr>
        <w:rFonts w:ascii="Courier New" w:hAnsi="Courier New" w:cs="Courier New" w:hint="default"/>
      </w:rPr>
    </w:lvl>
    <w:lvl w:ilvl="2" w:tplc="40090005" w:tentative="1">
      <w:start w:val="1"/>
      <w:numFmt w:val="bullet"/>
      <w:lvlText w:val=""/>
      <w:lvlJc w:val="left"/>
      <w:pPr>
        <w:ind w:left="2793" w:hanging="360"/>
      </w:pPr>
      <w:rPr>
        <w:rFonts w:ascii="Wingdings" w:hAnsi="Wingdings" w:hint="default"/>
      </w:rPr>
    </w:lvl>
    <w:lvl w:ilvl="3" w:tplc="40090001" w:tentative="1">
      <w:start w:val="1"/>
      <w:numFmt w:val="bullet"/>
      <w:lvlText w:val=""/>
      <w:lvlJc w:val="left"/>
      <w:pPr>
        <w:ind w:left="3513" w:hanging="360"/>
      </w:pPr>
      <w:rPr>
        <w:rFonts w:ascii="Symbol" w:hAnsi="Symbol" w:hint="default"/>
      </w:rPr>
    </w:lvl>
    <w:lvl w:ilvl="4" w:tplc="40090003" w:tentative="1">
      <w:start w:val="1"/>
      <w:numFmt w:val="bullet"/>
      <w:lvlText w:val="o"/>
      <w:lvlJc w:val="left"/>
      <w:pPr>
        <w:ind w:left="4233" w:hanging="360"/>
      </w:pPr>
      <w:rPr>
        <w:rFonts w:ascii="Courier New" w:hAnsi="Courier New" w:cs="Courier New" w:hint="default"/>
      </w:rPr>
    </w:lvl>
    <w:lvl w:ilvl="5" w:tplc="40090005" w:tentative="1">
      <w:start w:val="1"/>
      <w:numFmt w:val="bullet"/>
      <w:lvlText w:val=""/>
      <w:lvlJc w:val="left"/>
      <w:pPr>
        <w:ind w:left="4953" w:hanging="360"/>
      </w:pPr>
      <w:rPr>
        <w:rFonts w:ascii="Wingdings" w:hAnsi="Wingdings" w:hint="default"/>
      </w:rPr>
    </w:lvl>
    <w:lvl w:ilvl="6" w:tplc="40090001" w:tentative="1">
      <w:start w:val="1"/>
      <w:numFmt w:val="bullet"/>
      <w:lvlText w:val=""/>
      <w:lvlJc w:val="left"/>
      <w:pPr>
        <w:ind w:left="5673" w:hanging="360"/>
      </w:pPr>
      <w:rPr>
        <w:rFonts w:ascii="Symbol" w:hAnsi="Symbol" w:hint="default"/>
      </w:rPr>
    </w:lvl>
    <w:lvl w:ilvl="7" w:tplc="40090003" w:tentative="1">
      <w:start w:val="1"/>
      <w:numFmt w:val="bullet"/>
      <w:lvlText w:val="o"/>
      <w:lvlJc w:val="left"/>
      <w:pPr>
        <w:ind w:left="6393" w:hanging="360"/>
      </w:pPr>
      <w:rPr>
        <w:rFonts w:ascii="Courier New" w:hAnsi="Courier New" w:cs="Courier New" w:hint="default"/>
      </w:rPr>
    </w:lvl>
    <w:lvl w:ilvl="8" w:tplc="40090005" w:tentative="1">
      <w:start w:val="1"/>
      <w:numFmt w:val="bullet"/>
      <w:lvlText w:val=""/>
      <w:lvlJc w:val="left"/>
      <w:pPr>
        <w:ind w:left="7113" w:hanging="360"/>
      </w:pPr>
      <w:rPr>
        <w:rFonts w:ascii="Wingdings" w:hAnsi="Wingdings" w:hint="default"/>
      </w:rPr>
    </w:lvl>
  </w:abstractNum>
  <w:abstractNum w:abstractNumId="59">
    <w:nsid w:val="4AE57A48"/>
    <w:multiLevelType w:val="multilevel"/>
    <w:tmpl w:val="FA623B7E"/>
    <w:lvl w:ilvl="0">
      <w:start w:val="1"/>
      <w:numFmt w:val="lowerRoman"/>
      <w:lvlText w:val="%1."/>
      <w:lvlJc w:val="righ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4B1953E8"/>
    <w:multiLevelType w:val="hybridMultilevel"/>
    <w:tmpl w:val="58E0FFE2"/>
    <w:lvl w:ilvl="0" w:tplc="788E74FC">
      <w:start w:val="2"/>
      <w:numFmt w:val="lowerLetter"/>
      <w:lvlText w:val="(%1)"/>
      <w:lvlJc w:val="left"/>
      <w:pPr>
        <w:tabs>
          <w:tab w:val="num" w:pos="900"/>
        </w:tabs>
        <w:ind w:left="900" w:hanging="360"/>
      </w:pPr>
      <w:rPr>
        <w:b/>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61">
    <w:nsid w:val="4C5F15DF"/>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4CA93EFA"/>
    <w:multiLevelType w:val="hybridMultilevel"/>
    <w:tmpl w:val="3B38405C"/>
    <w:lvl w:ilvl="0" w:tplc="04090017">
      <w:start w:val="1"/>
      <w:numFmt w:val="lowerLetter"/>
      <w:lvlText w:val="%1)"/>
      <w:lvlJc w:val="left"/>
      <w:pPr>
        <w:ind w:left="720" w:hanging="360"/>
      </w:pPr>
      <w:rPr>
        <w:rFonts w:hint="default"/>
      </w:rPr>
    </w:lvl>
    <w:lvl w:ilvl="1" w:tplc="822A059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D3B23A4"/>
    <w:multiLevelType w:val="hybridMultilevel"/>
    <w:tmpl w:val="EAF084F0"/>
    <w:lvl w:ilvl="0" w:tplc="A6A69DF0">
      <w:numFmt w:val="bullet"/>
      <w:lvlText w:val="•"/>
      <w:lvlJc w:val="left"/>
      <w:pPr>
        <w:ind w:left="1353" w:hanging="360"/>
      </w:pPr>
      <w:rPr>
        <w:rFonts w:ascii="Calibri" w:eastAsia="Times New Roman" w:hAnsi="Calibri" w:cs="Calibri"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4">
    <w:nsid w:val="4D8526CD"/>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5">
    <w:nsid w:val="4F484EEC"/>
    <w:multiLevelType w:val="hybridMultilevel"/>
    <w:tmpl w:val="38DA882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4FCA4806"/>
    <w:multiLevelType w:val="hybridMultilevel"/>
    <w:tmpl w:val="C26E671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0F92CCD"/>
    <w:multiLevelType w:val="hybridMultilevel"/>
    <w:tmpl w:val="63C013C4"/>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521F26BF"/>
    <w:multiLevelType w:val="hybridMultilevel"/>
    <w:tmpl w:val="D102D1FA"/>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57720BD2"/>
    <w:multiLevelType w:val="hybridMultilevel"/>
    <w:tmpl w:val="6166E086"/>
    <w:lvl w:ilvl="0" w:tplc="40090017">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E3068E"/>
    <w:multiLevelType w:val="hybridMultilevel"/>
    <w:tmpl w:val="FF4A7886"/>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5C2950B2"/>
    <w:multiLevelType w:val="hybridMultilevel"/>
    <w:tmpl w:val="1234C2C0"/>
    <w:lvl w:ilvl="0" w:tplc="B8B467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nsid w:val="5CBC6404"/>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5E367F26"/>
    <w:multiLevelType w:val="hybridMultilevel"/>
    <w:tmpl w:val="EC2CFED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EB507BB"/>
    <w:multiLevelType w:val="multilevel"/>
    <w:tmpl w:val="6AFCDCD2"/>
    <w:lvl w:ilvl="0">
      <w:start w:val="1"/>
      <w:numFmt w:val="decimal"/>
      <w:lvlText w:val="%1."/>
      <w:lvlJc w:val="left"/>
      <w:pPr>
        <w:ind w:left="600" w:hanging="600"/>
      </w:pPr>
      <w:rPr>
        <w:rFonts w:hint="default"/>
      </w:rPr>
    </w:lvl>
    <w:lvl w:ilvl="1">
      <w:start w:val="2"/>
      <w:numFmt w:val="decimal"/>
      <w:lvlText w:val="%1.%2"/>
      <w:lvlJc w:val="left"/>
      <w:pPr>
        <w:ind w:left="780" w:hanging="780"/>
      </w:pPr>
      <w:rPr>
        <w:rFonts w:hint="default"/>
        <w:b/>
      </w:rPr>
    </w:lvl>
    <w:lvl w:ilvl="2">
      <w:start w:val="1"/>
      <w:numFmt w:val="bullet"/>
      <w:lvlText w:val=""/>
      <w:lvlJc w:val="left"/>
      <w:pPr>
        <w:tabs>
          <w:tab w:val="num" w:pos="936"/>
        </w:tabs>
        <w:ind w:left="936" w:hanging="936"/>
      </w:pPr>
      <w:rPr>
        <w:rFonts w:ascii="Symbol" w:hAnsi="Symbol" w:hint="default"/>
        <w:b w:val="0"/>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5">
    <w:nsid w:val="5FA17A0D"/>
    <w:multiLevelType w:val="hybridMultilevel"/>
    <w:tmpl w:val="A5C291C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2227B15"/>
    <w:multiLevelType w:val="singleLevel"/>
    <w:tmpl w:val="3A7652D8"/>
    <w:lvl w:ilvl="0">
      <w:start w:val="1"/>
      <w:numFmt w:val="decimal"/>
      <w:lvlText w:val="%1."/>
      <w:lvlJc w:val="left"/>
      <w:pPr>
        <w:tabs>
          <w:tab w:val="num" w:pos="360"/>
        </w:tabs>
        <w:ind w:left="360" w:hanging="360"/>
      </w:pPr>
      <w:rPr>
        <w:rFonts w:ascii="Calibri" w:hAnsi="Calibri" w:cs="Times New Roman" w:hint="default"/>
        <w:b/>
        <w:i w:val="0"/>
        <w:sz w:val="24"/>
        <w:szCs w:val="24"/>
      </w:rPr>
    </w:lvl>
  </w:abstractNum>
  <w:abstractNum w:abstractNumId="77">
    <w:nsid w:val="640D25D0"/>
    <w:multiLevelType w:val="hybridMultilevel"/>
    <w:tmpl w:val="14962D6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66F2163A"/>
    <w:multiLevelType w:val="hybridMultilevel"/>
    <w:tmpl w:val="77D820C4"/>
    <w:lvl w:ilvl="0" w:tplc="04090017">
      <w:start w:val="1"/>
      <w:numFmt w:val="lowerRoman"/>
      <w:lvlText w:val="(%1)"/>
      <w:lvlJc w:val="left"/>
      <w:pPr>
        <w:tabs>
          <w:tab w:val="num" w:pos="1080"/>
        </w:tabs>
        <w:ind w:left="1080" w:hanging="720"/>
      </w:pPr>
      <w:rPr>
        <w:rFonts w:ascii="Calibri" w:hAnsi="Calibri" w:cs="Times New Roman" w:hint="default"/>
        <w:b w:val="0"/>
      </w:rPr>
    </w:lvl>
    <w:lvl w:ilvl="1" w:tplc="04090019">
      <w:start w:val="1"/>
      <w:numFmt w:val="decimal"/>
      <w:lvlText w:val="(%2)"/>
      <w:lvlJc w:val="left"/>
      <w:pPr>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nsid w:val="67045361"/>
    <w:multiLevelType w:val="hybridMultilevel"/>
    <w:tmpl w:val="6050538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68432FA1"/>
    <w:multiLevelType w:val="hybridMultilevel"/>
    <w:tmpl w:val="ECC8420C"/>
    <w:lvl w:ilvl="0" w:tplc="66705BA4">
      <w:start w:val="1"/>
      <w:numFmt w:val="lowerRoman"/>
      <w:lvlText w:val="%1)"/>
      <w:lvlJc w:val="left"/>
      <w:pPr>
        <w:tabs>
          <w:tab w:val="num" w:pos="1080"/>
        </w:tabs>
        <w:ind w:left="1080" w:hanging="720"/>
      </w:pPr>
    </w:lvl>
    <w:lvl w:ilvl="1" w:tplc="1C08C51A">
      <w:start w:val="1"/>
      <w:numFmt w:val="lowerLetter"/>
      <w:lvlText w:val="%2."/>
      <w:lvlJc w:val="left"/>
      <w:pPr>
        <w:tabs>
          <w:tab w:val="num" w:pos="1440"/>
        </w:tabs>
        <w:ind w:left="1440" w:hanging="360"/>
      </w:pPr>
    </w:lvl>
    <w:lvl w:ilvl="2" w:tplc="1422D03C">
      <w:start w:val="1"/>
      <w:numFmt w:val="lowerRoman"/>
      <w:lvlText w:val="%3."/>
      <w:lvlJc w:val="right"/>
      <w:pPr>
        <w:tabs>
          <w:tab w:val="num" w:pos="2160"/>
        </w:tabs>
        <w:ind w:left="2160" w:hanging="180"/>
      </w:pPr>
    </w:lvl>
    <w:lvl w:ilvl="3" w:tplc="40A460CE">
      <w:start w:val="1"/>
      <w:numFmt w:val="decimal"/>
      <w:lvlText w:val="%4."/>
      <w:lvlJc w:val="left"/>
      <w:pPr>
        <w:tabs>
          <w:tab w:val="num" w:pos="2880"/>
        </w:tabs>
        <w:ind w:left="2880" w:hanging="360"/>
      </w:pPr>
    </w:lvl>
    <w:lvl w:ilvl="4" w:tplc="3320E206">
      <w:start w:val="1"/>
      <w:numFmt w:val="lowerLetter"/>
      <w:lvlText w:val="%5."/>
      <w:lvlJc w:val="left"/>
      <w:pPr>
        <w:tabs>
          <w:tab w:val="num" w:pos="3600"/>
        </w:tabs>
        <w:ind w:left="3600" w:hanging="360"/>
      </w:pPr>
    </w:lvl>
    <w:lvl w:ilvl="5" w:tplc="ADAC1302">
      <w:start w:val="1"/>
      <w:numFmt w:val="lowerRoman"/>
      <w:lvlText w:val="%6."/>
      <w:lvlJc w:val="right"/>
      <w:pPr>
        <w:tabs>
          <w:tab w:val="num" w:pos="4320"/>
        </w:tabs>
        <w:ind w:left="4320" w:hanging="180"/>
      </w:pPr>
    </w:lvl>
    <w:lvl w:ilvl="6" w:tplc="78E2F8D6">
      <w:start w:val="1"/>
      <w:numFmt w:val="decimal"/>
      <w:lvlText w:val="%7."/>
      <w:lvlJc w:val="left"/>
      <w:pPr>
        <w:tabs>
          <w:tab w:val="num" w:pos="5040"/>
        </w:tabs>
        <w:ind w:left="5040" w:hanging="360"/>
      </w:pPr>
    </w:lvl>
    <w:lvl w:ilvl="7" w:tplc="AE2AF5B8">
      <w:start w:val="1"/>
      <w:numFmt w:val="lowerLetter"/>
      <w:lvlText w:val="%8."/>
      <w:lvlJc w:val="left"/>
      <w:pPr>
        <w:tabs>
          <w:tab w:val="num" w:pos="5760"/>
        </w:tabs>
        <w:ind w:left="5760" w:hanging="360"/>
      </w:pPr>
    </w:lvl>
    <w:lvl w:ilvl="8" w:tplc="1546A30E">
      <w:start w:val="1"/>
      <w:numFmt w:val="lowerRoman"/>
      <w:lvlText w:val="%9."/>
      <w:lvlJc w:val="right"/>
      <w:pPr>
        <w:tabs>
          <w:tab w:val="num" w:pos="6480"/>
        </w:tabs>
        <w:ind w:left="6480" w:hanging="180"/>
      </w:pPr>
    </w:lvl>
  </w:abstractNum>
  <w:abstractNum w:abstractNumId="81">
    <w:nsid w:val="68462518"/>
    <w:multiLevelType w:val="hybridMultilevel"/>
    <w:tmpl w:val="69EE378A"/>
    <w:lvl w:ilvl="0" w:tplc="5FA8340E">
      <w:start w:val="1"/>
      <w:numFmt w:val="lowerLetter"/>
      <w:lvlText w:val="(%1)"/>
      <w:lvlJc w:val="left"/>
      <w:pPr>
        <w:tabs>
          <w:tab w:val="num" w:pos="720"/>
        </w:tabs>
        <w:ind w:left="720" w:hanging="360"/>
      </w:pPr>
    </w:lvl>
    <w:lvl w:ilvl="1" w:tplc="234474B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2">
    <w:nsid w:val="69164830"/>
    <w:multiLevelType w:val="hybridMultilevel"/>
    <w:tmpl w:val="4072B1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699D0764"/>
    <w:multiLevelType w:val="hybridMultilevel"/>
    <w:tmpl w:val="88A804B6"/>
    <w:lvl w:ilvl="0" w:tplc="77C8CB5E">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B072FE0"/>
    <w:multiLevelType w:val="hybridMultilevel"/>
    <w:tmpl w:val="6024A77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5">
    <w:nsid w:val="6D616920"/>
    <w:multiLevelType w:val="hybridMultilevel"/>
    <w:tmpl w:val="7B7CB48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6D675350"/>
    <w:multiLevelType w:val="hybridMultilevel"/>
    <w:tmpl w:val="36B2B278"/>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D757688"/>
    <w:multiLevelType w:val="hybridMultilevel"/>
    <w:tmpl w:val="87EAB60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6ECF543C"/>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ED35984"/>
    <w:multiLevelType w:val="hybridMultilevel"/>
    <w:tmpl w:val="E6502C6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708457C7"/>
    <w:multiLevelType w:val="hybridMultilevel"/>
    <w:tmpl w:val="56186CB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72CD6524"/>
    <w:multiLevelType w:val="hybridMultilevel"/>
    <w:tmpl w:val="7A6CF0F0"/>
    <w:lvl w:ilvl="0" w:tplc="40090001">
      <w:start w:val="1"/>
      <w:numFmt w:val="decimal"/>
      <w:lvlText w:val="%1."/>
      <w:lvlJc w:val="left"/>
      <w:pPr>
        <w:ind w:left="1267" w:hanging="360"/>
      </w:pPr>
    </w:lvl>
    <w:lvl w:ilvl="1" w:tplc="40090003">
      <w:start w:val="1"/>
      <w:numFmt w:val="lowerLetter"/>
      <w:lvlText w:val="%2."/>
      <w:lvlJc w:val="left"/>
      <w:pPr>
        <w:ind w:left="1987" w:hanging="360"/>
      </w:pPr>
    </w:lvl>
    <w:lvl w:ilvl="2" w:tplc="40090005">
      <w:start w:val="1"/>
      <w:numFmt w:val="lowerRoman"/>
      <w:lvlText w:val="%3."/>
      <w:lvlJc w:val="right"/>
      <w:pPr>
        <w:ind w:left="2707" w:hanging="180"/>
      </w:pPr>
    </w:lvl>
    <w:lvl w:ilvl="3" w:tplc="40090001">
      <w:start w:val="1"/>
      <w:numFmt w:val="decimal"/>
      <w:lvlText w:val="%4."/>
      <w:lvlJc w:val="left"/>
      <w:pPr>
        <w:ind w:left="3787" w:hanging="720"/>
      </w:pPr>
      <w:rPr>
        <w:rFonts w:hint="default"/>
      </w:rPr>
    </w:lvl>
    <w:lvl w:ilvl="4" w:tplc="40090003" w:tentative="1">
      <w:start w:val="1"/>
      <w:numFmt w:val="lowerLetter"/>
      <w:lvlText w:val="%5."/>
      <w:lvlJc w:val="left"/>
      <w:pPr>
        <w:ind w:left="4147" w:hanging="360"/>
      </w:pPr>
    </w:lvl>
    <w:lvl w:ilvl="5" w:tplc="40090005" w:tentative="1">
      <w:start w:val="1"/>
      <w:numFmt w:val="lowerRoman"/>
      <w:lvlText w:val="%6."/>
      <w:lvlJc w:val="right"/>
      <w:pPr>
        <w:ind w:left="4867" w:hanging="180"/>
      </w:pPr>
    </w:lvl>
    <w:lvl w:ilvl="6" w:tplc="40090001" w:tentative="1">
      <w:start w:val="1"/>
      <w:numFmt w:val="decimal"/>
      <w:lvlText w:val="%7."/>
      <w:lvlJc w:val="left"/>
      <w:pPr>
        <w:ind w:left="5587" w:hanging="360"/>
      </w:pPr>
    </w:lvl>
    <w:lvl w:ilvl="7" w:tplc="40090003" w:tentative="1">
      <w:start w:val="1"/>
      <w:numFmt w:val="lowerLetter"/>
      <w:lvlText w:val="%8."/>
      <w:lvlJc w:val="left"/>
      <w:pPr>
        <w:ind w:left="6307" w:hanging="360"/>
      </w:pPr>
    </w:lvl>
    <w:lvl w:ilvl="8" w:tplc="40090005" w:tentative="1">
      <w:start w:val="1"/>
      <w:numFmt w:val="lowerRoman"/>
      <w:lvlText w:val="%9."/>
      <w:lvlJc w:val="right"/>
      <w:pPr>
        <w:ind w:left="7027" w:hanging="180"/>
      </w:pPr>
    </w:lvl>
  </w:abstractNum>
  <w:abstractNum w:abstractNumId="92">
    <w:nsid w:val="73C11283"/>
    <w:multiLevelType w:val="hybridMultilevel"/>
    <w:tmpl w:val="C876F97A"/>
    <w:lvl w:ilvl="0" w:tplc="EAE4AA5E">
      <w:start w:val="2"/>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3">
    <w:nsid w:val="745F3E64"/>
    <w:multiLevelType w:val="hybridMultilevel"/>
    <w:tmpl w:val="A21EE24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785C416A"/>
    <w:multiLevelType w:val="hybridMultilevel"/>
    <w:tmpl w:val="6E228E7E"/>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78900A9D"/>
    <w:multiLevelType w:val="hybridMultilevel"/>
    <w:tmpl w:val="CB040B24"/>
    <w:lvl w:ilvl="0" w:tplc="04090017">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Symbol" w:hAnsi="Symbol" w:hint="default"/>
      </w:rPr>
    </w:lvl>
    <w:lvl w:ilvl="4" w:tplc="04090019">
      <w:start w:val="1"/>
      <w:numFmt w:val="bullet"/>
      <w:lvlText w:val="o"/>
      <w:lvlJc w:val="left"/>
      <w:pPr>
        <w:ind w:left="3645" w:hanging="360"/>
      </w:pPr>
      <w:rPr>
        <w:rFonts w:ascii="Courier New" w:hAnsi="Courier New" w:cs="Courier New" w:hint="default"/>
      </w:rPr>
    </w:lvl>
    <w:lvl w:ilvl="5" w:tplc="0409001B">
      <w:start w:val="1"/>
      <w:numFmt w:val="bullet"/>
      <w:lvlText w:val=""/>
      <w:lvlJc w:val="left"/>
      <w:pPr>
        <w:ind w:left="4365" w:hanging="360"/>
      </w:pPr>
      <w:rPr>
        <w:rFonts w:ascii="Wingdings" w:hAnsi="Wingdings" w:hint="default"/>
      </w:rPr>
    </w:lvl>
    <w:lvl w:ilvl="6" w:tplc="0409000F">
      <w:start w:val="1"/>
      <w:numFmt w:val="bullet"/>
      <w:lvlText w:val=""/>
      <w:lvlJc w:val="left"/>
      <w:pPr>
        <w:ind w:left="5085" w:hanging="360"/>
      </w:pPr>
      <w:rPr>
        <w:rFonts w:ascii="Symbol" w:hAnsi="Symbol" w:hint="default"/>
      </w:rPr>
    </w:lvl>
    <w:lvl w:ilvl="7" w:tplc="04090019">
      <w:start w:val="1"/>
      <w:numFmt w:val="bullet"/>
      <w:lvlText w:val="o"/>
      <w:lvlJc w:val="left"/>
      <w:pPr>
        <w:ind w:left="5805" w:hanging="360"/>
      </w:pPr>
      <w:rPr>
        <w:rFonts w:ascii="Courier New" w:hAnsi="Courier New" w:cs="Courier New" w:hint="default"/>
      </w:rPr>
    </w:lvl>
    <w:lvl w:ilvl="8" w:tplc="0409001B">
      <w:start w:val="1"/>
      <w:numFmt w:val="bullet"/>
      <w:lvlText w:val=""/>
      <w:lvlJc w:val="left"/>
      <w:pPr>
        <w:ind w:left="6525" w:hanging="360"/>
      </w:pPr>
      <w:rPr>
        <w:rFonts w:ascii="Wingdings" w:hAnsi="Wingdings" w:hint="default"/>
      </w:rPr>
    </w:lvl>
  </w:abstractNum>
  <w:abstractNum w:abstractNumId="96">
    <w:nsid w:val="79213A7D"/>
    <w:multiLevelType w:val="singleLevel"/>
    <w:tmpl w:val="8512ADBE"/>
    <w:lvl w:ilvl="0">
      <w:start w:val="1"/>
      <w:numFmt w:val="bullet"/>
      <w:pStyle w:val="StyleHeading1SectionChapterTitleSectionHeadingArticleHeadi"/>
      <w:lvlText w:val=""/>
      <w:lvlJc w:val="left"/>
      <w:pPr>
        <w:tabs>
          <w:tab w:val="num" w:pos="284"/>
        </w:tabs>
        <w:ind w:left="284" w:hanging="284"/>
      </w:pPr>
      <w:rPr>
        <w:rFonts w:ascii="Symbol" w:hAnsi="Symbol" w:hint="default"/>
        <w:sz w:val="20"/>
        <w:szCs w:val="20"/>
      </w:rPr>
    </w:lvl>
  </w:abstractNum>
  <w:abstractNum w:abstractNumId="97">
    <w:nsid w:val="79FD3E37"/>
    <w:multiLevelType w:val="hybridMultilevel"/>
    <w:tmpl w:val="C3EA97BC"/>
    <w:lvl w:ilvl="0" w:tplc="04090001">
      <w:start w:val="1"/>
      <w:numFmt w:val="decimal"/>
      <w:lvlText w:val="%1."/>
      <w:lvlJc w:val="left"/>
      <w:pPr>
        <w:tabs>
          <w:tab w:val="num" w:pos="-720"/>
        </w:tabs>
        <w:ind w:left="-720" w:hanging="360"/>
      </w:pPr>
      <w:rPr>
        <w:rFonts w:ascii="Arial" w:hAnsi="Arial" w:cs="Times New Roman" w:hint="default"/>
        <w:b/>
        <w:i w:val="0"/>
        <w:sz w:val="20"/>
      </w:rPr>
    </w:lvl>
    <w:lvl w:ilvl="1" w:tplc="04090003">
      <w:start w:val="1"/>
      <w:numFmt w:val="upperLetter"/>
      <w:lvlText w:val="(%2)"/>
      <w:lvlJc w:val="left"/>
      <w:pPr>
        <w:tabs>
          <w:tab w:val="num" w:pos="720"/>
        </w:tabs>
        <w:ind w:left="720" w:hanging="360"/>
      </w:pPr>
      <w:rPr>
        <w:b/>
      </w:rPr>
    </w:lvl>
    <w:lvl w:ilvl="2" w:tplc="04090005">
      <w:start w:val="1"/>
      <w:numFmt w:val="lowerRoman"/>
      <w:lvlText w:val="%3."/>
      <w:lvlJc w:val="right"/>
      <w:pPr>
        <w:tabs>
          <w:tab w:val="num" w:pos="1440"/>
        </w:tabs>
        <w:ind w:left="1440" w:hanging="180"/>
      </w:pPr>
    </w:lvl>
    <w:lvl w:ilvl="3" w:tplc="04090001">
      <w:start w:val="1"/>
      <w:numFmt w:val="decimal"/>
      <w:lvlText w:val="%4."/>
      <w:lvlJc w:val="left"/>
      <w:pPr>
        <w:tabs>
          <w:tab w:val="num" w:pos="2160"/>
        </w:tabs>
        <w:ind w:left="2160" w:hanging="360"/>
      </w:pPr>
    </w:lvl>
    <w:lvl w:ilvl="4" w:tplc="04090003">
      <w:start w:val="1"/>
      <w:numFmt w:val="lowerLetter"/>
      <w:lvlText w:val="%5."/>
      <w:lvlJc w:val="left"/>
      <w:pPr>
        <w:tabs>
          <w:tab w:val="num" w:pos="2880"/>
        </w:tabs>
        <w:ind w:left="2880" w:hanging="360"/>
      </w:pPr>
    </w:lvl>
    <w:lvl w:ilvl="5" w:tplc="04090005">
      <w:start w:val="1"/>
      <w:numFmt w:val="lowerRoman"/>
      <w:lvlText w:val="%6."/>
      <w:lvlJc w:val="right"/>
      <w:pPr>
        <w:tabs>
          <w:tab w:val="num" w:pos="3600"/>
        </w:tabs>
        <w:ind w:left="3600" w:hanging="180"/>
      </w:pPr>
    </w:lvl>
    <w:lvl w:ilvl="6" w:tplc="04090001">
      <w:start w:val="1"/>
      <w:numFmt w:val="decimal"/>
      <w:lvlText w:val="%7."/>
      <w:lvlJc w:val="left"/>
      <w:pPr>
        <w:tabs>
          <w:tab w:val="num" w:pos="4320"/>
        </w:tabs>
        <w:ind w:left="4320" w:hanging="360"/>
      </w:pPr>
    </w:lvl>
    <w:lvl w:ilvl="7" w:tplc="04090003">
      <w:start w:val="1"/>
      <w:numFmt w:val="lowerLetter"/>
      <w:lvlText w:val="%8."/>
      <w:lvlJc w:val="left"/>
      <w:pPr>
        <w:tabs>
          <w:tab w:val="num" w:pos="5040"/>
        </w:tabs>
        <w:ind w:left="5040" w:hanging="360"/>
      </w:pPr>
    </w:lvl>
    <w:lvl w:ilvl="8" w:tplc="04090005">
      <w:start w:val="1"/>
      <w:numFmt w:val="lowerRoman"/>
      <w:lvlText w:val="%9."/>
      <w:lvlJc w:val="right"/>
      <w:pPr>
        <w:tabs>
          <w:tab w:val="num" w:pos="5760"/>
        </w:tabs>
        <w:ind w:left="5760" w:hanging="180"/>
      </w:pPr>
    </w:lvl>
  </w:abstractNum>
  <w:abstractNum w:abstractNumId="98">
    <w:nsid w:val="7A421833"/>
    <w:multiLevelType w:val="hybridMultilevel"/>
    <w:tmpl w:val="099856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B8C0F95"/>
    <w:multiLevelType w:val="hybridMultilevel"/>
    <w:tmpl w:val="E8E0695A"/>
    <w:lvl w:ilvl="0" w:tplc="86A28530">
      <w:start w:val="1"/>
      <w:numFmt w:val="lowerLetter"/>
      <w:lvlText w:val="(%1)"/>
      <w:lvlJc w:val="left"/>
      <w:pPr>
        <w:tabs>
          <w:tab w:val="num" w:pos="1080"/>
        </w:tabs>
        <w:ind w:left="1080" w:hanging="720"/>
      </w:pPr>
      <w:rPr>
        <w:sz w:val="20"/>
        <w:szCs w:val="20"/>
      </w:rPr>
    </w:lvl>
    <w:lvl w:ilvl="1" w:tplc="E76E2814">
      <w:start w:val="1"/>
      <w:numFmt w:val="lowerLetter"/>
      <w:lvlText w:val="%2."/>
      <w:lvlJc w:val="left"/>
      <w:pPr>
        <w:tabs>
          <w:tab w:val="num" w:pos="1440"/>
        </w:tabs>
        <w:ind w:left="1440" w:hanging="360"/>
      </w:pPr>
    </w:lvl>
    <w:lvl w:ilvl="2" w:tplc="CBB0AF94">
      <w:start w:val="1"/>
      <w:numFmt w:val="lowerRoman"/>
      <w:lvlText w:val="%3."/>
      <w:lvlJc w:val="right"/>
      <w:pPr>
        <w:tabs>
          <w:tab w:val="num" w:pos="2160"/>
        </w:tabs>
        <w:ind w:left="2160" w:hanging="180"/>
      </w:pPr>
    </w:lvl>
    <w:lvl w:ilvl="3" w:tplc="6FD237A4">
      <w:start w:val="1"/>
      <w:numFmt w:val="decimal"/>
      <w:lvlText w:val="%4."/>
      <w:lvlJc w:val="left"/>
      <w:pPr>
        <w:tabs>
          <w:tab w:val="num" w:pos="2880"/>
        </w:tabs>
        <w:ind w:left="2880" w:hanging="360"/>
      </w:pPr>
    </w:lvl>
    <w:lvl w:ilvl="4" w:tplc="13ECAC38">
      <w:start w:val="1"/>
      <w:numFmt w:val="lowerLetter"/>
      <w:lvlText w:val="%5."/>
      <w:lvlJc w:val="left"/>
      <w:pPr>
        <w:tabs>
          <w:tab w:val="num" w:pos="3600"/>
        </w:tabs>
        <w:ind w:left="3600" w:hanging="360"/>
      </w:pPr>
    </w:lvl>
    <w:lvl w:ilvl="5" w:tplc="61BCDB0E">
      <w:start w:val="1"/>
      <w:numFmt w:val="lowerRoman"/>
      <w:lvlText w:val="%6."/>
      <w:lvlJc w:val="right"/>
      <w:pPr>
        <w:tabs>
          <w:tab w:val="num" w:pos="4320"/>
        </w:tabs>
        <w:ind w:left="4320" w:hanging="180"/>
      </w:pPr>
    </w:lvl>
    <w:lvl w:ilvl="6" w:tplc="6C686E8C">
      <w:start w:val="1"/>
      <w:numFmt w:val="decimal"/>
      <w:lvlText w:val="%7."/>
      <w:lvlJc w:val="left"/>
      <w:pPr>
        <w:tabs>
          <w:tab w:val="num" w:pos="5040"/>
        </w:tabs>
        <w:ind w:left="5040" w:hanging="360"/>
      </w:pPr>
    </w:lvl>
    <w:lvl w:ilvl="7" w:tplc="765ACC0C">
      <w:start w:val="1"/>
      <w:numFmt w:val="lowerLetter"/>
      <w:lvlText w:val="%8."/>
      <w:lvlJc w:val="left"/>
      <w:pPr>
        <w:tabs>
          <w:tab w:val="num" w:pos="5760"/>
        </w:tabs>
        <w:ind w:left="5760" w:hanging="360"/>
      </w:pPr>
    </w:lvl>
    <w:lvl w:ilvl="8" w:tplc="987AFCF6">
      <w:start w:val="1"/>
      <w:numFmt w:val="lowerRoman"/>
      <w:lvlText w:val="%9."/>
      <w:lvlJc w:val="right"/>
      <w:pPr>
        <w:tabs>
          <w:tab w:val="num" w:pos="6480"/>
        </w:tabs>
        <w:ind w:left="6480" w:hanging="180"/>
      </w:pPr>
    </w:lvl>
  </w:abstractNum>
  <w:abstractNum w:abstractNumId="100">
    <w:nsid w:val="7C4546F7"/>
    <w:multiLevelType w:val="hybridMultilevel"/>
    <w:tmpl w:val="720A8822"/>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7D46398E"/>
    <w:multiLevelType w:val="hybridMultilevel"/>
    <w:tmpl w:val="ED1E262C"/>
    <w:lvl w:ilvl="0" w:tplc="D958AE52">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7D480D55"/>
    <w:multiLevelType w:val="multilevel"/>
    <w:tmpl w:val="F894F5F8"/>
    <w:lvl w:ilvl="0">
      <w:start w:val="1"/>
      <w:numFmt w:val="decimal"/>
      <w:pStyle w:val="Heading1"/>
      <w:lvlText w:val="%1."/>
      <w:lvlJc w:val="left"/>
      <w:pPr>
        <w:ind w:left="600" w:hanging="600"/>
      </w:pPr>
      <w:rPr>
        <w:rFonts w:hint="default"/>
      </w:rPr>
    </w:lvl>
    <w:lvl w:ilvl="1">
      <w:start w:val="2"/>
      <w:numFmt w:val="decimal"/>
      <w:pStyle w:val="Heading2"/>
      <w:lvlText w:val="%1.%2"/>
      <w:lvlJc w:val="left"/>
      <w:pPr>
        <w:ind w:left="780" w:hanging="780"/>
      </w:pPr>
      <w:rPr>
        <w:rFonts w:hint="default"/>
        <w:b/>
      </w:rPr>
    </w:lvl>
    <w:lvl w:ilvl="2">
      <w:start w:val="1"/>
      <w:numFmt w:val="decimal"/>
      <w:pStyle w:val="Heading3"/>
      <w:lvlText w:val="%1.%2.%3"/>
      <w:lvlJc w:val="left"/>
      <w:pPr>
        <w:tabs>
          <w:tab w:val="num" w:pos="1929"/>
        </w:tabs>
        <w:ind w:left="1929" w:hanging="936"/>
      </w:pPr>
      <w:rPr>
        <w:rFonts w:hint="default"/>
        <w:b w:val="0"/>
        <w:bCs/>
        <w:i w:val="0"/>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9"/>
  </w:num>
  <w:num w:numId="2">
    <w:abstractNumId w:val="17"/>
  </w:num>
  <w:num w:numId="3">
    <w:abstractNumId w:val="50"/>
  </w:num>
  <w:num w:numId="4">
    <w:abstractNumId w:val="96"/>
  </w:num>
  <w:num w:numId="5">
    <w:abstractNumId w:val="102"/>
  </w:num>
  <w:num w:numId="6">
    <w:abstractNumId w:val="10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4"/>
  </w:num>
  <w:num w:numId="8">
    <w:abstractNumId w:val="53"/>
  </w:num>
  <w:num w:numId="9">
    <w:abstractNumId w:val="64"/>
  </w:num>
  <w:num w:numId="10">
    <w:abstractNumId w:val="0"/>
  </w:num>
  <w:num w:numId="11">
    <w:abstractNumId w:val="102"/>
  </w:num>
  <w:num w:numId="12">
    <w:abstractNumId w:val="24"/>
  </w:num>
  <w:num w:numId="13">
    <w:abstractNumId w:val="37"/>
  </w:num>
  <w:num w:numId="14">
    <w:abstractNumId w:val="10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82"/>
  </w:num>
  <w:num w:numId="17">
    <w:abstractNumId w:val="35"/>
  </w:num>
  <w:num w:numId="18">
    <w:abstractNumId w:val="71"/>
  </w:num>
  <w:num w:numId="19">
    <w:abstractNumId w:val="54"/>
  </w:num>
  <w:num w:numId="20">
    <w:abstractNumId w:val="62"/>
  </w:num>
  <w:num w:numId="21">
    <w:abstractNumId w:val="83"/>
  </w:num>
  <w:num w:numId="22">
    <w:abstractNumId w:val="10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2"/>
  </w:num>
  <w:num w:numId="25">
    <w:abstractNumId w:val="10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3"/>
  </w:num>
  <w:num w:numId="31">
    <w:abstractNumId w:val="14"/>
  </w:num>
  <w:num w:numId="32">
    <w:abstractNumId w:val="48"/>
  </w:num>
  <w:num w:numId="33">
    <w:abstractNumId w:val="88"/>
  </w:num>
  <w:num w:numId="34">
    <w:abstractNumId w:val="94"/>
  </w:num>
  <w:num w:numId="35">
    <w:abstractNumId w:val="55"/>
  </w:num>
  <w:num w:numId="36">
    <w:abstractNumId w:val="95"/>
  </w:num>
  <w:num w:numId="37">
    <w:abstractNumId w:val="25"/>
  </w:num>
  <w:num w:numId="38">
    <w:abstractNumId w:val="76"/>
  </w:num>
  <w:num w:numId="39">
    <w:abstractNumId w:val="81"/>
  </w:num>
  <w:num w:numId="40">
    <w:abstractNumId w:val="97"/>
  </w:num>
  <w:num w:numId="41">
    <w:abstractNumId w:val="13"/>
  </w:num>
  <w:num w:numId="42">
    <w:abstractNumId w:val="15"/>
  </w:num>
  <w:num w:numId="43">
    <w:abstractNumId w:val="20"/>
  </w:num>
  <w:num w:numId="44">
    <w:abstractNumId w:val="80"/>
  </w:num>
  <w:num w:numId="45">
    <w:abstractNumId w:val="52"/>
  </w:num>
  <w:num w:numId="46">
    <w:abstractNumId w:val="92"/>
  </w:num>
  <w:num w:numId="47">
    <w:abstractNumId w:val="43"/>
  </w:num>
  <w:num w:numId="48">
    <w:abstractNumId w:val="60"/>
  </w:num>
  <w:num w:numId="49">
    <w:abstractNumId w:val="59"/>
  </w:num>
  <w:num w:numId="50">
    <w:abstractNumId w:val="4"/>
  </w:num>
  <w:num w:numId="51">
    <w:abstractNumId w:val="99"/>
  </w:num>
  <w:num w:numId="52">
    <w:abstractNumId w:val="1"/>
  </w:num>
  <w:num w:numId="53">
    <w:abstractNumId w:val="78"/>
  </w:num>
  <w:num w:numId="54">
    <w:abstractNumId w:val="32"/>
  </w:num>
  <w:num w:numId="55">
    <w:abstractNumId w:val="36"/>
  </w:num>
  <w:num w:numId="56">
    <w:abstractNumId w:val="26"/>
  </w:num>
  <w:num w:numId="57">
    <w:abstractNumId w:val="57"/>
  </w:num>
  <w:num w:numId="58">
    <w:abstractNumId w:val="9"/>
  </w:num>
  <w:num w:numId="59">
    <w:abstractNumId w:val="58"/>
  </w:num>
  <w:num w:numId="60">
    <w:abstractNumId w:val="91"/>
  </w:num>
  <w:num w:numId="61">
    <w:abstractNumId w:val="63"/>
  </w:num>
  <w:num w:numId="62">
    <w:abstractNumId w:val="89"/>
  </w:num>
  <w:num w:numId="63">
    <w:abstractNumId w:val="10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6"/>
  </w:num>
  <w:num w:numId="66">
    <w:abstractNumId w:val="7"/>
  </w:num>
  <w:num w:numId="67">
    <w:abstractNumId w:val="98"/>
  </w:num>
  <w:num w:numId="68">
    <w:abstractNumId w:val="66"/>
  </w:num>
  <w:num w:numId="69">
    <w:abstractNumId w:val="87"/>
  </w:num>
  <w:num w:numId="70">
    <w:abstractNumId w:val="42"/>
  </w:num>
  <w:num w:numId="71">
    <w:abstractNumId w:val="30"/>
  </w:num>
  <w:num w:numId="72">
    <w:abstractNumId w:val="77"/>
  </w:num>
  <w:num w:numId="73">
    <w:abstractNumId w:val="65"/>
  </w:num>
  <w:num w:numId="74">
    <w:abstractNumId w:val="3"/>
  </w:num>
  <w:num w:numId="75">
    <w:abstractNumId w:val="27"/>
  </w:num>
  <w:num w:numId="76">
    <w:abstractNumId w:val="101"/>
  </w:num>
  <w:num w:numId="77">
    <w:abstractNumId w:val="31"/>
  </w:num>
  <w:num w:numId="78">
    <w:abstractNumId w:val="68"/>
  </w:num>
  <w:num w:numId="79">
    <w:abstractNumId w:val="44"/>
  </w:num>
  <w:num w:numId="80">
    <w:abstractNumId w:val="85"/>
  </w:num>
  <w:num w:numId="81">
    <w:abstractNumId w:val="10"/>
  </w:num>
  <w:num w:numId="82">
    <w:abstractNumId w:val="72"/>
  </w:num>
  <w:num w:numId="83">
    <w:abstractNumId w:val="12"/>
  </w:num>
  <w:num w:numId="84">
    <w:abstractNumId w:val="100"/>
  </w:num>
  <w:num w:numId="85">
    <w:abstractNumId w:val="70"/>
  </w:num>
  <w:num w:numId="86">
    <w:abstractNumId w:val="61"/>
  </w:num>
  <w:num w:numId="87">
    <w:abstractNumId w:val="49"/>
  </w:num>
  <w:num w:numId="88">
    <w:abstractNumId w:val="79"/>
  </w:num>
  <w:num w:numId="89">
    <w:abstractNumId w:val="86"/>
  </w:num>
  <w:num w:numId="90">
    <w:abstractNumId w:val="5"/>
  </w:num>
  <w:num w:numId="91">
    <w:abstractNumId w:val="11"/>
  </w:num>
  <w:num w:numId="92">
    <w:abstractNumId w:val="40"/>
  </w:num>
  <w:num w:numId="93">
    <w:abstractNumId w:val="21"/>
  </w:num>
  <w:num w:numId="94">
    <w:abstractNumId w:val="75"/>
  </w:num>
  <w:num w:numId="95">
    <w:abstractNumId w:val="90"/>
  </w:num>
  <w:num w:numId="96">
    <w:abstractNumId w:val="93"/>
  </w:num>
  <w:num w:numId="97">
    <w:abstractNumId w:val="6"/>
  </w:num>
  <w:num w:numId="98">
    <w:abstractNumId w:val="19"/>
  </w:num>
  <w:num w:numId="99">
    <w:abstractNumId w:val="73"/>
  </w:num>
  <w:num w:numId="100">
    <w:abstractNumId w:val="67"/>
  </w:num>
  <w:num w:numId="101">
    <w:abstractNumId w:val="18"/>
  </w:num>
  <w:num w:numId="102">
    <w:abstractNumId w:val="2"/>
  </w:num>
  <w:num w:numId="103">
    <w:abstractNumId w:val="29"/>
  </w:num>
  <w:num w:numId="104">
    <w:abstractNumId w:val="46"/>
  </w:num>
  <w:num w:numId="105">
    <w:abstractNumId w:val="45"/>
  </w:num>
  <w:num w:numId="106">
    <w:abstractNumId w:val="16"/>
  </w:num>
  <w:num w:numId="107">
    <w:abstractNumId w:val="47"/>
  </w:num>
  <w:num w:numId="108">
    <w:abstractNumId w:val="34"/>
  </w:num>
  <w:num w:numId="109">
    <w:abstractNumId w:val="28"/>
  </w:num>
  <w:num w:numId="110">
    <w:abstractNumId w:val="84"/>
  </w:num>
  <w:num w:numId="111">
    <w:abstractNumId w:val="8"/>
  </w:num>
  <w:num w:numId="112">
    <w:abstractNumId w:val="51"/>
  </w:num>
  <w:num w:numId="113">
    <w:abstractNumId w:val="69"/>
  </w:num>
  <w:num w:numId="114">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1"/>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stylePaneFormatFilter w:val="3001"/>
  <w:defaultTabStop w:val="720"/>
  <w:drawingGridHorizontalSpacing w:val="120"/>
  <w:displayHorizontalDrawingGridEvery w:val="2"/>
  <w:noPunctuationKerning/>
  <w:characterSpacingControl w:val="doNotCompress"/>
  <w:hdrShapeDefaults>
    <o:shapedefaults v:ext="edit" spidmax="8194" fill="f" fillcolor="white" stroke="f">
      <v:fill color="white" on="f"/>
      <v:stroke on="f"/>
    </o:shapedefaults>
    <o:shapelayout v:ext="edit">
      <o:idmap v:ext="edit" data="2"/>
      <o:rules v:ext="edit">
        <o:r id="V:Rule2" type="connector" idref="#_x0000_s2113"/>
      </o:rules>
    </o:shapelayout>
  </w:hdrShapeDefaults>
  <w:footnotePr>
    <w:footnote w:id="0"/>
    <w:footnote w:id="1"/>
  </w:footnotePr>
  <w:endnotePr>
    <w:endnote w:id="0"/>
    <w:endnote w:id="1"/>
  </w:endnotePr>
  <w:compat/>
  <w:rsids>
    <w:rsidRoot w:val="0033097E"/>
    <w:rsid w:val="0000071F"/>
    <w:rsid w:val="00000B80"/>
    <w:rsid w:val="00000C66"/>
    <w:rsid w:val="00000F5B"/>
    <w:rsid w:val="00001025"/>
    <w:rsid w:val="0000134B"/>
    <w:rsid w:val="000013DD"/>
    <w:rsid w:val="000013FB"/>
    <w:rsid w:val="00001730"/>
    <w:rsid w:val="000019AE"/>
    <w:rsid w:val="00001B73"/>
    <w:rsid w:val="00001DEC"/>
    <w:rsid w:val="00001EFC"/>
    <w:rsid w:val="00002129"/>
    <w:rsid w:val="000022D0"/>
    <w:rsid w:val="000024DF"/>
    <w:rsid w:val="00002AF3"/>
    <w:rsid w:val="00002BD0"/>
    <w:rsid w:val="00002C2C"/>
    <w:rsid w:val="000030FE"/>
    <w:rsid w:val="00003551"/>
    <w:rsid w:val="0000356A"/>
    <w:rsid w:val="00003572"/>
    <w:rsid w:val="00003930"/>
    <w:rsid w:val="0000397D"/>
    <w:rsid w:val="00003BE0"/>
    <w:rsid w:val="00003C2D"/>
    <w:rsid w:val="00003DAA"/>
    <w:rsid w:val="000045E9"/>
    <w:rsid w:val="00004713"/>
    <w:rsid w:val="00004974"/>
    <w:rsid w:val="00004AF5"/>
    <w:rsid w:val="00004B56"/>
    <w:rsid w:val="00004B98"/>
    <w:rsid w:val="00004D78"/>
    <w:rsid w:val="00004F25"/>
    <w:rsid w:val="000056BB"/>
    <w:rsid w:val="00005991"/>
    <w:rsid w:val="00005F7A"/>
    <w:rsid w:val="00006040"/>
    <w:rsid w:val="0000608F"/>
    <w:rsid w:val="0000610C"/>
    <w:rsid w:val="000062BE"/>
    <w:rsid w:val="00006589"/>
    <w:rsid w:val="000065BC"/>
    <w:rsid w:val="00007395"/>
    <w:rsid w:val="00007592"/>
    <w:rsid w:val="0000772C"/>
    <w:rsid w:val="0001004B"/>
    <w:rsid w:val="00010634"/>
    <w:rsid w:val="0001067D"/>
    <w:rsid w:val="000106FE"/>
    <w:rsid w:val="000107E8"/>
    <w:rsid w:val="00010831"/>
    <w:rsid w:val="0001084F"/>
    <w:rsid w:val="00010875"/>
    <w:rsid w:val="000108BE"/>
    <w:rsid w:val="000108E7"/>
    <w:rsid w:val="00010900"/>
    <w:rsid w:val="00010ACC"/>
    <w:rsid w:val="00011351"/>
    <w:rsid w:val="00011B1B"/>
    <w:rsid w:val="00011F13"/>
    <w:rsid w:val="000123C7"/>
    <w:rsid w:val="000123FE"/>
    <w:rsid w:val="0001271C"/>
    <w:rsid w:val="000128D5"/>
    <w:rsid w:val="00012E04"/>
    <w:rsid w:val="00012E27"/>
    <w:rsid w:val="00012E9E"/>
    <w:rsid w:val="00012F51"/>
    <w:rsid w:val="000131FF"/>
    <w:rsid w:val="000137C9"/>
    <w:rsid w:val="00013840"/>
    <w:rsid w:val="00013BE5"/>
    <w:rsid w:val="00014ACE"/>
    <w:rsid w:val="00014DBB"/>
    <w:rsid w:val="00014F90"/>
    <w:rsid w:val="0001515E"/>
    <w:rsid w:val="00015B19"/>
    <w:rsid w:val="00015D0A"/>
    <w:rsid w:val="00015E3F"/>
    <w:rsid w:val="000160DB"/>
    <w:rsid w:val="0001610A"/>
    <w:rsid w:val="0001615E"/>
    <w:rsid w:val="0001642E"/>
    <w:rsid w:val="00016684"/>
    <w:rsid w:val="00016E31"/>
    <w:rsid w:val="00016E84"/>
    <w:rsid w:val="000172FD"/>
    <w:rsid w:val="0001751D"/>
    <w:rsid w:val="00017716"/>
    <w:rsid w:val="000177F5"/>
    <w:rsid w:val="000179E2"/>
    <w:rsid w:val="00017B60"/>
    <w:rsid w:val="00017E9D"/>
    <w:rsid w:val="00017FBC"/>
    <w:rsid w:val="00020B4E"/>
    <w:rsid w:val="0002104A"/>
    <w:rsid w:val="0002121C"/>
    <w:rsid w:val="00021B31"/>
    <w:rsid w:val="00021D48"/>
    <w:rsid w:val="0002226F"/>
    <w:rsid w:val="0002269D"/>
    <w:rsid w:val="000228E3"/>
    <w:rsid w:val="00022EF2"/>
    <w:rsid w:val="00023318"/>
    <w:rsid w:val="00023428"/>
    <w:rsid w:val="0002355A"/>
    <w:rsid w:val="000235ED"/>
    <w:rsid w:val="0002367F"/>
    <w:rsid w:val="0002388A"/>
    <w:rsid w:val="00023B99"/>
    <w:rsid w:val="00023E6A"/>
    <w:rsid w:val="00024923"/>
    <w:rsid w:val="00024960"/>
    <w:rsid w:val="00024F62"/>
    <w:rsid w:val="000250CC"/>
    <w:rsid w:val="00025B71"/>
    <w:rsid w:val="0002616B"/>
    <w:rsid w:val="0002639F"/>
    <w:rsid w:val="0002664A"/>
    <w:rsid w:val="0002699E"/>
    <w:rsid w:val="00027356"/>
    <w:rsid w:val="00027781"/>
    <w:rsid w:val="000278E8"/>
    <w:rsid w:val="00027A18"/>
    <w:rsid w:val="00027D0D"/>
    <w:rsid w:val="00027E6A"/>
    <w:rsid w:val="0003078C"/>
    <w:rsid w:val="00030890"/>
    <w:rsid w:val="000312EB"/>
    <w:rsid w:val="000317D6"/>
    <w:rsid w:val="00031A1C"/>
    <w:rsid w:val="00031ED2"/>
    <w:rsid w:val="000322C7"/>
    <w:rsid w:val="00032300"/>
    <w:rsid w:val="000323E3"/>
    <w:rsid w:val="000327AF"/>
    <w:rsid w:val="00032D21"/>
    <w:rsid w:val="00032E66"/>
    <w:rsid w:val="00032FB5"/>
    <w:rsid w:val="00033421"/>
    <w:rsid w:val="0003344E"/>
    <w:rsid w:val="00033463"/>
    <w:rsid w:val="00033D55"/>
    <w:rsid w:val="0003428F"/>
    <w:rsid w:val="000346B5"/>
    <w:rsid w:val="000347F0"/>
    <w:rsid w:val="00035691"/>
    <w:rsid w:val="00035CC6"/>
    <w:rsid w:val="00035D84"/>
    <w:rsid w:val="00035E67"/>
    <w:rsid w:val="00036630"/>
    <w:rsid w:val="00036710"/>
    <w:rsid w:val="00036F3D"/>
    <w:rsid w:val="00036FC1"/>
    <w:rsid w:val="0003700B"/>
    <w:rsid w:val="000372F5"/>
    <w:rsid w:val="00037470"/>
    <w:rsid w:val="0004044E"/>
    <w:rsid w:val="00040757"/>
    <w:rsid w:val="00040B8F"/>
    <w:rsid w:val="00040F14"/>
    <w:rsid w:val="00040F64"/>
    <w:rsid w:val="00040F95"/>
    <w:rsid w:val="000412E9"/>
    <w:rsid w:val="00041690"/>
    <w:rsid w:val="00041A7B"/>
    <w:rsid w:val="00041AC4"/>
    <w:rsid w:val="00041D14"/>
    <w:rsid w:val="00041E68"/>
    <w:rsid w:val="00041F0D"/>
    <w:rsid w:val="00041F52"/>
    <w:rsid w:val="00042327"/>
    <w:rsid w:val="0004257A"/>
    <w:rsid w:val="0004271D"/>
    <w:rsid w:val="00042D87"/>
    <w:rsid w:val="000432B5"/>
    <w:rsid w:val="000433A7"/>
    <w:rsid w:val="00043425"/>
    <w:rsid w:val="000435D5"/>
    <w:rsid w:val="00043A23"/>
    <w:rsid w:val="00043ADC"/>
    <w:rsid w:val="0004475C"/>
    <w:rsid w:val="00044827"/>
    <w:rsid w:val="00044890"/>
    <w:rsid w:val="00044B37"/>
    <w:rsid w:val="00044E2B"/>
    <w:rsid w:val="00044E84"/>
    <w:rsid w:val="00045350"/>
    <w:rsid w:val="00045406"/>
    <w:rsid w:val="0004543E"/>
    <w:rsid w:val="00045468"/>
    <w:rsid w:val="000454D3"/>
    <w:rsid w:val="000455F1"/>
    <w:rsid w:val="00045A82"/>
    <w:rsid w:val="00045E29"/>
    <w:rsid w:val="0004603E"/>
    <w:rsid w:val="00046552"/>
    <w:rsid w:val="00046581"/>
    <w:rsid w:val="00046867"/>
    <w:rsid w:val="00046906"/>
    <w:rsid w:val="00046A4E"/>
    <w:rsid w:val="00046D48"/>
    <w:rsid w:val="00047B0F"/>
    <w:rsid w:val="00047B73"/>
    <w:rsid w:val="00047CCC"/>
    <w:rsid w:val="00047D5C"/>
    <w:rsid w:val="00047DAC"/>
    <w:rsid w:val="000502D1"/>
    <w:rsid w:val="00050566"/>
    <w:rsid w:val="00050A1C"/>
    <w:rsid w:val="00050CC5"/>
    <w:rsid w:val="00050F26"/>
    <w:rsid w:val="00050F8F"/>
    <w:rsid w:val="000510DC"/>
    <w:rsid w:val="00051526"/>
    <w:rsid w:val="000518ED"/>
    <w:rsid w:val="00051FB3"/>
    <w:rsid w:val="00051FF2"/>
    <w:rsid w:val="00052313"/>
    <w:rsid w:val="000523A4"/>
    <w:rsid w:val="0005257A"/>
    <w:rsid w:val="0005289F"/>
    <w:rsid w:val="00052AC0"/>
    <w:rsid w:val="00052C6A"/>
    <w:rsid w:val="00052D96"/>
    <w:rsid w:val="0005350A"/>
    <w:rsid w:val="000539A1"/>
    <w:rsid w:val="00053A34"/>
    <w:rsid w:val="00053AAE"/>
    <w:rsid w:val="00053CF0"/>
    <w:rsid w:val="00053D1F"/>
    <w:rsid w:val="00053E2F"/>
    <w:rsid w:val="000546A0"/>
    <w:rsid w:val="000546C0"/>
    <w:rsid w:val="000547C7"/>
    <w:rsid w:val="00054AEF"/>
    <w:rsid w:val="00054BF3"/>
    <w:rsid w:val="00054E5E"/>
    <w:rsid w:val="0005537C"/>
    <w:rsid w:val="00055444"/>
    <w:rsid w:val="0005631D"/>
    <w:rsid w:val="00056456"/>
    <w:rsid w:val="000564D7"/>
    <w:rsid w:val="00057284"/>
    <w:rsid w:val="000574AC"/>
    <w:rsid w:val="00057831"/>
    <w:rsid w:val="00057998"/>
    <w:rsid w:val="00057F20"/>
    <w:rsid w:val="000604F5"/>
    <w:rsid w:val="00060759"/>
    <w:rsid w:val="00060B7D"/>
    <w:rsid w:val="00060C8C"/>
    <w:rsid w:val="00060D35"/>
    <w:rsid w:val="00060DFF"/>
    <w:rsid w:val="00060E7D"/>
    <w:rsid w:val="00060ECE"/>
    <w:rsid w:val="00060F5D"/>
    <w:rsid w:val="0006181A"/>
    <w:rsid w:val="00062252"/>
    <w:rsid w:val="00062632"/>
    <w:rsid w:val="00062823"/>
    <w:rsid w:val="000628B7"/>
    <w:rsid w:val="000629E2"/>
    <w:rsid w:val="00062DF4"/>
    <w:rsid w:val="00063517"/>
    <w:rsid w:val="00063BFC"/>
    <w:rsid w:val="00063C55"/>
    <w:rsid w:val="00063F3A"/>
    <w:rsid w:val="0006409B"/>
    <w:rsid w:val="00064271"/>
    <w:rsid w:val="00064698"/>
    <w:rsid w:val="000648A9"/>
    <w:rsid w:val="000648C0"/>
    <w:rsid w:val="00064A7C"/>
    <w:rsid w:val="00064C56"/>
    <w:rsid w:val="00064FEC"/>
    <w:rsid w:val="0006535B"/>
    <w:rsid w:val="000659ED"/>
    <w:rsid w:val="00065A8B"/>
    <w:rsid w:val="00065C0F"/>
    <w:rsid w:val="00065F25"/>
    <w:rsid w:val="00066419"/>
    <w:rsid w:val="00066516"/>
    <w:rsid w:val="0006666A"/>
    <w:rsid w:val="0006678E"/>
    <w:rsid w:val="00066965"/>
    <w:rsid w:val="0006696D"/>
    <w:rsid w:val="00066AFD"/>
    <w:rsid w:val="00066EF4"/>
    <w:rsid w:val="00067291"/>
    <w:rsid w:val="000675A8"/>
    <w:rsid w:val="000677E3"/>
    <w:rsid w:val="00067A17"/>
    <w:rsid w:val="00067A2F"/>
    <w:rsid w:val="00070044"/>
    <w:rsid w:val="00070077"/>
    <w:rsid w:val="00070B3B"/>
    <w:rsid w:val="00070C2C"/>
    <w:rsid w:val="00070C44"/>
    <w:rsid w:val="00070CA2"/>
    <w:rsid w:val="00071247"/>
    <w:rsid w:val="000714B8"/>
    <w:rsid w:val="0007159A"/>
    <w:rsid w:val="00071CAD"/>
    <w:rsid w:val="00071D12"/>
    <w:rsid w:val="00071D1B"/>
    <w:rsid w:val="00071E0A"/>
    <w:rsid w:val="00072821"/>
    <w:rsid w:val="00072973"/>
    <w:rsid w:val="00072FFD"/>
    <w:rsid w:val="00073120"/>
    <w:rsid w:val="0007325B"/>
    <w:rsid w:val="00073B38"/>
    <w:rsid w:val="00073BBD"/>
    <w:rsid w:val="00073C4A"/>
    <w:rsid w:val="00073F04"/>
    <w:rsid w:val="00074426"/>
    <w:rsid w:val="000744F2"/>
    <w:rsid w:val="000745B1"/>
    <w:rsid w:val="000747FE"/>
    <w:rsid w:val="000750AB"/>
    <w:rsid w:val="000750BD"/>
    <w:rsid w:val="000755B0"/>
    <w:rsid w:val="00075DB5"/>
    <w:rsid w:val="00075F27"/>
    <w:rsid w:val="0007609B"/>
    <w:rsid w:val="000763F0"/>
    <w:rsid w:val="00076436"/>
    <w:rsid w:val="00076BE1"/>
    <w:rsid w:val="00076FAE"/>
    <w:rsid w:val="000772B4"/>
    <w:rsid w:val="000773AA"/>
    <w:rsid w:val="00077B1F"/>
    <w:rsid w:val="00077B64"/>
    <w:rsid w:val="0008025A"/>
    <w:rsid w:val="00080466"/>
    <w:rsid w:val="00080806"/>
    <w:rsid w:val="0008110B"/>
    <w:rsid w:val="0008159C"/>
    <w:rsid w:val="00081A03"/>
    <w:rsid w:val="00081D07"/>
    <w:rsid w:val="00081DFE"/>
    <w:rsid w:val="0008200D"/>
    <w:rsid w:val="00082031"/>
    <w:rsid w:val="0008221B"/>
    <w:rsid w:val="000826A4"/>
    <w:rsid w:val="000828D7"/>
    <w:rsid w:val="0008371A"/>
    <w:rsid w:val="00083B30"/>
    <w:rsid w:val="00083E59"/>
    <w:rsid w:val="0008422A"/>
    <w:rsid w:val="0008433A"/>
    <w:rsid w:val="0008437A"/>
    <w:rsid w:val="00084513"/>
    <w:rsid w:val="00084665"/>
    <w:rsid w:val="00084BEE"/>
    <w:rsid w:val="00084D91"/>
    <w:rsid w:val="00085943"/>
    <w:rsid w:val="00085C64"/>
    <w:rsid w:val="00085D55"/>
    <w:rsid w:val="00085EDC"/>
    <w:rsid w:val="00086348"/>
    <w:rsid w:val="00086452"/>
    <w:rsid w:val="000864C3"/>
    <w:rsid w:val="000866DD"/>
    <w:rsid w:val="00086A3B"/>
    <w:rsid w:val="00086AC0"/>
    <w:rsid w:val="00086F40"/>
    <w:rsid w:val="000873A1"/>
    <w:rsid w:val="00087453"/>
    <w:rsid w:val="00087829"/>
    <w:rsid w:val="00090015"/>
    <w:rsid w:val="00090075"/>
    <w:rsid w:val="00090247"/>
    <w:rsid w:val="00090F64"/>
    <w:rsid w:val="00091210"/>
    <w:rsid w:val="0009130C"/>
    <w:rsid w:val="00091594"/>
    <w:rsid w:val="000915B5"/>
    <w:rsid w:val="000915FD"/>
    <w:rsid w:val="00091C8F"/>
    <w:rsid w:val="00091CF2"/>
    <w:rsid w:val="00091CFF"/>
    <w:rsid w:val="000922ED"/>
    <w:rsid w:val="00092385"/>
    <w:rsid w:val="00092404"/>
    <w:rsid w:val="000934BC"/>
    <w:rsid w:val="000935DA"/>
    <w:rsid w:val="00093942"/>
    <w:rsid w:val="00093C30"/>
    <w:rsid w:val="00093FD6"/>
    <w:rsid w:val="00094103"/>
    <w:rsid w:val="00094238"/>
    <w:rsid w:val="00094752"/>
    <w:rsid w:val="0009512A"/>
    <w:rsid w:val="0009534C"/>
    <w:rsid w:val="00095453"/>
    <w:rsid w:val="000957F5"/>
    <w:rsid w:val="0009647A"/>
    <w:rsid w:val="0009670B"/>
    <w:rsid w:val="0009675D"/>
    <w:rsid w:val="00097602"/>
    <w:rsid w:val="00097979"/>
    <w:rsid w:val="00097BF3"/>
    <w:rsid w:val="00097C6B"/>
    <w:rsid w:val="00097C7C"/>
    <w:rsid w:val="000A0049"/>
    <w:rsid w:val="000A0101"/>
    <w:rsid w:val="000A047E"/>
    <w:rsid w:val="000A09FE"/>
    <w:rsid w:val="000A0C96"/>
    <w:rsid w:val="000A109D"/>
    <w:rsid w:val="000A17A2"/>
    <w:rsid w:val="000A185C"/>
    <w:rsid w:val="000A1CA1"/>
    <w:rsid w:val="000A214B"/>
    <w:rsid w:val="000A28B8"/>
    <w:rsid w:val="000A2D13"/>
    <w:rsid w:val="000A2D20"/>
    <w:rsid w:val="000A30BA"/>
    <w:rsid w:val="000A3127"/>
    <w:rsid w:val="000A3409"/>
    <w:rsid w:val="000A3C2B"/>
    <w:rsid w:val="000A3CD3"/>
    <w:rsid w:val="000A3E4D"/>
    <w:rsid w:val="000A3FEE"/>
    <w:rsid w:val="000A4160"/>
    <w:rsid w:val="000A4601"/>
    <w:rsid w:val="000A4645"/>
    <w:rsid w:val="000A4C0B"/>
    <w:rsid w:val="000A4E24"/>
    <w:rsid w:val="000A4EB8"/>
    <w:rsid w:val="000A4F4A"/>
    <w:rsid w:val="000A5026"/>
    <w:rsid w:val="000A51C3"/>
    <w:rsid w:val="000A5433"/>
    <w:rsid w:val="000A5733"/>
    <w:rsid w:val="000A5DAD"/>
    <w:rsid w:val="000A619B"/>
    <w:rsid w:val="000A6772"/>
    <w:rsid w:val="000A68D6"/>
    <w:rsid w:val="000A694D"/>
    <w:rsid w:val="000A6D1F"/>
    <w:rsid w:val="000A719A"/>
    <w:rsid w:val="000A74A7"/>
    <w:rsid w:val="000A74BD"/>
    <w:rsid w:val="000A756F"/>
    <w:rsid w:val="000A7AE3"/>
    <w:rsid w:val="000A7B07"/>
    <w:rsid w:val="000A7C2D"/>
    <w:rsid w:val="000A7CFF"/>
    <w:rsid w:val="000A7FD5"/>
    <w:rsid w:val="000A7FEC"/>
    <w:rsid w:val="000B0174"/>
    <w:rsid w:val="000B05F7"/>
    <w:rsid w:val="000B0B59"/>
    <w:rsid w:val="000B0F19"/>
    <w:rsid w:val="000B0F79"/>
    <w:rsid w:val="000B1157"/>
    <w:rsid w:val="000B1222"/>
    <w:rsid w:val="000B122E"/>
    <w:rsid w:val="000B1287"/>
    <w:rsid w:val="000B130F"/>
    <w:rsid w:val="000B13FE"/>
    <w:rsid w:val="000B1749"/>
    <w:rsid w:val="000B1ECC"/>
    <w:rsid w:val="000B2542"/>
    <w:rsid w:val="000B25C9"/>
    <w:rsid w:val="000B263B"/>
    <w:rsid w:val="000B2698"/>
    <w:rsid w:val="000B296D"/>
    <w:rsid w:val="000B2AB7"/>
    <w:rsid w:val="000B2B23"/>
    <w:rsid w:val="000B2DEE"/>
    <w:rsid w:val="000B2F89"/>
    <w:rsid w:val="000B3262"/>
    <w:rsid w:val="000B4045"/>
    <w:rsid w:val="000B43C2"/>
    <w:rsid w:val="000B4411"/>
    <w:rsid w:val="000B4465"/>
    <w:rsid w:val="000B48F5"/>
    <w:rsid w:val="000B5202"/>
    <w:rsid w:val="000B52FB"/>
    <w:rsid w:val="000B5421"/>
    <w:rsid w:val="000B54A8"/>
    <w:rsid w:val="000B615D"/>
    <w:rsid w:val="000B704C"/>
    <w:rsid w:val="000B72C7"/>
    <w:rsid w:val="000B730E"/>
    <w:rsid w:val="000B76CC"/>
    <w:rsid w:val="000B7906"/>
    <w:rsid w:val="000B79EF"/>
    <w:rsid w:val="000B7B00"/>
    <w:rsid w:val="000B7FD9"/>
    <w:rsid w:val="000C0038"/>
    <w:rsid w:val="000C046A"/>
    <w:rsid w:val="000C090D"/>
    <w:rsid w:val="000C0A46"/>
    <w:rsid w:val="000C0B16"/>
    <w:rsid w:val="000C1237"/>
    <w:rsid w:val="000C140B"/>
    <w:rsid w:val="000C1650"/>
    <w:rsid w:val="000C16A1"/>
    <w:rsid w:val="000C1990"/>
    <w:rsid w:val="000C1DE2"/>
    <w:rsid w:val="000C204C"/>
    <w:rsid w:val="000C2102"/>
    <w:rsid w:val="000C212C"/>
    <w:rsid w:val="000C22CF"/>
    <w:rsid w:val="000C250C"/>
    <w:rsid w:val="000C2829"/>
    <w:rsid w:val="000C2C41"/>
    <w:rsid w:val="000C325D"/>
    <w:rsid w:val="000C327D"/>
    <w:rsid w:val="000C34D5"/>
    <w:rsid w:val="000C35F8"/>
    <w:rsid w:val="000C3912"/>
    <w:rsid w:val="000C3944"/>
    <w:rsid w:val="000C3CF4"/>
    <w:rsid w:val="000C4362"/>
    <w:rsid w:val="000C4379"/>
    <w:rsid w:val="000C4BE4"/>
    <w:rsid w:val="000C4E3C"/>
    <w:rsid w:val="000C5519"/>
    <w:rsid w:val="000C5783"/>
    <w:rsid w:val="000C5C31"/>
    <w:rsid w:val="000C64C6"/>
    <w:rsid w:val="000C6943"/>
    <w:rsid w:val="000C6B9A"/>
    <w:rsid w:val="000C700F"/>
    <w:rsid w:val="000C71F2"/>
    <w:rsid w:val="000C7201"/>
    <w:rsid w:val="000C726F"/>
    <w:rsid w:val="000C77B6"/>
    <w:rsid w:val="000C7C04"/>
    <w:rsid w:val="000C7CB6"/>
    <w:rsid w:val="000D0087"/>
    <w:rsid w:val="000D08D5"/>
    <w:rsid w:val="000D0943"/>
    <w:rsid w:val="000D0A85"/>
    <w:rsid w:val="000D0AFD"/>
    <w:rsid w:val="000D0F3D"/>
    <w:rsid w:val="000D12EB"/>
    <w:rsid w:val="000D16A4"/>
    <w:rsid w:val="000D1DD4"/>
    <w:rsid w:val="000D1FF4"/>
    <w:rsid w:val="000D231C"/>
    <w:rsid w:val="000D2B08"/>
    <w:rsid w:val="000D2DA5"/>
    <w:rsid w:val="000D30CC"/>
    <w:rsid w:val="000D3193"/>
    <w:rsid w:val="000D322A"/>
    <w:rsid w:val="000D32B9"/>
    <w:rsid w:val="000D32F3"/>
    <w:rsid w:val="000D3871"/>
    <w:rsid w:val="000D3C7F"/>
    <w:rsid w:val="000D3EEB"/>
    <w:rsid w:val="000D40DA"/>
    <w:rsid w:val="000D4956"/>
    <w:rsid w:val="000D4B49"/>
    <w:rsid w:val="000D4EB8"/>
    <w:rsid w:val="000D4F75"/>
    <w:rsid w:val="000D4FF7"/>
    <w:rsid w:val="000D5010"/>
    <w:rsid w:val="000D5111"/>
    <w:rsid w:val="000D5300"/>
    <w:rsid w:val="000D561E"/>
    <w:rsid w:val="000D56D6"/>
    <w:rsid w:val="000D58B1"/>
    <w:rsid w:val="000D59AB"/>
    <w:rsid w:val="000D5D41"/>
    <w:rsid w:val="000D611F"/>
    <w:rsid w:val="000D63CA"/>
    <w:rsid w:val="000D6544"/>
    <w:rsid w:val="000D65EA"/>
    <w:rsid w:val="000D66E0"/>
    <w:rsid w:val="000D6797"/>
    <w:rsid w:val="000D6C41"/>
    <w:rsid w:val="000D6D99"/>
    <w:rsid w:val="000D6EAB"/>
    <w:rsid w:val="000D6EBB"/>
    <w:rsid w:val="000D7102"/>
    <w:rsid w:val="000D76EC"/>
    <w:rsid w:val="000D78BC"/>
    <w:rsid w:val="000D7B15"/>
    <w:rsid w:val="000D7BAD"/>
    <w:rsid w:val="000D7EBD"/>
    <w:rsid w:val="000E024A"/>
    <w:rsid w:val="000E0424"/>
    <w:rsid w:val="000E0A86"/>
    <w:rsid w:val="000E0AD2"/>
    <w:rsid w:val="000E1200"/>
    <w:rsid w:val="000E1355"/>
    <w:rsid w:val="000E1446"/>
    <w:rsid w:val="000E162C"/>
    <w:rsid w:val="000E1840"/>
    <w:rsid w:val="000E18CB"/>
    <w:rsid w:val="000E19F5"/>
    <w:rsid w:val="000E1F33"/>
    <w:rsid w:val="000E1F52"/>
    <w:rsid w:val="000E2057"/>
    <w:rsid w:val="000E21A2"/>
    <w:rsid w:val="000E22B3"/>
    <w:rsid w:val="000E2A24"/>
    <w:rsid w:val="000E2C8F"/>
    <w:rsid w:val="000E2C90"/>
    <w:rsid w:val="000E2D7C"/>
    <w:rsid w:val="000E2DCC"/>
    <w:rsid w:val="000E2E6A"/>
    <w:rsid w:val="000E3176"/>
    <w:rsid w:val="000E378E"/>
    <w:rsid w:val="000E3989"/>
    <w:rsid w:val="000E39C9"/>
    <w:rsid w:val="000E3ADD"/>
    <w:rsid w:val="000E3EEB"/>
    <w:rsid w:val="000E4104"/>
    <w:rsid w:val="000E4394"/>
    <w:rsid w:val="000E497A"/>
    <w:rsid w:val="000E4A1A"/>
    <w:rsid w:val="000E5140"/>
    <w:rsid w:val="000E5374"/>
    <w:rsid w:val="000E5755"/>
    <w:rsid w:val="000E5CA7"/>
    <w:rsid w:val="000E5D20"/>
    <w:rsid w:val="000E5EF8"/>
    <w:rsid w:val="000E5F93"/>
    <w:rsid w:val="000E6356"/>
    <w:rsid w:val="000E66C9"/>
    <w:rsid w:val="000E677F"/>
    <w:rsid w:val="000E6EA2"/>
    <w:rsid w:val="000E77A5"/>
    <w:rsid w:val="000E7801"/>
    <w:rsid w:val="000E79E0"/>
    <w:rsid w:val="000E7C26"/>
    <w:rsid w:val="000E7E8B"/>
    <w:rsid w:val="000F0492"/>
    <w:rsid w:val="000F0504"/>
    <w:rsid w:val="000F0DDF"/>
    <w:rsid w:val="000F0EEC"/>
    <w:rsid w:val="000F0FD6"/>
    <w:rsid w:val="000F12FB"/>
    <w:rsid w:val="000F14E7"/>
    <w:rsid w:val="000F1666"/>
    <w:rsid w:val="000F16FF"/>
    <w:rsid w:val="000F1A71"/>
    <w:rsid w:val="000F1B83"/>
    <w:rsid w:val="000F1BD8"/>
    <w:rsid w:val="000F1DE6"/>
    <w:rsid w:val="000F2247"/>
    <w:rsid w:val="000F26D5"/>
    <w:rsid w:val="000F2CAB"/>
    <w:rsid w:val="000F2F88"/>
    <w:rsid w:val="000F302B"/>
    <w:rsid w:val="000F318A"/>
    <w:rsid w:val="000F33E2"/>
    <w:rsid w:val="000F34B2"/>
    <w:rsid w:val="000F3549"/>
    <w:rsid w:val="000F3B6D"/>
    <w:rsid w:val="000F3C3A"/>
    <w:rsid w:val="000F409E"/>
    <w:rsid w:val="000F4650"/>
    <w:rsid w:val="000F4DC8"/>
    <w:rsid w:val="000F4FBE"/>
    <w:rsid w:val="000F50E8"/>
    <w:rsid w:val="000F52A0"/>
    <w:rsid w:val="000F5558"/>
    <w:rsid w:val="000F575E"/>
    <w:rsid w:val="000F59E9"/>
    <w:rsid w:val="000F5F5D"/>
    <w:rsid w:val="000F6975"/>
    <w:rsid w:val="000F6A6A"/>
    <w:rsid w:val="000F6CBB"/>
    <w:rsid w:val="000F6E51"/>
    <w:rsid w:val="000F7100"/>
    <w:rsid w:val="000F72B2"/>
    <w:rsid w:val="000F7406"/>
    <w:rsid w:val="000F7F8D"/>
    <w:rsid w:val="001000A9"/>
    <w:rsid w:val="001003ED"/>
    <w:rsid w:val="00100CE5"/>
    <w:rsid w:val="00100F4B"/>
    <w:rsid w:val="00101092"/>
    <w:rsid w:val="00101283"/>
    <w:rsid w:val="001017CD"/>
    <w:rsid w:val="001018FA"/>
    <w:rsid w:val="00101C08"/>
    <w:rsid w:val="00101E0C"/>
    <w:rsid w:val="001022DE"/>
    <w:rsid w:val="001022E1"/>
    <w:rsid w:val="001024B6"/>
    <w:rsid w:val="0010260D"/>
    <w:rsid w:val="0010266B"/>
    <w:rsid w:val="00102721"/>
    <w:rsid w:val="00102AFF"/>
    <w:rsid w:val="00102EF5"/>
    <w:rsid w:val="00102F28"/>
    <w:rsid w:val="001031A8"/>
    <w:rsid w:val="00103214"/>
    <w:rsid w:val="00103490"/>
    <w:rsid w:val="001035D2"/>
    <w:rsid w:val="00103985"/>
    <w:rsid w:val="00103A16"/>
    <w:rsid w:val="0010408B"/>
    <w:rsid w:val="001042C4"/>
    <w:rsid w:val="001043E5"/>
    <w:rsid w:val="0010448F"/>
    <w:rsid w:val="001046AA"/>
    <w:rsid w:val="001046E3"/>
    <w:rsid w:val="00104774"/>
    <w:rsid w:val="001049EC"/>
    <w:rsid w:val="00104A02"/>
    <w:rsid w:val="00104FC9"/>
    <w:rsid w:val="001052BF"/>
    <w:rsid w:val="00105916"/>
    <w:rsid w:val="00105AA0"/>
    <w:rsid w:val="00106088"/>
    <w:rsid w:val="001062A9"/>
    <w:rsid w:val="00106766"/>
    <w:rsid w:val="00106953"/>
    <w:rsid w:val="00106A45"/>
    <w:rsid w:val="00106B09"/>
    <w:rsid w:val="00106EF6"/>
    <w:rsid w:val="001071D5"/>
    <w:rsid w:val="00107A19"/>
    <w:rsid w:val="00107C26"/>
    <w:rsid w:val="0011024C"/>
    <w:rsid w:val="00110557"/>
    <w:rsid w:val="00110691"/>
    <w:rsid w:val="00110A19"/>
    <w:rsid w:val="00110E1A"/>
    <w:rsid w:val="001114DA"/>
    <w:rsid w:val="0011185B"/>
    <w:rsid w:val="00111B48"/>
    <w:rsid w:val="00111BBE"/>
    <w:rsid w:val="00111C54"/>
    <w:rsid w:val="00111F86"/>
    <w:rsid w:val="001122A8"/>
    <w:rsid w:val="00112444"/>
    <w:rsid w:val="00112591"/>
    <w:rsid w:val="001125C7"/>
    <w:rsid w:val="0011263A"/>
    <w:rsid w:val="00112710"/>
    <w:rsid w:val="00112B21"/>
    <w:rsid w:val="00112D62"/>
    <w:rsid w:val="00113224"/>
    <w:rsid w:val="00113BED"/>
    <w:rsid w:val="00113C1D"/>
    <w:rsid w:val="00113D75"/>
    <w:rsid w:val="00113F1A"/>
    <w:rsid w:val="0011420D"/>
    <w:rsid w:val="001146CA"/>
    <w:rsid w:val="00114FBD"/>
    <w:rsid w:val="0011512E"/>
    <w:rsid w:val="0011526D"/>
    <w:rsid w:val="00115282"/>
    <w:rsid w:val="00115904"/>
    <w:rsid w:val="00115EB8"/>
    <w:rsid w:val="001161D8"/>
    <w:rsid w:val="0011620E"/>
    <w:rsid w:val="001162AE"/>
    <w:rsid w:val="001163A6"/>
    <w:rsid w:val="00116470"/>
    <w:rsid w:val="00116811"/>
    <w:rsid w:val="00116C75"/>
    <w:rsid w:val="00116E39"/>
    <w:rsid w:val="00117852"/>
    <w:rsid w:val="00117946"/>
    <w:rsid w:val="00117D6C"/>
    <w:rsid w:val="00117E25"/>
    <w:rsid w:val="00117E5B"/>
    <w:rsid w:val="00117F49"/>
    <w:rsid w:val="00120135"/>
    <w:rsid w:val="00120252"/>
    <w:rsid w:val="001205E6"/>
    <w:rsid w:val="0012080C"/>
    <w:rsid w:val="00120941"/>
    <w:rsid w:val="0012095D"/>
    <w:rsid w:val="00120DED"/>
    <w:rsid w:val="00120E71"/>
    <w:rsid w:val="00121299"/>
    <w:rsid w:val="00121538"/>
    <w:rsid w:val="00121919"/>
    <w:rsid w:val="00121AE6"/>
    <w:rsid w:val="00121B66"/>
    <w:rsid w:val="00122016"/>
    <w:rsid w:val="0012215F"/>
    <w:rsid w:val="00122240"/>
    <w:rsid w:val="0012225F"/>
    <w:rsid w:val="0012227A"/>
    <w:rsid w:val="00122334"/>
    <w:rsid w:val="0012271C"/>
    <w:rsid w:val="00122DAB"/>
    <w:rsid w:val="00122F8C"/>
    <w:rsid w:val="00123118"/>
    <w:rsid w:val="00123226"/>
    <w:rsid w:val="001232E4"/>
    <w:rsid w:val="001233CE"/>
    <w:rsid w:val="0012372E"/>
    <w:rsid w:val="00123794"/>
    <w:rsid w:val="00123853"/>
    <w:rsid w:val="00123B2D"/>
    <w:rsid w:val="00123F53"/>
    <w:rsid w:val="001240EB"/>
    <w:rsid w:val="0012429F"/>
    <w:rsid w:val="0012443B"/>
    <w:rsid w:val="001245FE"/>
    <w:rsid w:val="00124CF3"/>
    <w:rsid w:val="00124EB6"/>
    <w:rsid w:val="00125A50"/>
    <w:rsid w:val="00125F14"/>
    <w:rsid w:val="0012669C"/>
    <w:rsid w:val="00126717"/>
    <w:rsid w:val="00126905"/>
    <w:rsid w:val="00126BAA"/>
    <w:rsid w:val="0012749D"/>
    <w:rsid w:val="001276D8"/>
    <w:rsid w:val="00127C2E"/>
    <w:rsid w:val="00127DF2"/>
    <w:rsid w:val="00127EA5"/>
    <w:rsid w:val="00127F5A"/>
    <w:rsid w:val="001302DF"/>
    <w:rsid w:val="00130444"/>
    <w:rsid w:val="0013074E"/>
    <w:rsid w:val="00130907"/>
    <w:rsid w:val="00130B76"/>
    <w:rsid w:val="001310C7"/>
    <w:rsid w:val="00131386"/>
    <w:rsid w:val="001316CE"/>
    <w:rsid w:val="00131A47"/>
    <w:rsid w:val="00131B99"/>
    <w:rsid w:val="00131CA8"/>
    <w:rsid w:val="0013290F"/>
    <w:rsid w:val="00132ADB"/>
    <w:rsid w:val="00132B51"/>
    <w:rsid w:val="00132E57"/>
    <w:rsid w:val="001331F1"/>
    <w:rsid w:val="00133442"/>
    <w:rsid w:val="00133A03"/>
    <w:rsid w:val="00133F02"/>
    <w:rsid w:val="001341D1"/>
    <w:rsid w:val="00134371"/>
    <w:rsid w:val="001344C1"/>
    <w:rsid w:val="0013486B"/>
    <w:rsid w:val="00134873"/>
    <w:rsid w:val="001349A5"/>
    <w:rsid w:val="00134B34"/>
    <w:rsid w:val="00134BCB"/>
    <w:rsid w:val="00134C33"/>
    <w:rsid w:val="00134C50"/>
    <w:rsid w:val="0013505F"/>
    <w:rsid w:val="00135907"/>
    <w:rsid w:val="00135A6B"/>
    <w:rsid w:val="0013634D"/>
    <w:rsid w:val="00136808"/>
    <w:rsid w:val="0013684F"/>
    <w:rsid w:val="00137441"/>
    <w:rsid w:val="0013785E"/>
    <w:rsid w:val="0013786D"/>
    <w:rsid w:val="00137B0E"/>
    <w:rsid w:val="00137CB1"/>
    <w:rsid w:val="001400E4"/>
    <w:rsid w:val="00140950"/>
    <w:rsid w:val="00140EBB"/>
    <w:rsid w:val="001412DE"/>
    <w:rsid w:val="00141374"/>
    <w:rsid w:val="001419E4"/>
    <w:rsid w:val="00141B56"/>
    <w:rsid w:val="00141D14"/>
    <w:rsid w:val="00142409"/>
    <w:rsid w:val="001425AB"/>
    <w:rsid w:val="00142BD7"/>
    <w:rsid w:val="00143101"/>
    <w:rsid w:val="00143A7B"/>
    <w:rsid w:val="00143B4B"/>
    <w:rsid w:val="00143C02"/>
    <w:rsid w:val="00143C38"/>
    <w:rsid w:val="00143DDB"/>
    <w:rsid w:val="00144402"/>
    <w:rsid w:val="00144588"/>
    <w:rsid w:val="00144EC4"/>
    <w:rsid w:val="0014568E"/>
    <w:rsid w:val="001458A2"/>
    <w:rsid w:val="001458EE"/>
    <w:rsid w:val="0014595E"/>
    <w:rsid w:val="00145988"/>
    <w:rsid w:val="00145A16"/>
    <w:rsid w:val="001463AE"/>
    <w:rsid w:val="001466B7"/>
    <w:rsid w:val="001468F1"/>
    <w:rsid w:val="00147319"/>
    <w:rsid w:val="00147BF2"/>
    <w:rsid w:val="00147C7D"/>
    <w:rsid w:val="00147FF2"/>
    <w:rsid w:val="00150376"/>
    <w:rsid w:val="00150412"/>
    <w:rsid w:val="0015068F"/>
    <w:rsid w:val="001512A6"/>
    <w:rsid w:val="001517D4"/>
    <w:rsid w:val="00151C08"/>
    <w:rsid w:val="00151C41"/>
    <w:rsid w:val="00152336"/>
    <w:rsid w:val="00152480"/>
    <w:rsid w:val="001525AF"/>
    <w:rsid w:val="0015272F"/>
    <w:rsid w:val="00152B8C"/>
    <w:rsid w:val="00152BFC"/>
    <w:rsid w:val="00152F9A"/>
    <w:rsid w:val="0015325E"/>
    <w:rsid w:val="001534D6"/>
    <w:rsid w:val="0015351E"/>
    <w:rsid w:val="00153712"/>
    <w:rsid w:val="00153818"/>
    <w:rsid w:val="00153821"/>
    <w:rsid w:val="00153A09"/>
    <w:rsid w:val="00153B22"/>
    <w:rsid w:val="00153C72"/>
    <w:rsid w:val="00153DBA"/>
    <w:rsid w:val="00153DFC"/>
    <w:rsid w:val="00153E33"/>
    <w:rsid w:val="00154073"/>
    <w:rsid w:val="00154BD3"/>
    <w:rsid w:val="00154E1D"/>
    <w:rsid w:val="0015528A"/>
    <w:rsid w:val="0015548F"/>
    <w:rsid w:val="001559B2"/>
    <w:rsid w:val="00155A02"/>
    <w:rsid w:val="00155D04"/>
    <w:rsid w:val="00155D2D"/>
    <w:rsid w:val="00155DEC"/>
    <w:rsid w:val="001560D0"/>
    <w:rsid w:val="00156E73"/>
    <w:rsid w:val="001571A2"/>
    <w:rsid w:val="001575BB"/>
    <w:rsid w:val="0015768A"/>
    <w:rsid w:val="00157AA4"/>
    <w:rsid w:val="00157BF6"/>
    <w:rsid w:val="001600AE"/>
    <w:rsid w:val="001600F3"/>
    <w:rsid w:val="00160476"/>
    <w:rsid w:val="00160E42"/>
    <w:rsid w:val="00161781"/>
    <w:rsid w:val="001619CF"/>
    <w:rsid w:val="001620CE"/>
    <w:rsid w:val="00162401"/>
    <w:rsid w:val="0016244B"/>
    <w:rsid w:val="00162484"/>
    <w:rsid w:val="00162825"/>
    <w:rsid w:val="00162F01"/>
    <w:rsid w:val="0016365E"/>
    <w:rsid w:val="00163FEB"/>
    <w:rsid w:val="00164598"/>
    <w:rsid w:val="00164815"/>
    <w:rsid w:val="001649C3"/>
    <w:rsid w:val="00164D92"/>
    <w:rsid w:val="001650DB"/>
    <w:rsid w:val="001653B4"/>
    <w:rsid w:val="00165410"/>
    <w:rsid w:val="001656AC"/>
    <w:rsid w:val="00165843"/>
    <w:rsid w:val="001659A9"/>
    <w:rsid w:val="00165C52"/>
    <w:rsid w:val="00166107"/>
    <w:rsid w:val="00166720"/>
    <w:rsid w:val="00166AF6"/>
    <w:rsid w:val="001671AC"/>
    <w:rsid w:val="001673F7"/>
    <w:rsid w:val="00167677"/>
    <w:rsid w:val="00167DA4"/>
    <w:rsid w:val="00167DFD"/>
    <w:rsid w:val="00167EBB"/>
    <w:rsid w:val="001700A6"/>
    <w:rsid w:val="00170141"/>
    <w:rsid w:val="00170602"/>
    <w:rsid w:val="00170658"/>
    <w:rsid w:val="0017089E"/>
    <w:rsid w:val="001711A5"/>
    <w:rsid w:val="001711C4"/>
    <w:rsid w:val="001713A5"/>
    <w:rsid w:val="001714F6"/>
    <w:rsid w:val="0017174C"/>
    <w:rsid w:val="0017182C"/>
    <w:rsid w:val="00171C1C"/>
    <w:rsid w:val="00171E30"/>
    <w:rsid w:val="00171E3B"/>
    <w:rsid w:val="00171E56"/>
    <w:rsid w:val="00172623"/>
    <w:rsid w:val="00172996"/>
    <w:rsid w:val="00172A61"/>
    <w:rsid w:val="001730F3"/>
    <w:rsid w:val="00173761"/>
    <w:rsid w:val="001738BB"/>
    <w:rsid w:val="00173D3B"/>
    <w:rsid w:val="0017401C"/>
    <w:rsid w:val="001742F4"/>
    <w:rsid w:val="001746BC"/>
    <w:rsid w:val="0017480F"/>
    <w:rsid w:val="00174850"/>
    <w:rsid w:val="00174AB9"/>
    <w:rsid w:val="00174FD1"/>
    <w:rsid w:val="001755BA"/>
    <w:rsid w:val="00175B34"/>
    <w:rsid w:val="00175BDA"/>
    <w:rsid w:val="00175CAA"/>
    <w:rsid w:val="00176167"/>
    <w:rsid w:val="00176636"/>
    <w:rsid w:val="001766A8"/>
    <w:rsid w:val="00176B17"/>
    <w:rsid w:val="00176B51"/>
    <w:rsid w:val="001770AB"/>
    <w:rsid w:val="00177198"/>
    <w:rsid w:val="00177851"/>
    <w:rsid w:val="00177CBE"/>
    <w:rsid w:val="00177D42"/>
    <w:rsid w:val="0018010A"/>
    <w:rsid w:val="00180245"/>
    <w:rsid w:val="001809C2"/>
    <w:rsid w:val="00180A33"/>
    <w:rsid w:val="00180F63"/>
    <w:rsid w:val="001811D8"/>
    <w:rsid w:val="001812AB"/>
    <w:rsid w:val="001812AE"/>
    <w:rsid w:val="0018146A"/>
    <w:rsid w:val="00181537"/>
    <w:rsid w:val="00181784"/>
    <w:rsid w:val="0018197F"/>
    <w:rsid w:val="00181DBA"/>
    <w:rsid w:val="00182A4B"/>
    <w:rsid w:val="00182DD7"/>
    <w:rsid w:val="00182F4F"/>
    <w:rsid w:val="00183240"/>
    <w:rsid w:val="001832AE"/>
    <w:rsid w:val="00183825"/>
    <w:rsid w:val="001838AE"/>
    <w:rsid w:val="00183FEA"/>
    <w:rsid w:val="001843CF"/>
    <w:rsid w:val="0018447B"/>
    <w:rsid w:val="001848D2"/>
    <w:rsid w:val="00184A97"/>
    <w:rsid w:val="00184E72"/>
    <w:rsid w:val="00185073"/>
    <w:rsid w:val="00185675"/>
    <w:rsid w:val="00185B4D"/>
    <w:rsid w:val="001861BE"/>
    <w:rsid w:val="00186908"/>
    <w:rsid w:val="0018690F"/>
    <w:rsid w:val="00186ED5"/>
    <w:rsid w:val="0018772F"/>
    <w:rsid w:val="00187852"/>
    <w:rsid w:val="001902F5"/>
    <w:rsid w:val="00190880"/>
    <w:rsid w:val="00190C53"/>
    <w:rsid w:val="00190E1A"/>
    <w:rsid w:val="00190FE4"/>
    <w:rsid w:val="0019106B"/>
    <w:rsid w:val="00191165"/>
    <w:rsid w:val="0019139F"/>
    <w:rsid w:val="001914DB"/>
    <w:rsid w:val="001917F0"/>
    <w:rsid w:val="0019182D"/>
    <w:rsid w:val="0019191E"/>
    <w:rsid w:val="00191D47"/>
    <w:rsid w:val="00191FB0"/>
    <w:rsid w:val="00192024"/>
    <w:rsid w:val="001922B5"/>
    <w:rsid w:val="00192488"/>
    <w:rsid w:val="00192838"/>
    <w:rsid w:val="00193210"/>
    <w:rsid w:val="001935BF"/>
    <w:rsid w:val="001937C8"/>
    <w:rsid w:val="00193883"/>
    <w:rsid w:val="00194217"/>
    <w:rsid w:val="001946FC"/>
    <w:rsid w:val="00195290"/>
    <w:rsid w:val="0019533D"/>
    <w:rsid w:val="001962BC"/>
    <w:rsid w:val="00196313"/>
    <w:rsid w:val="00196684"/>
    <w:rsid w:val="0019698E"/>
    <w:rsid w:val="001969B2"/>
    <w:rsid w:val="00196E84"/>
    <w:rsid w:val="00196FBF"/>
    <w:rsid w:val="001A0327"/>
    <w:rsid w:val="001A0408"/>
    <w:rsid w:val="001A084E"/>
    <w:rsid w:val="001A08F8"/>
    <w:rsid w:val="001A0B14"/>
    <w:rsid w:val="001A0C46"/>
    <w:rsid w:val="001A0F6D"/>
    <w:rsid w:val="001A1349"/>
    <w:rsid w:val="001A1835"/>
    <w:rsid w:val="001A1E31"/>
    <w:rsid w:val="001A2165"/>
    <w:rsid w:val="001A23C9"/>
    <w:rsid w:val="001A23D7"/>
    <w:rsid w:val="001A25C6"/>
    <w:rsid w:val="001A2603"/>
    <w:rsid w:val="001A2B2A"/>
    <w:rsid w:val="001A2D0F"/>
    <w:rsid w:val="001A2F3D"/>
    <w:rsid w:val="001A33B6"/>
    <w:rsid w:val="001A3449"/>
    <w:rsid w:val="001A3460"/>
    <w:rsid w:val="001A3800"/>
    <w:rsid w:val="001A383A"/>
    <w:rsid w:val="001A3FED"/>
    <w:rsid w:val="001A47D9"/>
    <w:rsid w:val="001A4952"/>
    <w:rsid w:val="001A4961"/>
    <w:rsid w:val="001A4D5A"/>
    <w:rsid w:val="001A6057"/>
    <w:rsid w:val="001A61A4"/>
    <w:rsid w:val="001A6242"/>
    <w:rsid w:val="001A6DA9"/>
    <w:rsid w:val="001A782D"/>
    <w:rsid w:val="001A7889"/>
    <w:rsid w:val="001B009A"/>
    <w:rsid w:val="001B026A"/>
    <w:rsid w:val="001B07E5"/>
    <w:rsid w:val="001B0A9E"/>
    <w:rsid w:val="001B0D34"/>
    <w:rsid w:val="001B105F"/>
    <w:rsid w:val="001B1294"/>
    <w:rsid w:val="001B1897"/>
    <w:rsid w:val="001B19B6"/>
    <w:rsid w:val="001B1F1C"/>
    <w:rsid w:val="001B1F4A"/>
    <w:rsid w:val="001B21F0"/>
    <w:rsid w:val="001B21FA"/>
    <w:rsid w:val="001B226A"/>
    <w:rsid w:val="001B228D"/>
    <w:rsid w:val="001B244B"/>
    <w:rsid w:val="001B25D8"/>
    <w:rsid w:val="001B2D4E"/>
    <w:rsid w:val="001B39CC"/>
    <w:rsid w:val="001B3C3E"/>
    <w:rsid w:val="001B3E56"/>
    <w:rsid w:val="001B3ECE"/>
    <w:rsid w:val="001B428E"/>
    <w:rsid w:val="001B4441"/>
    <w:rsid w:val="001B461F"/>
    <w:rsid w:val="001B484F"/>
    <w:rsid w:val="001B488B"/>
    <w:rsid w:val="001B4980"/>
    <w:rsid w:val="001B4FCA"/>
    <w:rsid w:val="001B4FE6"/>
    <w:rsid w:val="001B5668"/>
    <w:rsid w:val="001B5728"/>
    <w:rsid w:val="001B59F3"/>
    <w:rsid w:val="001B5A07"/>
    <w:rsid w:val="001B5CC7"/>
    <w:rsid w:val="001B5F29"/>
    <w:rsid w:val="001B6032"/>
    <w:rsid w:val="001B62B1"/>
    <w:rsid w:val="001B66ED"/>
    <w:rsid w:val="001B682E"/>
    <w:rsid w:val="001B6928"/>
    <w:rsid w:val="001B6B93"/>
    <w:rsid w:val="001B6EDD"/>
    <w:rsid w:val="001B6F47"/>
    <w:rsid w:val="001B7288"/>
    <w:rsid w:val="001B76F0"/>
    <w:rsid w:val="001B77AC"/>
    <w:rsid w:val="001B7D3A"/>
    <w:rsid w:val="001C0470"/>
    <w:rsid w:val="001C054C"/>
    <w:rsid w:val="001C13DC"/>
    <w:rsid w:val="001C1498"/>
    <w:rsid w:val="001C160F"/>
    <w:rsid w:val="001C1811"/>
    <w:rsid w:val="001C1940"/>
    <w:rsid w:val="001C1A93"/>
    <w:rsid w:val="001C1CA6"/>
    <w:rsid w:val="001C1CE4"/>
    <w:rsid w:val="001C25B1"/>
    <w:rsid w:val="001C2682"/>
    <w:rsid w:val="001C2B0D"/>
    <w:rsid w:val="001C2FC1"/>
    <w:rsid w:val="001C357C"/>
    <w:rsid w:val="001C372E"/>
    <w:rsid w:val="001C3B86"/>
    <w:rsid w:val="001C409D"/>
    <w:rsid w:val="001C482E"/>
    <w:rsid w:val="001C48DB"/>
    <w:rsid w:val="001C4CD7"/>
    <w:rsid w:val="001C4D52"/>
    <w:rsid w:val="001C52F2"/>
    <w:rsid w:val="001C550E"/>
    <w:rsid w:val="001C5532"/>
    <w:rsid w:val="001C5594"/>
    <w:rsid w:val="001C5AAD"/>
    <w:rsid w:val="001C5BB6"/>
    <w:rsid w:val="001C604E"/>
    <w:rsid w:val="001C62B0"/>
    <w:rsid w:val="001C6384"/>
    <w:rsid w:val="001C6540"/>
    <w:rsid w:val="001C6571"/>
    <w:rsid w:val="001C661E"/>
    <w:rsid w:val="001C666F"/>
    <w:rsid w:val="001C6835"/>
    <w:rsid w:val="001C6BD4"/>
    <w:rsid w:val="001C78F0"/>
    <w:rsid w:val="001C7C71"/>
    <w:rsid w:val="001C7DF7"/>
    <w:rsid w:val="001C7FBA"/>
    <w:rsid w:val="001D0196"/>
    <w:rsid w:val="001D01BF"/>
    <w:rsid w:val="001D0204"/>
    <w:rsid w:val="001D05A0"/>
    <w:rsid w:val="001D0DB7"/>
    <w:rsid w:val="001D0F5B"/>
    <w:rsid w:val="001D17E6"/>
    <w:rsid w:val="001D18EA"/>
    <w:rsid w:val="001D19A7"/>
    <w:rsid w:val="001D1F8D"/>
    <w:rsid w:val="001D22FE"/>
    <w:rsid w:val="001D2E7B"/>
    <w:rsid w:val="001D31AB"/>
    <w:rsid w:val="001D3778"/>
    <w:rsid w:val="001D3893"/>
    <w:rsid w:val="001D39B8"/>
    <w:rsid w:val="001D3FA9"/>
    <w:rsid w:val="001D4061"/>
    <w:rsid w:val="001D40D2"/>
    <w:rsid w:val="001D4320"/>
    <w:rsid w:val="001D4873"/>
    <w:rsid w:val="001D4EC8"/>
    <w:rsid w:val="001D507F"/>
    <w:rsid w:val="001D512D"/>
    <w:rsid w:val="001D5157"/>
    <w:rsid w:val="001D5429"/>
    <w:rsid w:val="001D5576"/>
    <w:rsid w:val="001D566F"/>
    <w:rsid w:val="001D5850"/>
    <w:rsid w:val="001D58AA"/>
    <w:rsid w:val="001D5A08"/>
    <w:rsid w:val="001D5EF8"/>
    <w:rsid w:val="001D6328"/>
    <w:rsid w:val="001D644C"/>
    <w:rsid w:val="001D645C"/>
    <w:rsid w:val="001D652C"/>
    <w:rsid w:val="001D6634"/>
    <w:rsid w:val="001D6797"/>
    <w:rsid w:val="001D6887"/>
    <w:rsid w:val="001D691D"/>
    <w:rsid w:val="001D7215"/>
    <w:rsid w:val="001D787E"/>
    <w:rsid w:val="001D7937"/>
    <w:rsid w:val="001E0349"/>
    <w:rsid w:val="001E03D5"/>
    <w:rsid w:val="001E03F9"/>
    <w:rsid w:val="001E056D"/>
    <w:rsid w:val="001E0AE3"/>
    <w:rsid w:val="001E0B56"/>
    <w:rsid w:val="001E0BA8"/>
    <w:rsid w:val="001E0CC3"/>
    <w:rsid w:val="001E0DBD"/>
    <w:rsid w:val="001E1828"/>
    <w:rsid w:val="001E185B"/>
    <w:rsid w:val="001E1A66"/>
    <w:rsid w:val="001E1E99"/>
    <w:rsid w:val="001E23E6"/>
    <w:rsid w:val="001E23E7"/>
    <w:rsid w:val="001E273E"/>
    <w:rsid w:val="001E2BAF"/>
    <w:rsid w:val="001E2C3C"/>
    <w:rsid w:val="001E2C4C"/>
    <w:rsid w:val="001E367C"/>
    <w:rsid w:val="001E42E5"/>
    <w:rsid w:val="001E431D"/>
    <w:rsid w:val="001E454D"/>
    <w:rsid w:val="001E4761"/>
    <w:rsid w:val="001E4A6D"/>
    <w:rsid w:val="001E4ABB"/>
    <w:rsid w:val="001E4B58"/>
    <w:rsid w:val="001E4F02"/>
    <w:rsid w:val="001E4F35"/>
    <w:rsid w:val="001E5045"/>
    <w:rsid w:val="001E50AF"/>
    <w:rsid w:val="001E51EA"/>
    <w:rsid w:val="001E5432"/>
    <w:rsid w:val="001E55FF"/>
    <w:rsid w:val="001E56AA"/>
    <w:rsid w:val="001E5B33"/>
    <w:rsid w:val="001E5B91"/>
    <w:rsid w:val="001E5C00"/>
    <w:rsid w:val="001E5C20"/>
    <w:rsid w:val="001E5CA7"/>
    <w:rsid w:val="001E65EC"/>
    <w:rsid w:val="001E677B"/>
    <w:rsid w:val="001E6E61"/>
    <w:rsid w:val="001E6FC2"/>
    <w:rsid w:val="001E7060"/>
    <w:rsid w:val="001E70A1"/>
    <w:rsid w:val="001E71F3"/>
    <w:rsid w:val="001E74F8"/>
    <w:rsid w:val="001E763D"/>
    <w:rsid w:val="001E77B8"/>
    <w:rsid w:val="001F00BC"/>
    <w:rsid w:val="001F019F"/>
    <w:rsid w:val="001F069E"/>
    <w:rsid w:val="001F06E2"/>
    <w:rsid w:val="001F0B38"/>
    <w:rsid w:val="001F0FD7"/>
    <w:rsid w:val="001F141B"/>
    <w:rsid w:val="001F1436"/>
    <w:rsid w:val="001F1BEF"/>
    <w:rsid w:val="001F1D31"/>
    <w:rsid w:val="001F1E18"/>
    <w:rsid w:val="001F26DF"/>
    <w:rsid w:val="001F296D"/>
    <w:rsid w:val="001F2B32"/>
    <w:rsid w:val="001F2CB5"/>
    <w:rsid w:val="001F3129"/>
    <w:rsid w:val="001F387E"/>
    <w:rsid w:val="001F3A34"/>
    <w:rsid w:val="001F3AA0"/>
    <w:rsid w:val="001F3C7F"/>
    <w:rsid w:val="001F3F00"/>
    <w:rsid w:val="001F3F1C"/>
    <w:rsid w:val="001F4219"/>
    <w:rsid w:val="001F42BE"/>
    <w:rsid w:val="001F443F"/>
    <w:rsid w:val="001F452C"/>
    <w:rsid w:val="001F46CE"/>
    <w:rsid w:val="001F4952"/>
    <w:rsid w:val="001F496A"/>
    <w:rsid w:val="001F4A53"/>
    <w:rsid w:val="001F4BC6"/>
    <w:rsid w:val="001F566B"/>
    <w:rsid w:val="001F57F0"/>
    <w:rsid w:val="001F5915"/>
    <w:rsid w:val="001F5B23"/>
    <w:rsid w:val="001F5BE6"/>
    <w:rsid w:val="001F6858"/>
    <w:rsid w:val="001F6CB2"/>
    <w:rsid w:val="001F6CEC"/>
    <w:rsid w:val="001F6D6D"/>
    <w:rsid w:val="001F6E9A"/>
    <w:rsid w:val="001F7048"/>
    <w:rsid w:val="001F7205"/>
    <w:rsid w:val="0020016A"/>
    <w:rsid w:val="0020067B"/>
    <w:rsid w:val="0020091A"/>
    <w:rsid w:val="00200B08"/>
    <w:rsid w:val="002010A4"/>
    <w:rsid w:val="002010E6"/>
    <w:rsid w:val="00201444"/>
    <w:rsid w:val="0020149E"/>
    <w:rsid w:val="00201649"/>
    <w:rsid w:val="00201A3A"/>
    <w:rsid w:val="00201B10"/>
    <w:rsid w:val="002020C6"/>
    <w:rsid w:val="00202205"/>
    <w:rsid w:val="00202806"/>
    <w:rsid w:val="00202B43"/>
    <w:rsid w:val="00202E1D"/>
    <w:rsid w:val="0020334E"/>
    <w:rsid w:val="002035B9"/>
    <w:rsid w:val="0020363E"/>
    <w:rsid w:val="0020377A"/>
    <w:rsid w:val="0020394D"/>
    <w:rsid w:val="00203C8E"/>
    <w:rsid w:val="00203ED7"/>
    <w:rsid w:val="00203F3E"/>
    <w:rsid w:val="0020416B"/>
    <w:rsid w:val="00204354"/>
    <w:rsid w:val="002043B2"/>
    <w:rsid w:val="002046F4"/>
    <w:rsid w:val="002048FF"/>
    <w:rsid w:val="00204A50"/>
    <w:rsid w:val="00204D18"/>
    <w:rsid w:val="00204E3C"/>
    <w:rsid w:val="00204F94"/>
    <w:rsid w:val="00205B65"/>
    <w:rsid w:val="00205D61"/>
    <w:rsid w:val="00205FA2"/>
    <w:rsid w:val="002064E2"/>
    <w:rsid w:val="0020654D"/>
    <w:rsid w:val="002068BF"/>
    <w:rsid w:val="00207084"/>
    <w:rsid w:val="002074BF"/>
    <w:rsid w:val="00207B0E"/>
    <w:rsid w:val="00207DED"/>
    <w:rsid w:val="00210109"/>
    <w:rsid w:val="002102E7"/>
    <w:rsid w:val="002105F6"/>
    <w:rsid w:val="002110D7"/>
    <w:rsid w:val="0021120F"/>
    <w:rsid w:val="00211863"/>
    <w:rsid w:val="0021186E"/>
    <w:rsid w:val="00211C2F"/>
    <w:rsid w:val="00211D31"/>
    <w:rsid w:val="00211E47"/>
    <w:rsid w:val="00212048"/>
    <w:rsid w:val="002123D5"/>
    <w:rsid w:val="00212490"/>
    <w:rsid w:val="002127C6"/>
    <w:rsid w:val="00212CBF"/>
    <w:rsid w:val="0021345F"/>
    <w:rsid w:val="00213AA2"/>
    <w:rsid w:val="002141AA"/>
    <w:rsid w:val="002147BA"/>
    <w:rsid w:val="0021483D"/>
    <w:rsid w:val="00214C47"/>
    <w:rsid w:val="00214C86"/>
    <w:rsid w:val="00214EDB"/>
    <w:rsid w:val="0021534E"/>
    <w:rsid w:val="00215B87"/>
    <w:rsid w:val="0021678C"/>
    <w:rsid w:val="002177D6"/>
    <w:rsid w:val="00217850"/>
    <w:rsid w:val="00217AE9"/>
    <w:rsid w:val="00217CF9"/>
    <w:rsid w:val="00217E55"/>
    <w:rsid w:val="00220760"/>
    <w:rsid w:val="0022081D"/>
    <w:rsid w:val="00220914"/>
    <w:rsid w:val="00220DCB"/>
    <w:rsid w:val="00220E03"/>
    <w:rsid w:val="00221347"/>
    <w:rsid w:val="00221399"/>
    <w:rsid w:val="00221586"/>
    <w:rsid w:val="0022159C"/>
    <w:rsid w:val="00221730"/>
    <w:rsid w:val="00221BF0"/>
    <w:rsid w:val="002225A3"/>
    <w:rsid w:val="00222981"/>
    <w:rsid w:val="00222C77"/>
    <w:rsid w:val="00222D4C"/>
    <w:rsid w:val="0022322E"/>
    <w:rsid w:val="0022393E"/>
    <w:rsid w:val="00223AC3"/>
    <w:rsid w:val="00223F79"/>
    <w:rsid w:val="00224282"/>
    <w:rsid w:val="00224367"/>
    <w:rsid w:val="00224723"/>
    <w:rsid w:val="002249FB"/>
    <w:rsid w:val="00224A74"/>
    <w:rsid w:val="00224CA9"/>
    <w:rsid w:val="00224E5A"/>
    <w:rsid w:val="00224EA5"/>
    <w:rsid w:val="0022515F"/>
    <w:rsid w:val="0022537F"/>
    <w:rsid w:val="002258C5"/>
    <w:rsid w:val="002258F7"/>
    <w:rsid w:val="00225B5A"/>
    <w:rsid w:val="00226055"/>
    <w:rsid w:val="00226790"/>
    <w:rsid w:val="00226AEC"/>
    <w:rsid w:val="00226C4C"/>
    <w:rsid w:val="00226CAF"/>
    <w:rsid w:val="00226E18"/>
    <w:rsid w:val="00227277"/>
    <w:rsid w:val="00227754"/>
    <w:rsid w:val="0022783D"/>
    <w:rsid w:val="00227AB5"/>
    <w:rsid w:val="00227D92"/>
    <w:rsid w:val="0023008C"/>
    <w:rsid w:val="00230B0B"/>
    <w:rsid w:val="00230F1B"/>
    <w:rsid w:val="00231679"/>
    <w:rsid w:val="00231905"/>
    <w:rsid w:val="00231BFC"/>
    <w:rsid w:val="00231D93"/>
    <w:rsid w:val="00231F0B"/>
    <w:rsid w:val="00231F6A"/>
    <w:rsid w:val="002327E7"/>
    <w:rsid w:val="002328E5"/>
    <w:rsid w:val="002329A0"/>
    <w:rsid w:val="0023304A"/>
    <w:rsid w:val="00234174"/>
    <w:rsid w:val="0023438E"/>
    <w:rsid w:val="00234448"/>
    <w:rsid w:val="002345E8"/>
    <w:rsid w:val="002349E8"/>
    <w:rsid w:val="00234C69"/>
    <w:rsid w:val="00235101"/>
    <w:rsid w:val="002353DB"/>
    <w:rsid w:val="0023552A"/>
    <w:rsid w:val="0023566A"/>
    <w:rsid w:val="00235752"/>
    <w:rsid w:val="002357E8"/>
    <w:rsid w:val="00235847"/>
    <w:rsid w:val="00235919"/>
    <w:rsid w:val="00235F68"/>
    <w:rsid w:val="002360E8"/>
    <w:rsid w:val="00236D26"/>
    <w:rsid w:val="00236EDD"/>
    <w:rsid w:val="00237218"/>
    <w:rsid w:val="00237615"/>
    <w:rsid w:val="002377D8"/>
    <w:rsid w:val="00237802"/>
    <w:rsid w:val="00237923"/>
    <w:rsid w:val="00237956"/>
    <w:rsid w:val="00237A8E"/>
    <w:rsid w:val="00237C3A"/>
    <w:rsid w:val="0024002E"/>
    <w:rsid w:val="002402C1"/>
    <w:rsid w:val="0024081C"/>
    <w:rsid w:val="0024084F"/>
    <w:rsid w:val="00240E4B"/>
    <w:rsid w:val="00240EFB"/>
    <w:rsid w:val="0024116B"/>
    <w:rsid w:val="002417B6"/>
    <w:rsid w:val="00241B55"/>
    <w:rsid w:val="00241D04"/>
    <w:rsid w:val="0024294E"/>
    <w:rsid w:val="00242959"/>
    <w:rsid w:val="00242DF0"/>
    <w:rsid w:val="00242E3B"/>
    <w:rsid w:val="00242E77"/>
    <w:rsid w:val="002434B0"/>
    <w:rsid w:val="0024397B"/>
    <w:rsid w:val="00243998"/>
    <w:rsid w:val="00243DE7"/>
    <w:rsid w:val="00243E67"/>
    <w:rsid w:val="0024412E"/>
    <w:rsid w:val="00244672"/>
    <w:rsid w:val="00244BF6"/>
    <w:rsid w:val="00244EE7"/>
    <w:rsid w:val="0024510F"/>
    <w:rsid w:val="002455FB"/>
    <w:rsid w:val="0024569F"/>
    <w:rsid w:val="0024586D"/>
    <w:rsid w:val="0024595C"/>
    <w:rsid w:val="00245FE8"/>
    <w:rsid w:val="00246461"/>
    <w:rsid w:val="00246468"/>
    <w:rsid w:val="0024689E"/>
    <w:rsid w:val="002468A2"/>
    <w:rsid w:val="00246D0E"/>
    <w:rsid w:val="00246F62"/>
    <w:rsid w:val="0024723B"/>
    <w:rsid w:val="0024794B"/>
    <w:rsid w:val="002479CE"/>
    <w:rsid w:val="00247ABD"/>
    <w:rsid w:val="00250166"/>
    <w:rsid w:val="0025034A"/>
    <w:rsid w:val="00250690"/>
    <w:rsid w:val="002506EC"/>
    <w:rsid w:val="00250C97"/>
    <w:rsid w:val="0025132C"/>
    <w:rsid w:val="002514B9"/>
    <w:rsid w:val="0025182C"/>
    <w:rsid w:val="00251A21"/>
    <w:rsid w:val="00251E14"/>
    <w:rsid w:val="00251FC2"/>
    <w:rsid w:val="00252180"/>
    <w:rsid w:val="0025226E"/>
    <w:rsid w:val="002524BB"/>
    <w:rsid w:val="0025251C"/>
    <w:rsid w:val="002525CD"/>
    <w:rsid w:val="00252968"/>
    <w:rsid w:val="00252FC6"/>
    <w:rsid w:val="00252FE0"/>
    <w:rsid w:val="002536CE"/>
    <w:rsid w:val="00253F69"/>
    <w:rsid w:val="00254227"/>
    <w:rsid w:val="0025447E"/>
    <w:rsid w:val="00254671"/>
    <w:rsid w:val="002548EC"/>
    <w:rsid w:val="00254DB7"/>
    <w:rsid w:val="002550A0"/>
    <w:rsid w:val="002556C8"/>
    <w:rsid w:val="00255AC7"/>
    <w:rsid w:val="00255C77"/>
    <w:rsid w:val="00256381"/>
    <w:rsid w:val="00256690"/>
    <w:rsid w:val="00256932"/>
    <w:rsid w:val="00256FAD"/>
    <w:rsid w:val="00257134"/>
    <w:rsid w:val="002572AB"/>
    <w:rsid w:val="0025732F"/>
    <w:rsid w:val="00257456"/>
    <w:rsid w:val="0025787E"/>
    <w:rsid w:val="00257998"/>
    <w:rsid w:val="00257B91"/>
    <w:rsid w:val="00257FAF"/>
    <w:rsid w:val="00260266"/>
    <w:rsid w:val="0026029A"/>
    <w:rsid w:val="00260949"/>
    <w:rsid w:val="00260B80"/>
    <w:rsid w:val="00260BD9"/>
    <w:rsid w:val="00260F43"/>
    <w:rsid w:val="002611EC"/>
    <w:rsid w:val="002612B1"/>
    <w:rsid w:val="002616B4"/>
    <w:rsid w:val="00261B15"/>
    <w:rsid w:val="0026224E"/>
    <w:rsid w:val="0026260E"/>
    <w:rsid w:val="002626F2"/>
    <w:rsid w:val="00262818"/>
    <w:rsid w:val="00262B4E"/>
    <w:rsid w:val="00262CCA"/>
    <w:rsid w:val="00262DCD"/>
    <w:rsid w:val="00262F68"/>
    <w:rsid w:val="00263320"/>
    <w:rsid w:val="0026374D"/>
    <w:rsid w:val="00263CD6"/>
    <w:rsid w:val="0026439E"/>
    <w:rsid w:val="00264825"/>
    <w:rsid w:val="00264AAE"/>
    <w:rsid w:val="00264B39"/>
    <w:rsid w:val="00264C4C"/>
    <w:rsid w:val="00264EB5"/>
    <w:rsid w:val="0026543E"/>
    <w:rsid w:val="00265D2B"/>
    <w:rsid w:val="00265E3A"/>
    <w:rsid w:val="00266480"/>
    <w:rsid w:val="00266580"/>
    <w:rsid w:val="00266B63"/>
    <w:rsid w:val="00266CE2"/>
    <w:rsid w:val="00266E1D"/>
    <w:rsid w:val="00266F02"/>
    <w:rsid w:val="00267439"/>
    <w:rsid w:val="0026789F"/>
    <w:rsid w:val="00267EAC"/>
    <w:rsid w:val="00270329"/>
    <w:rsid w:val="002704DF"/>
    <w:rsid w:val="00270604"/>
    <w:rsid w:val="002709C5"/>
    <w:rsid w:val="00270D88"/>
    <w:rsid w:val="0027112A"/>
    <w:rsid w:val="00271254"/>
    <w:rsid w:val="0027156F"/>
    <w:rsid w:val="0027170F"/>
    <w:rsid w:val="00271823"/>
    <w:rsid w:val="00272066"/>
    <w:rsid w:val="0027290F"/>
    <w:rsid w:val="00272F3D"/>
    <w:rsid w:val="0027337E"/>
    <w:rsid w:val="00273414"/>
    <w:rsid w:val="0027410C"/>
    <w:rsid w:val="002747BE"/>
    <w:rsid w:val="00274857"/>
    <w:rsid w:val="00274CB7"/>
    <w:rsid w:val="00274CCC"/>
    <w:rsid w:val="00274D7B"/>
    <w:rsid w:val="00275294"/>
    <w:rsid w:val="00275300"/>
    <w:rsid w:val="00275418"/>
    <w:rsid w:val="002756C7"/>
    <w:rsid w:val="00275A8D"/>
    <w:rsid w:val="00275D54"/>
    <w:rsid w:val="0027635D"/>
    <w:rsid w:val="00276462"/>
    <w:rsid w:val="00276917"/>
    <w:rsid w:val="00276969"/>
    <w:rsid w:val="00276D63"/>
    <w:rsid w:val="00276DE9"/>
    <w:rsid w:val="002779AE"/>
    <w:rsid w:val="002779D6"/>
    <w:rsid w:val="00277B4F"/>
    <w:rsid w:val="00277C53"/>
    <w:rsid w:val="00277EF2"/>
    <w:rsid w:val="002808A1"/>
    <w:rsid w:val="00280AB3"/>
    <w:rsid w:val="00280CC9"/>
    <w:rsid w:val="00280D41"/>
    <w:rsid w:val="00280EC5"/>
    <w:rsid w:val="00281357"/>
    <w:rsid w:val="002813F5"/>
    <w:rsid w:val="002816AE"/>
    <w:rsid w:val="00282249"/>
    <w:rsid w:val="002822EF"/>
    <w:rsid w:val="00282436"/>
    <w:rsid w:val="002825DA"/>
    <w:rsid w:val="00282BBB"/>
    <w:rsid w:val="00282CC7"/>
    <w:rsid w:val="00282EBB"/>
    <w:rsid w:val="00282EDF"/>
    <w:rsid w:val="0028325D"/>
    <w:rsid w:val="00283361"/>
    <w:rsid w:val="002836C7"/>
    <w:rsid w:val="00283A93"/>
    <w:rsid w:val="00283D96"/>
    <w:rsid w:val="00283DC1"/>
    <w:rsid w:val="0028405A"/>
    <w:rsid w:val="002840A5"/>
    <w:rsid w:val="002841C7"/>
    <w:rsid w:val="00284CCD"/>
    <w:rsid w:val="002851A5"/>
    <w:rsid w:val="002851DE"/>
    <w:rsid w:val="00286991"/>
    <w:rsid w:val="00286A89"/>
    <w:rsid w:val="00286E02"/>
    <w:rsid w:val="00286F9D"/>
    <w:rsid w:val="00287939"/>
    <w:rsid w:val="00287AFD"/>
    <w:rsid w:val="00287CD6"/>
    <w:rsid w:val="00287E0C"/>
    <w:rsid w:val="002902D4"/>
    <w:rsid w:val="00290D8C"/>
    <w:rsid w:val="002913E3"/>
    <w:rsid w:val="002914D3"/>
    <w:rsid w:val="00291A3E"/>
    <w:rsid w:val="00291CA0"/>
    <w:rsid w:val="002924FE"/>
    <w:rsid w:val="00292ACF"/>
    <w:rsid w:val="00292C3D"/>
    <w:rsid w:val="00292D78"/>
    <w:rsid w:val="00292D83"/>
    <w:rsid w:val="00292E46"/>
    <w:rsid w:val="00292E64"/>
    <w:rsid w:val="00292FBF"/>
    <w:rsid w:val="002935EE"/>
    <w:rsid w:val="00293C0F"/>
    <w:rsid w:val="00294140"/>
    <w:rsid w:val="0029450C"/>
    <w:rsid w:val="00294C88"/>
    <w:rsid w:val="002951C0"/>
    <w:rsid w:val="002951C7"/>
    <w:rsid w:val="00295569"/>
    <w:rsid w:val="002955EB"/>
    <w:rsid w:val="00295B1A"/>
    <w:rsid w:val="00295CD6"/>
    <w:rsid w:val="00296AC5"/>
    <w:rsid w:val="00297577"/>
    <w:rsid w:val="00297762"/>
    <w:rsid w:val="00297A33"/>
    <w:rsid w:val="002A07BF"/>
    <w:rsid w:val="002A0847"/>
    <w:rsid w:val="002A0D71"/>
    <w:rsid w:val="002A11CC"/>
    <w:rsid w:val="002A15BD"/>
    <w:rsid w:val="002A162C"/>
    <w:rsid w:val="002A1A54"/>
    <w:rsid w:val="002A1AAB"/>
    <w:rsid w:val="002A2097"/>
    <w:rsid w:val="002A2441"/>
    <w:rsid w:val="002A2C58"/>
    <w:rsid w:val="002A354B"/>
    <w:rsid w:val="002A36D5"/>
    <w:rsid w:val="002A3AA1"/>
    <w:rsid w:val="002A3C93"/>
    <w:rsid w:val="002A40BF"/>
    <w:rsid w:val="002A42DB"/>
    <w:rsid w:val="002A494D"/>
    <w:rsid w:val="002A49FB"/>
    <w:rsid w:val="002A5696"/>
    <w:rsid w:val="002A598D"/>
    <w:rsid w:val="002A5A72"/>
    <w:rsid w:val="002A5D7F"/>
    <w:rsid w:val="002A5E36"/>
    <w:rsid w:val="002A6158"/>
    <w:rsid w:val="002A6A04"/>
    <w:rsid w:val="002A6B9A"/>
    <w:rsid w:val="002A73E9"/>
    <w:rsid w:val="002A759A"/>
    <w:rsid w:val="002A7CFF"/>
    <w:rsid w:val="002B01BC"/>
    <w:rsid w:val="002B043A"/>
    <w:rsid w:val="002B0655"/>
    <w:rsid w:val="002B0916"/>
    <w:rsid w:val="002B0B36"/>
    <w:rsid w:val="002B0CB8"/>
    <w:rsid w:val="002B0CFE"/>
    <w:rsid w:val="002B0FA1"/>
    <w:rsid w:val="002B1111"/>
    <w:rsid w:val="002B16A0"/>
    <w:rsid w:val="002B1773"/>
    <w:rsid w:val="002B1A10"/>
    <w:rsid w:val="002B1C86"/>
    <w:rsid w:val="002B1CAF"/>
    <w:rsid w:val="002B238D"/>
    <w:rsid w:val="002B23BF"/>
    <w:rsid w:val="002B285C"/>
    <w:rsid w:val="002B290A"/>
    <w:rsid w:val="002B29FF"/>
    <w:rsid w:val="002B2E99"/>
    <w:rsid w:val="002B2FB2"/>
    <w:rsid w:val="002B35D5"/>
    <w:rsid w:val="002B35E5"/>
    <w:rsid w:val="002B37E9"/>
    <w:rsid w:val="002B4119"/>
    <w:rsid w:val="002B44AF"/>
    <w:rsid w:val="002B48F9"/>
    <w:rsid w:val="002B4914"/>
    <w:rsid w:val="002B4CC9"/>
    <w:rsid w:val="002B50E9"/>
    <w:rsid w:val="002B5326"/>
    <w:rsid w:val="002B53FA"/>
    <w:rsid w:val="002B5C40"/>
    <w:rsid w:val="002B5CEC"/>
    <w:rsid w:val="002B5EE2"/>
    <w:rsid w:val="002B5FA1"/>
    <w:rsid w:val="002B5FBF"/>
    <w:rsid w:val="002B628F"/>
    <w:rsid w:val="002B6324"/>
    <w:rsid w:val="002B6E9A"/>
    <w:rsid w:val="002B70BF"/>
    <w:rsid w:val="002B71AC"/>
    <w:rsid w:val="002B7205"/>
    <w:rsid w:val="002B7247"/>
    <w:rsid w:val="002B7552"/>
    <w:rsid w:val="002B7562"/>
    <w:rsid w:val="002B7647"/>
    <w:rsid w:val="002B78A1"/>
    <w:rsid w:val="002B7CB6"/>
    <w:rsid w:val="002C0005"/>
    <w:rsid w:val="002C0520"/>
    <w:rsid w:val="002C0E76"/>
    <w:rsid w:val="002C1090"/>
    <w:rsid w:val="002C10DA"/>
    <w:rsid w:val="002C122B"/>
    <w:rsid w:val="002C15FD"/>
    <w:rsid w:val="002C1916"/>
    <w:rsid w:val="002C1AC0"/>
    <w:rsid w:val="002C200C"/>
    <w:rsid w:val="002C20ED"/>
    <w:rsid w:val="002C2103"/>
    <w:rsid w:val="002C2719"/>
    <w:rsid w:val="002C316F"/>
    <w:rsid w:val="002C32F3"/>
    <w:rsid w:val="002C3778"/>
    <w:rsid w:val="002C393E"/>
    <w:rsid w:val="002C3CD8"/>
    <w:rsid w:val="002C3D11"/>
    <w:rsid w:val="002C3E5F"/>
    <w:rsid w:val="002C4322"/>
    <w:rsid w:val="002C438D"/>
    <w:rsid w:val="002C4491"/>
    <w:rsid w:val="002C4689"/>
    <w:rsid w:val="002C474E"/>
    <w:rsid w:val="002C4AE9"/>
    <w:rsid w:val="002C4B29"/>
    <w:rsid w:val="002C4CD5"/>
    <w:rsid w:val="002C50CA"/>
    <w:rsid w:val="002C56D2"/>
    <w:rsid w:val="002C582D"/>
    <w:rsid w:val="002C5883"/>
    <w:rsid w:val="002C5984"/>
    <w:rsid w:val="002C5B9D"/>
    <w:rsid w:val="002C5C46"/>
    <w:rsid w:val="002C5D4F"/>
    <w:rsid w:val="002C5DE1"/>
    <w:rsid w:val="002C5FD1"/>
    <w:rsid w:val="002C625F"/>
    <w:rsid w:val="002C62F0"/>
    <w:rsid w:val="002C65F1"/>
    <w:rsid w:val="002C6698"/>
    <w:rsid w:val="002C69A9"/>
    <w:rsid w:val="002C6E39"/>
    <w:rsid w:val="002C702A"/>
    <w:rsid w:val="002C7461"/>
    <w:rsid w:val="002C77EB"/>
    <w:rsid w:val="002C79C5"/>
    <w:rsid w:val="002D0099"/>
    <w:rsid w:val="002D021B"/>
    <w:rsid w:val="002D08F9"/>
    <w:rsid w:val="002D0D45"/>
    <w:rsid w:val="002D0E9B"/>
    <w:rsid w:val="002D1094"/>
    <w:rsid w:val="002D1263"/>
    <w:rsid w:val="002D128E"/>
    <w:rsid w:val="002D1522"/>
    <w:rsid w:val="002D194A"/>
    <w:rsid w:val="002D19F1"/>
    <w:rsid w:val="002D1CA2"/>
    <w:rsid w:val="002D1DB1"/>
    <w:rsid w:val="002D21D4"/>
    <w:rsid w:val="002D2746"/>
    <w:rsid w:val="002D2A04"/>
    <w:rsid w:val="002D2B26"/>
    <w:rsid w:val="002D3442"/>
    <w:rsid w:val="002D37CF"/>
    <w:rsid w:val="002D39FA"/>
    <w:rsid w:val="002D3C41"/>
    <w:rsid w:val="002D3F78"/>
    <w:rsid w:val="002D46BC"/>
    <w:rsid w:val="002D4B3B"/>
    <w:rsid w:val="002D4DC0"/>
    <w:rsid w:val="002D50CB"/>
    <w:rsid w:val="002D524A"/>
    <w:rsid w:val="002D54E4"/>
    <w:rsid w:val="002D58DD"/>
    <w:rsid w:val="002D5FC6"/>
    <w:rsid w:val="002D603A"/>
    <w:rsid w:val="002D60F5"/>
    <w:rsid w:val="002D6BFD"/>
    <w:rsid w:val="002D6C3A"/>
    <w:rsid w:val="002D6F96"/>
    <w:rsid w:val="002D6FD8"/>
    <w:rsid w:val="002D7577"/>
    <w:rsid w:val="002D7839"/>
    <w:rsid w:val="002D79F2"/>
    <w:rsid w:val="002D7E11"/>
    <w:rsid w:val="002E01A7"/>
    <w:rsid w:val="002E0732"/>
    <w:rsid w:val="002E079B"/>
    <w:rsid w:val="002E09D3"/>
    <w:rsid w:val="002E0B51"/>
    <w:rsid w:val="002E11FF"/>
    <w:rsid w:val="002E1D50"/>
    <w:rsid w:val="002E259E"/>
    <w:rsid w:val="002E2C69"/>
    <w:rsid w:val="002E2D2A"/>
    <w:rsid w:val="002E2D54"/>
    <w:rsid w:val="002E2D88"/>
    <w:rsid w:val="002E2DC8"/>
    <w:rsid w:val="002E33FC"/>
    <w:rsid w:val="002E3505"/>
    <w:rsid w:val="002E38E5"/>
    <w:rsid w:val="002E3A1D"/>
    <w:rsid w:val="002E3BDF"/>
    <w:rsid w:val="002E3D60"/>
    <w:rsid w:val="002E4016"/>
    <w:rsid w:val="002E439D"/>
    <w:rsid w:val="002E43E4"/>
    <w:rsid w:val="002E473C"/>
    <w:rsid w:val="002E480E"/>
    <w:rsid w:val="002E4DD5"/>
    <w:rsid w:val="002E50DA"/>
    <w:rsid w:val="002E5403"/>
    <w:rsid w:val="002E59EC"/>
    <w:rsid w:val="002E5F2D"/>
    <w:rsid w:val="002E687C"/>
    <w:rsid w:val="002E6957"/>
    <w:rsid w:val="002E6983"/>
    <w:rsid w:val="002E6D40"/>
    <w:rsid w:val="002E7160"/>
    <w:rsid w:val="002E7553"/>
    <w:rsid w:val="002E785E"/>
    <w:rsid w:val="002E7C6D"/>
    <w:rsid w:val="002E7CF5"/>
    <w:rsid w:val="002E7E92"/>
    <w:rsid w:val="002F0096"/>
    <w:rsid w:val="002F01B0"/>
    <w:rsid w:val="002F0289"/>
    <w:rsid w:val="002F08B3"/>
    <w:rsid w:val="002F0AE6"/>
    <w:rsid w:val="002F0B2E"/>
    <w:rsid w:val="002F0B74"/>
    <w:rsid w:val="002F0BD4"/>
    <w:rsid w:val="002F0C8A"/>
    <w:rsid w:val="002F0FB5"/>
    <w:rsid w:val="002F128D"/>
    <w:rsid w:val="002F1ADF"/>
    <w:rsid w:val="002F21A7"/>
    <w:rsid w:val="002F2416"/>
    <w:rsid w:val="002F2580"/>
    <w:rsid w:val="002F25C2"/>
    <w:rsid w:val="002F2612"/>
    <w:rsid w:val="002F2866"/>
    <w:rsid w:val="002F2D78"/>
    <w:rsid w:val="002F37C6"/>
    <w:rsid w:val="002F3D67"/>
    <w:rsid w:val="002F42D2"/>
    <w:rsid w:val="002F434F"/>
    <w:rsid w:val="002F45B6"/>
    <w:rsid w:val="002F4820"/>
    <w:rsid w:val="002F49ED"/>
    <w:rsid w:val="002F4A2E"/>
    <w:rsid w:val="002F4AC8"/>
    <w:rsid w:val="002F4D23"/>
    <w:rsid w:val="002F5416"/>
    <w:rsid w:val="002F59D4"/>
    <w:rsid w:val="002F5CEB"/>
    <w:rsid w:val="002F5D60"/>
    <w:rsid w:val="002F5D9E"/>
    <w:rsid w:val="002F5DB3"/>
    <w:rsid w:val="002F5DC7"/>
    <w:rsid w:val="002F6044"/>
    <w:rsid w:val="002F61D7"/>
    <w:rsid w:val="002F6238"/>
    <w:rsid w:val="002F6328"/>
    <w:rsid w:val="002F63C3"/>
    <w:rsid w:val="002F6463"/>
    <w:rsid w:val="002F703B"/>
    <w:rsid w:val="002F71B0"/>
    <w:rsid w:val="002F7566"/>
    <w:rsid w:val="002F7853"/>
    <w:rsid w:val="002F7A73"/>
    <w:rsid w:val="002F7C0E"/>
    <w:rsid w:val="00300031"/>
    <w:rsid w:val="0030020D"/>
    <w:rsid w:val="0030041C"/>
    <w:rsid w:val="0030058E"/>
    <w:rsid w:val="00300BE3"/>
    <w:rsid w:val="00300DB6"/>
    <w:rsid w:val="00301040"/>
    <w:rsid w:val="003010B7"/>
    <w:rsid w:val="00301171"/>
    <w:rsid w:val="0030135F"/>
    <w:rsid w:val="00301379"/>
    <w:rsid w:val="003013E2"/>
    <w:rsid w:val="003016C8"/>
    <w:rsid w:val="00301741"/>
    <w:rsid w:val="00301A3E"/>
    <w:rsid w:val="00301F8D"/>
    <w:rsid w:val="00302660"/>
    <w:rsid w:val="003029B1"/>
    <w:rsid w:val="00302B8C"/>
    <w:rsid w:val="00302CD7"/>
    <w:rsid w:val="00302CDE"/>
    <w:rsid w:val="00302DA3"/>
    <w:rsid w:val="00302EFB"/>
    <w:rsid w:val="00302F59"/>
    <w:rsid w:val="00302F5C"/>
    <w:rsid w:val="00303B34"/>
    <w:rsid w:val="00303BC5"/>
    <w:rsid w:val="00303D91"/>
    <w:rsid w:val="00304158"/>
    <w:rsid w:val="0030462F"/>
    <w:rsid w:val="00304EBA"/>
    <w:rsid w:val="00305BF2"/>
    <w:rsid w:val="00305D62"/>
    <w:rsid w:val="003060AC"/>
    <w:rsid w:val="003060E9"/>
    <w:rsid w:val="0030630C"/>
    <w:rsid w:val="0030639D"/>
    <w:rsid w:val="0030652A"/>
    <w:rsid w:val="00306577"/>
    <w:rsid w:val="003067FE"/>
    <w:rsid w:val="003068A7"/>
    <w:rsid w:val="00306A27"/>
    <w:rsid w:val="00306DEA"/>
    <w:rsid w:val="00306E57"/>
    <w:rsid w:val="00307088"/>
    <w:rsid w:val="0030765B"/>
    <w:rsid w:val="00307EDF"/>
    <w:rsid w:val="003102B9"/>
    <w:rsid w:val="003105C6"/>
    <w:rsid w:val="00310640"/>
    <w:rsid w:val="00310744"/>
    <w:rsid w:val="00310FD0"/>
    <w:rsid w:val="00311BE2"/>
    <w:rsid w:val="0031211D"/>
    <w:rsid w:val="0031244A"/>
    <w:rsid w:val="00312580"/>
    <w:rsid w:val="0031284E"/>
    <w:rsid w:val="00312ED4"/>
    <w:rsid w:val="00313183"/>
    <w:rsid w:val="00313878"/>
    <w:rsid w:val="00314119"/>
    <w:rsid w:val="003141A8"/>
    <w:rsid w:val="00314303"/>
    <w:rsid w:val="00314324"/>
    <w:rsid w:val="00314375"/>
    <w:rsid w:val="0031442C"/>
    <w:rsid w:val="0031462F"/>
    <w:rsid w:val="00314716"/>
    <w:rsid w:val="003147B8"/>
    <w:rsid w:val="00314CF3"/>
    <w:rsid w:val="003150BF"/>
    <w:rsid w:val="003155AD"/>
    <w:rsid w:val="003155C6"/>
    <w:rsid w:val="0031581A"/>
    <w:rsid w:val="003159B8"/>
    <w:rsid w:val="00315ADA"/>
    <w:rsid w:val="00315D22"/>
    <w:rsid w:val="00316275"/>
    <w:rsid w:val="00316B0D"/>
    <w:rsid w:val="00316EB2"/>
    <w:rsid w:val="0031754F"/>
    <w:rsid w:val="00317C3D"/>
    <w:rsid w:val="00320092"/>
    <w:rsid w:val="00320267"/>
    <w:rsid w:val="003202FF"/>
    <w:rsid w:val="003207DB"/>
    <w:rsid w:val="00320B56"/>
    <w:rsid w:val="00320EA5"/>
    <w:rsid w:val="00320EF6"/>
    <w:rsid w:val="003216B9"/>
    <w:rsid w:val="003217B6"/>
    <w:rsid w:val="0032185C"/>
    <w:rsid w:val="00321EF3"/>
    <w:rsid w:val="00322144"/>
    <w:rsid w:val="00322207"/>
    <w:rsid w:val="003227F6"/>
    <w:rsid w:val="003228BF"/>
    <w:rsid w:val="00322955"/>
    <w:rsid w:val="00322D3E"/>
    <w:rsid w:val="00322E8E"/>
    <w:rsid w:val="00322FE2"/>
    <w:rsid w:val="003230A7"/>
    <w:rsid w:val="003231CE"/>
    <w:rsid w:val="003232DA"/>
    <w:rsid w:val="00323341"/>
    <w:rsid w:val="003235D2"/>
    <w:rsid w:val="00323737"/>
    <w:rsid w:val="003238EA"/>
    <w:rsid w:val="00323C74"/>
    <w:rsid w:val="00323E91"/>
    <w:rsid w:val="00323EC1"/>
    <w:rsid w:val="0032410E"/>
    <w:rsid w:val="003241BB"/>
    <w:rsid w:val="00324241"/>
    <w:rsid w:val="0032433C"/>
    <w:rsid w:val="0032455E"/>
    <w:rsid w:val="00324E9C"/>
    <w:rsid w:val="00324F2E"/>
    <w:rsid w:val="0032537E"/>
    <w:rsid w:val="00325856"/>
    <w:rsid w:val="00325F55"/>
    <w:rsid w:val="00326187"/>
    <w:rsid w:val="00326561"/>
    <w:rsid w:val="003265FC"/>
    <w:rsid w:val="003266FB"/>
    <w:rsid w:val="003267CD"/>
    <w:rsid w:val="00326D8A"/>
    <w:rsid w:val="0032708B"/>
    <w:rsid w:val="003270C2"/>
    <w:rsid w:val="00327B26"/>
    <w:rsid w:val="0033093C"/>
    <w:rsid w:val="0033097E"/>
    <w:rsid w:val="00330983"/>
    <w:rsid w:val="0033180A"/>
    <w:rsid w:val="00331ACB"/>
    <w:rsid w:val="00331F00"/>
    <w:rsid w:val="0033210B"/>
    <w:rsid w:val="00332709"/>
    <w:rsid w:val="0033276A"/>
    <w:rsid w:val="00332BA8"/>
    <w:rsid w:val="00332CAE"/>
    <w:rsid w:val="00332D0E"/>
    <w:rsid w:val="003335EE"/>
    <w:rsid w:val="00333A60"/>
    <w:rsid w:val="00333A6A"/>
    <w:rsid w:val="00333BBE"/>
    <w:rsid w:val="00333F42"/>
    <w:rsid w:val="00334035"/>
    <w:rsid w:val="003340C3"/>
    <w:rsid w:val="003344D2"/>
    <w:rsid w:val="00334549"/>
    <w:rsid w:val="0033457B"/>
    <w:rsid w:val="00334777"/>
    <w:rsid w:val="0033480B"/>
    <w:rsid w:val="00334B48"/>
    <w:rsid w:val="00334D19"/>
    <w:rsid w:val="00334D90"/>
    <w:rsid w:val="00334DAC"/>
    <w:rsid w:val="0033513B"/>
    <w:rsid w:val="0033523D"/>
    <w:rsid w:val="0033523F"/>
    <w:rsid w:val="003353C9"/>
    <w:rsid w:val="003359E4"/>
    <w:rsid w:val="00335D05"/>
    <w:rsid w:val="00335D20"/>
    <w:rsid w:val="00335F9C"/>
    <w:rsid w:val="003361C1"/>
    <w:rsid w:val="00336381"/>
    <w:rsid w:val="003366C3"/>
    <w:rsid w:val="003366C6"/>
    <w:rsid w:val="0033673B"/>
    <w:rsid w:val="00336A15"/>
    <w:rsid w:val="00336DDA"/>
    <w:rsid w:val="00337328"/>
    <w:rsid w:val="00337550"/>
    <w:rsid w:val="0033768A"/>
    <w:rsid w:val="003378C8"/>
    <w:rsid w:val="00337D7D"/>
    <w:rsid w:val="00340098"/>
    <w:rsid w:val="00340B77"/>
    <w:rsid w:val="003412D5"/>
    <w:rsid w:val="0034207C"/>
    <w:rsid w:val="00342306"/>
    <w:rsid w:val="00342A77"/>
    <w:rsid w:val="00342CCF"/>
    <w:rsid w:val="0034310F"/>
    <w:rsid w:val="00343C0A"/>
    <w:rsid w:val="00343CE8"/>
    <w:rsid w:val="0034403D"/>
    <w:rsid w:val="00344387"/>
    <w:rsid w:val="00344550"/>
    <w:rsid w:val="00344721"/>
    <w:rsid w:val="0034480A"/>
    <w:rsid w:val="00344CAF"/>
    <w:rsid w:val="00344EC7"/>
    <w:rsid w:val="00344F67"/>
    <w:rsid w:val="003455C0"/>
    <w:rsid w:val="00345CBA"/>
    <w:rsid w:val="00345D2F"/>
    <w:rsid w:val="00346077"/>
    <w:rsid w:val="0034673C"/>
    <w:rsid w:val="0034675E"/>
    <w:rsid w:val="00346C09"/>
    <w:rsid w:val="003473C8"/>
    <w:rsid w:val="00347552"/>
    <w:rsid w:val="0034757D"/>
    <w:rsid w:val="0034762D"/>
    <w:rsid w:val="0034773F"/>
    <w:rsid w:val="00347A3F"/>
    <w:rsid w:val="003502E9"/>
    <w:rsid w:val="003503CD"/>
    <w:rsid w:val="003503CF"/>
    <w:rsid w:val="00350650"/>
    <w:rsid w:val="0035070E"/>
    <w:rsid w:val="003508BA"/>
    <w:rsid w:val="003509B1"/>
    <w:rsid w:val="00351115"/>
    <w:rsid w:val="00351349"/>
    <w:rsid w:val="0035162B"/>
    <w:rsid w:val="00351A48"/>
    <w:rsid w:val="00352197"/>
    <w:rsid w:val="00352399"/>
    <w:rsid w:val="00352433"/>
    <w:rsid w:val="003524C8"/>
    <w:rsid w:val="00352B98"/>
    <w:rsid w:val="00352DA7"/>
    <w:rsid w:val="00352FE6"/>
    <w:rsid w:val="0035305C"/>
    <w:rsid w:val="0035341A"/>
    <w:rsid w:val="00353873"/>
    <w:rsid w:val="00353945"/>
    <w:rsid w:val="00353B43"/>
    <w:rsid w:val="00353B82"/>
    <w:rsid w:val="00354515"/>
    <w:rsid w:val="0035494E"/>
    <w:rsid w:val="00354C3F"/>
    <w:rsid w:val="00354D60"/>
    <w:rsid w:val="00354E07"/>
    <w:rsid w:val="003556AF"/>
    <w:rsid w:val="003557F6"/>
    <w:rsid w:val="00355C33"/>
    <w:rsid w:val="00356270"/>
    <w:rsid w:val="0035638B"/>
    <w:rsid w:val="003563E9"/>
    <w:rsid w:val="0035652C"/>
    <w:rsid w:val="003568FF"/>
    <w:rsid w:val="003569DB"/>
    <w:rsid w:val="00356A4B"/>
    <w:rsid w:val="00356B0D"/>
    <w:rsid w:val="00356D60"/>
    <w:rsid w:val="00357054"/>
    <w:rsid w:val="00357603"/>
    <w:rsid w:val="00357A4E"/>
    <w:rsid w:val="00357D40"/>
    <w:rsid w:val="003613CC"/>
    <w:rsid w:val="0036174D"/>
    <w:rsid w:val="00361C6A"/>
    <w:rsid w:val="00361FC8"/>
    <w:rsid w:val="00362012"/>
    <w:rsid w:val="003621A8"/>
    <w:rsid w:val="0036222F"/>
    <w:rsid w:val="0036265C"/>
    <w:rsid w:val="0036276E"/>
    <w:rsid w:val="003628CB"/>
    <w:rsid w:val="00362B43"/>
    <w:rsid w:val="00362DCE"/>
    <w:rsid w:val="003634F4"/>
    <w:rsid w:val="00363589"/>
    <w:rsid w:val="00363947"/>
    <w:rsid w:val="00363C5E"/>
    <w:rsid w:val="0036473B"/>
    <w:rsid w:val="00364B0A"/>
    <w:rsid w:val="00364B76"/>
    <w:rsid w:val="00364FC4"/>
    <w:rsid w:val="003651BB"/>
    <w:rsid w:val="003655AC"/>
    <w:rsid w:val="00365A36"/>
    <w:rsid w:val="00365D19"/>
    <w:rsid w:val="0036688E"/>
    <w:rsid w:val="00366C4A"/>
    <w:rsid w:val="00367263"/>
    <w:rsid w:val="00367576"/>
    <w:rsid w:val="003675AC"/>
    <w:rsid w:val="00367760"/>
    <w:rsid w:val="003678D3"/>
    <w:rsid w:val="00367A30"/>
    <w:rsid w:val="00367A81"/>
    <w:rsid w:val="00367D88"/>
    <w:rsid w:val="00367EE6"/>
    <w:rsid w:val="003709A0"/>
    <w:rsid w:val="00370A30"/>
    <w:rsid w:val="00370C10"/>
    <w:rsid w:val="00370D0D"/>
    <w:rsid w:val="00371469"/>
    <w:rsid w:val="003718DE"/>
    <w:rsid w:val="00371BAD"/>
    <w:rsid w:val="00372592"/>
    <w:rsid w:val="003727D5"/>
    <w:rsid w:val="00372C45"/>
    <w:rsid w:val="00372FF1"/>
    <w:rsid w:val="003730F7"/>
    <w:rsid w:val="00373398"/>
    <w:rsid w:val="003736A8"/>
    <w:rsid w:val="0037372D"/>
    <w:rsid w:val="003738B4"/>
    <w:rsid w:val="003739AE"/>
    <w:rsid w:val="00373E25"/>
    <w:rsid w:val="00373F2B"/>
    <w:rsid w:val="003742A5"/>
    <w:rsid w:val="0037438C"/>
    <w:rsid w:val="003744D5"/>
    <w:rsid w:val="00374A8E"/>
    <w:rsid w:val="0037505F"/>
    <w:rsid w:val="00375176"/>
    <w:rsid w:val="003752C4"/>
    <w:rsid w:val="00375865"/>
    <w:rsid w:val="003758D3"/>
    <w:rsid w:val="00375C34"/>
    <w:rsid w:val="0037618D"/>
    <w:rsid w:val="00376401"/>
    <w:rsid w:val="003764E2"/>
    <w:rsid w:val="00376DA2"/>
    <w:rsid w:val="00376F3F"/>
    <w:rsid w:val="003773B7"/>
    <w:rsid w:val="003775B1"/>
    <w:rsid w:val="00377821"/>
    <w:rsid w:val="003805D3"/>
    <w:rsid w:val="00380B90"/>
    <w:rsid w:val="00380C98"/>
    <w:rsid w:val="00380D33"/>
    <w:rsid w:val="00381426"/>
    <w:rsid w:val="003819D7"/>
    <w:rsid w:val="00381B88"/>
    <w:rsid w:val="00381D20"/>
    <w:rsid w:val="00381E62"/>
    <w:rsid w:val="00381F34"/>
    <w:rsid w:val="00382DE1"/>
    <w:rsid w:val="00383850"/>
    <w:rsid w:val="003846C3"/>
    <w:rsid w:val="003847E9"/>
    <w:rsid w:val="00384A19"/>
    <w:rsid w:val="00384B8D"/>
    <w:rsid w:val="00384BB3"/>
    <w:rsid w:val="00384C2F"/>
    <w:rsid w:val="00384DB8"/>
    <w:rsid w:val="00384E53"/>
    <w:rsid w:val="0038586D"/>
    <w:rsid w:val="003858E7"/>
    <w:rsid w:val="00385ADA"/>
    <w:rsid w:val="00385C19"/>
    <w:rsid w:val="00385C6F"/>
    <w:rsid w:val="00385DB1"/>
    <w:rsid w:val="003864A8"/>
    <w:rsid w:val="003869CA"/>
    <w:rsid w:val="003869DB"/>
    <w:rsid w:val="003872AA"/>
    <w:rsid w:val="00387390"/>
    <w:rsid w:val="003874F6"/>
    <w:rsid w:val="003876EA"/>
    <w:rsid w:val="003877DF"/>
    <w:rsid w:val="00387DCB"/>
    <w:rsid w:val="00387F2D"/>
    <w:rsid w:val="00387FC0"/>
    <w:rsid w:val="0039016D"/>
    <w:rsid w:val="0039035A"/>
    <w:rsid w:val="00390B79"/>
    <w:rsid w:val="0039133C"/>
    <w:rsid w:val="0039152B"/>
    <w:rsid w:val="003919AB"/>
    <w:rsid w:val="00391B8B"/>
    <w:rsid w:val="00391BF2"/>
    <w:rsid w:val="00391E8C"/>
    <w:rsid w:val="00391FDD"/>
    <w:rsid w:val="00392420"/>
    <w:rsid w:val="00392743"/>
    <w:rsid w:val="003927DE"/>
    <w:rsid w:val="003927FF"/>
    <w:rsid w:val="003929B9"/>
    <w:rsid w:val="003929EC"/>
    <w:rsid w:val="00392A61"/>
    <w:rsid w:val="00392ABB"/>
    <w:rsid w:val="00392B12"/>
    <w:rsid w:val="003939B5"/>
    <w:rsid w:val="00394124"/>
    <w:rsid w:val="0039443C"/>
    <w:rsid w:val="0039484C"/>
    <w:rsid w:val="00394F07"/>
    <w:rsid w:val="003951A1"/>
    <w:rsid w:val="003952AE"/>
    <w:rsid w:val="00395609"/>
    <w:rsid w:val="00395A76"/>
    <w:rsid w:val="00395A98"/>
    <w:rsid w:val="00395C78"/>
    <w:rsid w:val="00395F07"/>
    <w:rsid w:val="00395F47"/>
    <w:rsid w:val="00396074"/>
    <w:rsid w:val="0039624D"/>
    <w:rsid w:val="0039638B"/>
    <w:rsid w:val="00396604"/>
    <w:rsid w:val="0039679E"/>
    <w:rsid w:val="0039693F"/>
    <w:rsid w:val="00397A39"/>
    <w:rsid w:val="00397AE5"/>
    <w:rsid w:val="00397B21"/>
    <w:rsid w:val="00397C1B"/>
    <w:rsid w:val="00397CD6"/>
    <w:rsid w:val="003A01FC"/>
    <w:rsid w:val="003A104F"/>
    <w:rsid w:val="003A11DE"/>
    <w:rsid w:val="003A19E4"/>
    <w:rsid w:val="003A1C27"/>
    <w:rsid w:val="003A1C83"/>
    <w:rsid w:val="003A1FF0"/>
    <w:rsid w:val="003A2213"/>
    <w:rsid w:val="003A2223"/>
    <w:rsid w:val="003A2399"/>
    <w:rsid w:val="003A2400"/>
    <w:rsid w:val="003A24B1"/>
    <w:rsid w:val="003A2B71"/>
    <w:rsid w:val="003A2EA2"/>
    <w:rsid w:val="003A2FAA"/>
    <w:rsid w:val="003A38CA"/>
    <w:rsid w:val="003A3BA4"/>
    <w:rsid w:val="003A4746"/>
    <w:rsid w:val="003A47E2"/>
    <w:rsid w:val="003A4918"/>
    <w:rsid w:val="003A55F1"/>
    <w:rsid w:val="003A5894"/>
    <w:rsid w:val="003A5930"/>
    <w:rsid w:val="003A5F23"/>
    <w:rsid w:val="003A63A7"/>
    <w:rsid w:val="003A6438"/>
    <w:rsid w:val="003A6449"/>
    <w:rsid w:val="003A7688"/>
    <w:rsid w:val="003A79E1"/>
    <w:rsid w:val="003A7B65"/>
    <w:rsid w:val="003A7DBA"/>
    <w:rsid w:val="003A7E4C"/>
    <w:rsid w:val="003A7F5F"/>
    <w:rsid w:val="003B04CD"/>
    <w:rsid w:val="003B07C9"/>
    <w:rsid w:val="003B07E4"/>
    <w:rsid w:val="003B084F"/>
    <w:rsid w:val="003B0A08"/>
    <w:rsid w:val="003B0C76"/>
    <w:rsid w:val="003B114A"/>
    <w:rsid w:val="003B11C8"/>
    <w:rsid w:val="003B143C"/>
    <w:rsid w:val="003B147A"/>
    <w:rsid w:val="003B180F"/>
    <w:rsid w:val="003B1A05"/>
    <w:rsid w:val="003B1CB7"/>
    <w:rsid w:val="003B238E"/>
    <w:rsid w:val="003B2EE3"/>
    <w:rsid w:val="003B3025"/>
    <w:rsid w:val="003B351D"/>
    <w:rsid w:val="003B3725"/>
    <w:rsid w:val="003B384F"/>
    <w:rsid w:val="003B3967"/>
    <w:rsid w:val="003B3B47"/>
    <w:rsid w:val="003B3D63"/>
    <w:rsid w:val="003B3E01"/>
    <w:rsid w:val="003B433F"/>
    <w:rsid w:val="003B43D0"/>
    <w:rsid w:val="003B43F9"/>
    <w:rsid w:val="003B45A5"/>
    <w:rsid w:val="003B5061"/>
    <w:rsid w:val="003B506C"/>
    <w:rsid w:val="003B510F"/>
    <w:rsid w:val="003B5605"/>
    <w:rsid w:val="003B5901"/>
    <w:rsid w:val="003B5C1A"/>
    <w:rsid w:val="003B5F93"/>
    <w:rsid w:val="003B60E1"/>
    <w:rsid w:val="003B6790"/>
    <w:rsid w:val="003B779E"/>
    <w:rsid w:val="003B7EB5"/>
    <w:rsid w:val="003B7F07"/>
    <w:rsid w:val="003C07D3"/>
    <w:rsid w:val="003C0A2C"/>
    <w:rsid w:val="003C0D21"/>
    <w:rsid w:val="003C1038"/>
    <w:rsid w:val="003C13BA"/>
    <w:rsid w:val="003C171D"/>
    <w:rsid w:val="003C1860"/>
    <w:rsid w:val="003C1919"/>
    <w:rsid w:val="003C1B65"/>
    <w:rsid w:val="003C1D1D"/>
    <w:rsid w:val="003C209D"/>
    <w:rsid w:val="003C215F"/>
    <w:rsid w:val="003C239F"/>
    <w:rsid w:val="003C23D5"/>
    <w:rsid w:val="003C2499"/>
    <w:rsid w:val="003C278A"/>
    <w:rsid w:val="003C27D1"/>
    <w:rsid w:val="003C28D8"/>
    <w:rsid w:val="003C31EB"/>
    <w:rsid w:val="003C3406"/>
    <w:rsid w:val="003C34C3"/>
    <w:rsid w:val="003C351E"/>
    <w:rsid w:val="003C36B0"/>
    <w:rsid w:val="003C3820"/>
    <w:rsid w:val="003C38E6"/>
    <w:rsid w:val="003C39D7"/>
    <w:rsid w:val="003C3CB7"/>
    <w:rsid w:val="003C3F87"/>
    <w:rsid w:val="003C3FC6"/>
    <w:rsid w:val="003C4002"/>
    <w:rsid w:val="003C4236"/>
    <w:rsid w:val="003C4692"/>
    <w:rsid w:val="003C4BD9"/>
    <w:rsid w:val="003C5226"/>
    <w:rsid w:val="003C539D"/>
    <w:rsid w:val="003C53AC"/>
    <w:rsid w:val="003C55F0"/>
    <w:rsid w:val="003C5651"/>
    <w:rsid w:val="003C5807"/>
    <w:rsid w:val="003C59E6"/>
    <w:rsid w:val="003C5B5D"/>
    <w:rsid w:val="003C5C14"/>
    <w:rsid w:val="003C66A2"/>
    <w:rsid w:val="003C6905"/>
    <w:rsid w:val="003C6988"/>
    <w:rsid w:val="003C73FE"/>
    <w:rsid w:val="003C740B"/>
    <w:rsid w:val="003C77BB"/>
    <w:rsid w:val="003C7F21"/>
    <w:rsid w:val="003D00CF"/>
    <w:rsid w:val="003D0255"/>
    <w:rsid w:val="003D08DB"/>
    <w:rsid w:val="003D0B7A"/>
    <w:rsid w:val="003D150E"/>
    <w:rsid w:val="003D1592"/>
    <w:rsid w:val="003D16C3"/>
    <w:rsid w:val="003D19D9"/>
    <w:rsid w:val="003D1D95"/>
    <w:rsid w:val="003D1DCD"/>
    <w:rsid w:val="003D2684"/>
    <w:rsid w:val="003D29F0"/>
    <w:rsid w:val="003D2C91"/>
    <w:rsid w:val="003D2D73"/>
    <w:rsid w:val="003D2FDF"/>
    <w:rsid w:val="003D3453"/>
    <w:rsid w:val="003D36DB"/>
    <w:rsid w:val="003D37CD"/>
    <w:rsid w:val="003D3889"/>
    <w:rsid w:val="003D3B15"/>
    <w:rsid w:val="003D48BB"/>
    <w:rsid w:val="003D4970"/>
    <w:rsid w:val="003D4B7A"/>
    <w:rsid w:val="003D4FE6"/>
    <w:rsid w:val="003D503C"/>
    <w:rsid w:val="003D50DE"/>
    <w:rsid w:val="003D51E1"/>
    <w:rsid w:val="003D5780"/>
    <w:rsid w:val="003D590F"/>
    <w:rsid w:val="003D5947"/>
    <w:rsid w:val="003D5CCC"/>
    <w:rsid w:val="003D6108"/>
    <w:rsid w:val="003D6352"/>
    <w:rsid w:val="003D6522"/>
    <w:rsid w:val="003D6C43"/>
    <w:rsid w:val="003D6FD6"/>
    <w:rsid w:val="003D739E"/>
    <w:rsid w:val="003D76CD"/>
    <w:rsid w:val="003D77AD"/>
    <w:rsid w:val="003D787F"/>
    <w:rsid w:val="003D7AFE"/>
    <w:rsid w:val="003D7B35"/>
    <w:rsid w:val="003D7DE8"/>
    <w:rsid w:val="003D7E9B"/>
    <w:rsid w:val="003D7FC7"/>
    <w:rsid w:val="003E03A7"/>
    <w:rsid w:val="003E058C"/>
    <w:rsid w:val="003E064D"/>
    <w:rsid w:val="003E06A9"/>
    <w:rsid w:val="003E08D9"/>
    <w:rsid w:val="003E0FEC"/>
    <w:rsid w:val="003E140A"/>
    <w:rsid w:val="003E1566"/>
    <w:rsid w:val="003E157D"/>
    <w:rsid w:val="003E17C6"/>
    <w:rsid w:val="003E187A"/>
    <w:rsid w:val="003E1A6B"/>
    <w:rsid w:val="003E1F99"/>
    <w:rsid w:val="003E29E0"/>
    <w:rsid w:val="003E2B58"/>
    <w:rsid w:val="003E31F7"/>
    <w:rsid w:val="003E32D8"/>
    <w:rsid w:val="003E35D4"/>
    <w:rsid w:val="003E3691"/>
    <w:rsid w:val="003E3AF6"/>
    <w:rsid w:val="003E3FD0"/>
    <w:rsid w:val="003E4772"/>
    <w:rsid w:val="003E4C6A"/>
    <w:rsid w:val="003E506E"/>
    <w:rsid w:val="003E520F"/>
    <w:rsid w:val="003E52B6"/>
    <w:rsid w:val="003E5391"/>
    <w:rsid w:val="003E54AB"/>
    <w:rsid w:val="003E5633"/>
    <w:rsid w:val="003E5900"/>
    <w:rsid w:val="003E5915"/>
    <w:rsid w:val="003E5919"/>
    <w:rsid w:val="003E5AFC"/>
    <w:rsid w:val="003E5D34"/>
    <w:rsid w:val="003E63AF"/>
    <w:rsid w:val="003E6461"/>
    <w:rsid w:val="003E68E1"/>
    <w:rsid w:val="003E69D3"/>
    <w:rsid w:val="003E6E30"/>
    <w:rsid w:val="003E7078"/>
    <w:rsid w:val="003E7393"/>
    <w:rsid w:val="003E7537"/>
    <w:rsid w:val="003E79FE"/>
    <w:rsid w:val="003E7A39"/>
    <w:rsid w:val="003E7CE2"/>
    <w:rsid w:val="003E7FF6"/>
    <w:rsid w:val="003F009A"/>
    <w:rsid w:val="003F0321"/>
    <w:rsid w:val="003F09EB"/>
    <w:rsid w:val="003F0B42"/>
    <w:rsid w:val="003F0CF3"/>
    <w:rsid w:val="003F1118"/>
    <w:rsid w:val="003F12C2"/>
    <w:rsid w:val="003F1893"/>
    <w:rsid w:val="003F1AB1"/>
    <w:rsid w:val="003F1BDE"/>
    <w:rsid w:val="003F1D48"/>
    <w:rsid w:val="003F1E5B"/>
    <w:rsid w:val="003F20CC"/>
    <w:rsid w:val="003F223F"/>
    <w:rsid w:val="003F25CC"/>
    <w:rsid w:val="003F2878"/>
    <w:rsid w:val="003F2AD2"/>
    <w:rsid w:val="003F2D07"/>
    <w:rsid w:val="003F2F48"/>
    <w:rsid w:val="003F3C81"/>
    <w:rsid w:val="003F41CB"/>
    <w:rsid w:val="003F41D0"/>
    <w:rsid w:val="003F427B"/>
    <w:rsid w:val="003F4962"/>
    <w:rsid w:val="003F4E21"/>
    <w:rsid w:val="003F53B9"/>
    <w:rsid w:val="003F5493"/>
    <w:rsid w:val="003F54D2"/>
    <w:rsid w:val="003F568A"/>
    <w:rsid w:val="003F56F8"/>
    <w:rsid w:val="003F5A6B"/>
    <w:rsid w:val="003F5B6C"/>
    <w:rsid w:val="003F5BBF"/>
    <w:rsid w:val="003F5E04"/>
    <w:rsid w:val="003F5FCD"/>
    <w:rsid w:val="003F60EF"/>
    <w:rsid w:val="003F649B"/>
    <w:rsid w:val="003F6897"/>
    <w:rsid w:val="003F6A0B"/>
    <w:rsid w:val="003F6C09"/>
    <w:rsid w:val="003F731D"/>
    <w:rsid w:val="003F73AA"/>
    <w:rsid w:val="003F7BE7"/>
    <w:rsid w:val="003F7CCB"/>
    <w:rsid w:val="003F7D04"/>
    <w:rsid w:val="00400061"/>
    <w:rsid w:val="0040080F"/>
    <w:rsid w:val="004008B0"/>
    <w:rsid w:val="00400CAB"/>
    <w:rsid w:val="00400D8B"/>
    <w:rsid w:val="00400E68"/>
    <w:rsid w:val="0040102E"/>
    <w:rsid w:val="004020F1"/>
    <w:rsid w:val="00402371"/>
    <w:rsid w:val="004023D1"/>
    <w:rsid w:val="00402699"/>
    <w:rsid w:val="00402B86"/>
    <w:rsid w:val="00403AB1"/>
    <w:rsid w:val="00403B96"/>
    <w:rsid w:val="00403D0F"/>
    <w:rsid w:val="0040415B"/>
    <w:rsid w:val="00404336"/>
    <w:rsid w:val="004043ED"/>
    <w:rsid w:val="00404605"/>
    <w:rsid w:val="00405082"/>
    <w:rsid w:val="004053AF"/>
    <w:rsid w:val="004055F0"/>
    <w:rsid w:val="00405ACA"/>
    <w:rsid w:val="00405C05"/>
    <w:rsid w:val="00405E9A"/>
    <w:rsid w:val="00405F4C"/>
    <w:rsid w:val="0040605D"/>
    <w:rsid w:val="004063B4"/>
    <w:rsid w:val="004065D7"/>
    <w:rsid w:val="00406647"/>
    <w:rsid w:val="004067CD"/>
    <w:rsid w:val="004069E8"/>
    <w:rsid w:val="00407080"/>
    <w:rsid w:val="00407281"/>
    <w:rsid w:val="00407378"/>
    <w:rsid w:val="00407652"/>
    <w:rsid w:val="00407876"/>
    <w:rsid w:val="00407924"/>
    <w:rsid w:val="00407B97"/>
    <w:rsid w:val="00407CB7"/>
    <w:rsid w:val="00410BF2"/>
    <w:rsid w:val="00411074"/>
    <w:rsid w:val="0041195F"/>
    <w:rsid w:val="00411986"/>
    <w:rsid w:val="00411AD4"/>
    <w:rsid w:val="00411D8C"/>
    <w:rsid w:val="0041229D"/>
    <w:rsid w:val="004122F5"/>
    <w:rsid w:val="00412406"/>
    <w:rsid w:val="00412B72"/>
    <w:rsid w:val="00412C78"/>
    <w:rsid w:val="00412EAC"/>
    <w:rsid w:val="0041323B"/>
    <w:rsid w:val="00413305"/>
    <w:rsid w:val="00413994"/>
    <w:rsid w:val="00413AF7"/>
    <w:rsid w:val="00413B38"/>
    <w:rsid w:val="00413DF8"/>
    <w:rsid w:val="00413F01"/>
    <w:rsid w:val="00413F5A"/>
    <w:rsid w:val="004140DF"/>
    <w:rsid w:val="004144CE"/>
    <w:rsid w:val="00414F62"/>
    <w:rsid w:val="0041501F"/>
    <w:rsid w:val="004150CE"/>
    <w:rsid w:val="0041517A"/>
    <w:rsid w:val="00415910"/>
    <w:rsid w:val="00415C6A"/>
    <w:rsid w:val="00416111"/>
    <w:rsid w:val="004169B7"/>
    <w:rsid w:val="00416A5E"/>
    <w:rsid w:val="00416E4E"/>
    <w:rsid w:val="00417249"/>
    <w:rsid w:val="004175CC"/>
    <w:rsid w:val="0041768F"/>
    <w:rsid w:val="00417A20"/>
    <w:rsid w:val="00417A6D"/>
    <w:rsid w:val="00417DB9"/>
    <w:rsid w:val="00417F5F"/>
    <w:rsid w:val="00420141"/>
    <w:rsid w:val="00420630"/>
    <w:rsid w:val="00420774"/>
    <w:rsid w:val="00420938"/>
    <w:rsid w:val="004211CA"/>
    <w:rsid w:val="00421273"/>
    <w:rsid w:val="004217CD"/>
    <w:rsid w:val="00421AD1"/>
    <w:rsid w:val="00421EBD"/>
    <w:rsid w:val="00421F49"/>
    <w:rsid w:val="00422106"/>
    <w:rsid w:val="00422205"/>
    <w:rsid w:val="00422B75"/>
    <w:rsid w:val="00422D24"/>
    <w:rsid w:val="00423183"/>
    <w:rsid w:val="0042347A"/>
    <w:rsid w:val="0042371E"/>
    <w:rsid w:val="00423898"/>
    <w:rsid w:val="004238A1"/>
    <w:rsid w:val="004238A3"/>
    <w:rsid w:val="00423AA3"/>
    <w:rsid w:val="00423DF9"/>
    <w:rsid w:val="00423F20"/>
    <w:rsid w:val="0042429E"/>
    <w:rsid w:val="004243CC"/>
    <w:rsid w:val="004249E6"/>
    <w:rsid w:val="00424DB7"/>
    <w:rsid w:val="00425180"/>
    <w:rsid w:val="00425406"/>
    <w:rsid w:val="00425647"/>
    <w:rsid w:val="00425693"/>
    <w:rsid w:val="0042592A"/>
    <w:rsid w:val="00425B7D"/>
    <w:rsid w:val="00425BBC"/>
    <w:rsid w:val="00425FAC"/>
    <w:rsid w:val="00426658"/>
    <w:rsid w:val="0042750C"/>
    <w:rsid w:val="0042752F"/>
    <w:rsid w:val="004277C4"/>
    <w:rsid w:val="00427829"/>
    <w:rsid w:val="00427977"/>
    <w:rsid w:val="00427D9F"/>
    <w:rsid w:val="00427F1C"/>
    <w:rsid w:val="0043006D"/>
    <w:rsid w:val="00430649"/>
    <w:rsid w:val="00430950"/>
    <w:rsid w:val="00430AC4"/>
    <w:rsid w:val="00430C3F"/>
    <w:rsid w:val="00431189"/>
    <w:rsid w:val="0043125B"/>
    <w:rsid w:val="0043138B"/>
    <w:rsid w:val="00431579"/>
    <w:rsid w:val="00431913"/>
    <w:rsid w:val="004320A6"/>
    <w:rsid w:val="00432501"/>
    <w:rsid w:val="0043254D"/>
    <w:rsid w:val="0043255B"/>
    <w:rsid w:val="00432FED"/>
    <w:rsid w:val="004333DF"/>
    <w:rsid w:val="004339F0"/>
    <w:rsid w:val="00433FE2"/>
    <w:rsid w:val="00434D78"/>
    <w:rsid w:val="00434E84"/>
    <w:rsid w:val="00435660"/>
    <w:rsid w:val="00435AB8"/>
    <w:rsid w:val="00435E25"/>
    <w:rsid w:val="00436006"/>
    <w:rsid w:val="004361BF"/>
    <w:rsid w:val="00436434"/>
    <w:rsid w:val="0043673E"/>
    <w:rsid w:val="00436D33"/>
    <w:rsid w:val="00436D36"/>
    <w:rsid w:val="00436ECB"/>
    <w:rsid w:val="00437084"/>
    <w:rsid w:val="004371A0"/>
    <w:rsid w:val="004371C6"/>
    <w:rsid w:val="004373BC"/>
    <w:rsid w:val="00437804"/>
    <w:rsid w:val="0043798C"/>
    <w:rsid w:val="004379E8"/>
    <w:rsid w:val="00437B5F"/>
    <w:rsid w:val="00437C5C"/>
    <w:rsid w:val="00437EF9"/>
    <w:rsid w:val="00437F23"/>
    <w:rsid w:val="0044014D"/>
    <w:rsid w:val="0044048B"/>
    <w:rsid w:val="004405E0"/>
    <w:rsid w:val="00440A29"/>
    <w:rsid w:val="00440C40"/>
    <w:rsid w:val="004410F7"/>
    <w:rsid w:val="00441689"/>
    <w:rsid w:val="004416A8"/>
    <w:rsid w:val="0044188D"/>
    <w:rsid w:val="004418AC"/>
    <w:rsid w:val="004418AF"/>
    <w:rsid w:val="00441F97"/>
    <w:rsid w:val="0044216C"/>
    <w:rsid w:val="004422D7"/>
    <w:rsid w:val="004422DE"/>
    <w:rsid w:val="00442817"/>
    <w:rsid w:val="00442D7F"/>
    <w:rsid w:val="004432FA"/>
    <w:rsid w:val="0044343F"/>
    <w:rsid w:val="004436A6"/>
    <w:rsid w:val="004439B3"/>
    <w:rsid w:val="00443AED"/>
    <w:rsid w:val="00443DE7"/>
    <w:rsid w:val="00444330"/>
    <w:rsid w:val="0044478E"/>
    <w:rsid w:val="00444928"/>
    <w:rsid w:val="00444DB3"/>
    <w:rsid w:val="00444DC6"/>
    <w:rsid w:val="00444E00"/>
    <w:rsid w:val="00444F9D"/>
    <w:rsid w:val="00444FC8"/>
    <w:rsid w:val="004452B4"/>
    <w:rsid w:val="00445332"/>
    <w:rsid w:val="00445447"/>
    <w:rsid w:val="004455F6"/>
    <w:rsid w:val="00445A66"/>
    <w:rsid w:val="00445C5E"/>
    <w:rsid w:val="00445CA5"/>
    <w:rsid w:val="00445DCD"/>
    <w:rsid w:val="004461C9"/>
    <w:rsid w:val="00446286"/>
    <w:rsid w:val="00446395"/>
    <w:rsid w:val="0044642B"/>
    <w:rsid w:val="004465C0"/>
    <w:rsid w:val="00446916"/>
    <w:rsid w:val="004469E2"/>
    <w:rsid w:val="00446CBA"/>
    <w:rsid w:val="0044708A"/>
    <w:rsid w:val="00447656"/>
    <w:rsid w:val="00447961"/>
    <w:rsid w:val="00447DA3"/>
    <w:rsid w:val="00450336"/>
    <w:rsid w:val="00450974"/>
    <w:rsid w:val="00450B8B"/>
    <w:rsid w:val="00450F13"/>
    <w:rsid w:val="00451373"/>
    <w:rsid w:val="00451655"/>
    <w:rsid w:val="00451767"/>
    <w:rsid w:val="00451A98"/>
    <w:rsid w:val="00452403"/>
    <w:rsid w:val="00452556"/>
    <w:rsid w:val="004529F8"/>
    <w:rsid w:val="00452B44"/>
    <w:rsid w:val="004530BD"/>
    <w:rsid w:val="00453B41"/>
    <w:rsid w:val="00453BA2"/>
    <w:rsid w:val="00453C9E"/>
    <w:rsid w:val="00454035"/>
    <w:rsid w:val="00454585"/>
    <w:rsid w:val="00454843"/>
    <w:rsid w:val="004557E5"/>
    <w:rsid w:val="004559EB"/>
    <w:rsid w:val="00455F62"/>
    <w:rsid w:val="00456006"/>
    <w:rsid w:val="00456170"/>
    <w:rsid w:val="004567DB"/>
    <w:rsid w:val="0045690C"/>
    <w:rsid w:val="00456F61"/>
    <w:rsid w:val="0045705E"/>
    <w:rsid w:val="00457369"/>
    <w:rsid w:val="004574A3"/>
    <w:rsid w:val="00457C38"/>
    <w:rsid w:val="00460363"/>
    <w:rsid w:val="00460BF7"/>
    <w:rsid w:val="00460F3B"/>
    <w:rsid w:val="00460FE6"/>
    <w:rsid w:val="00461247"/>
    <w:rsid w:val="004612DE"/>
    <w:rsid w:val="0046141D"/>
    <w:rsid w:val="004615BE"/>
    <w:rsid w:val="00461C94"/>
    <w:rsid w:val="00461CA9"/>
    <w:rsid w:val="00461CC1"/>
    <w:rsid w:val="00461EC5"/>
    <w:rsid w:val="00461FC2"/>
    <w:rsid w:val="00462199"/>
    <w:rsid w:val="0046223D"/>
    <w:rsid w:val="004623C7"/>
    <w:rsid w:val="00462639"/>
    <w:rsid w:val="00462DA8"/>
    <w:rsid w:val="0046371D"/>
    <w:rsid w:val="00463912"/>
    <w:rsid w:val="00463B4E"/>
    <w:rsid w:val="00463D07"/>
    <w:rsid w:val="00464074"/>
    <w:rsid w:val="0046420A"/>
    <w:rsid w:val="004644DF"/>
    <w:rsid w:val="00464B39"/>
    <w:rsid w:val="00465602"/>
    <w:rsid w:val="004657B7"/>
    <w:rsid w:val="0046587E"/>
    <w:rsid w:val="00465A26"/>
    <w:rsid w:val="00465A75"/>
    <w:rsid w:val="00465BFE"/>
    <w:rsid w:val="00465C74"/>
    <w:rsid w:val="004662D6"/>
    <w:rsid w:val="0046679D"/>
    <w:rsid w:val="00466895"/>
    <w:rsid w:val="004668CB"/>
    <w:rsid w:val="004669C6"/>
    <w:rsid w:val="00466A87"/>
    <w:rsid w:val="00466EC1"/>
    <w:rsid w:val="004672B5"/>
    <w:rsid w:val="00467940"/>
    <w:rsid w:val="0047058D"/>
    <w:rsid w:val="004705AC"/>
    <w:rsid w:val="00471076"/>
    <w:rsid w:val="00471A24"/>
    <w:rsid w:val="00471A6E"/>
    <w:rsid w:val="00471A95"/>
    <w:rsid w:val="00471BC5"/>
    <w:rsid w:val="00472460"/>
    <w:rsid w:val="004728A7"/>
    <w:rsid w:val="00472C94"/>
    <w:rsid w:val="00472EA4"/>
    <w:rsid w:val="004737D8"/>
    <w:rsid w:val="0047391B"/>
    <w:rsid w:val="00473EB0"/>
    <w:rsid w:val="00473F6A"/>
    <w:rsid w:val="00474006"/>
    <w:rsid w:val="004740E4"/>
    <w:rsid w:val="00474169"/>
    <w:rsid w:val="00474581"/>
    <w:rsid w:val="00474806"/>
    <w:rsid w:val="004749F4"/>
    <w:rsid w:val="00474ABD"/>
    <w:rsid w:val="00474DCC"/>
    <w:rsid w:val="00474F03"/>
    <w:rsid w:val="004752E5"/>
    <w:rsid w:val="0047585C"/>
    <w:rsid w:val="00475982"/>
    <w:rsid w:val="004759C9"/>
    <w:rsid w:val="00475CD0"/>
    <w:rsid w:val="00475E71"/>
    <w:rsid w:val="00476294"/>
    <w:rsid w:val="004765DE"/>
    <w:rsid w:val="00476842"/>
    <w:rsid w:val="00476CC9"/>
    <w:rsid w:val="004770FA"/>
    <w:rsid w:val="00477125"/>
    <w:rsid w:val="0047768D"/>
    <w:rsid w:val="00477793"/>
    <w:rsid w:val="00477912"/>
    <w:rsid w:val="00477935"/>
    <w:rsid w:val="00477C23"/>
    <w:rsid w:val="00477FD1"/>
    <w:rsid w:val="00480296"/>
    <w:rsid w:val="00480392"/>
    <w:rsid w:val="004805A3"/>
    <w:rsid w:val="00480663"/>
    <w:rsid w:val="00480E51"/>
    <w:rsid w:val="004816BB"/>
    <w:rsid w:val="00481D82"/>
    <w:rsid w:val="004820C3"/>
    <w:rsid w:val="0048210A"/>
    <w:rsid w:val="00482306"/>
    <w:rsid w:val="0048241E"/>
    <w:rsid w:val="00482451"/>
    <w:rsid w:val="004827D9"/>
    <w:rsid w:val="004828A6"/>
    <w:rsid w:val="0048296C"/>
    <w:rsid w:val="00482A8F"/>
    <w:rsid w:val="00482B2F"/>
    <w:rsid w:val="00482B48"/>
    <w:rsid w:val="00482BD8"/>
    <w:rsid w:val="00482EB9"/>
    <w:rsid w:val="00482FC8"/>
    <w:rsid w:val="0048309A"/>
    <w:rsid w:val="00483301"/>
    <w:rsid w:val="004834C7"/>
    <w:rsid w:val="004839DB"/>
    <w:rsid w:val="00483BE7"/>
    <w:rsid w:val="00483E55"/>
    <w:rsid w:val="00483FED"/>
    <w:rsid w:val="0048401D"/>
    <w:rsid w:val="00484194"/>
    <w:rsid w:val="004845F3"/>
    <w:rsid w:val="00484676"/>
    <w:rsid w:val="004846A2"/>
    <w:rsid w:val="004846BA"/>
    <w:rsid w:val="004846CC"/>
    <w:rsid w:val="004847BC"/>
    <w:rsid w:val="00484D97"/>
    <w:rsid w:val="00485137"/>
    <w:rsid w:val="0048580A"/>
    <w:rsid w:val="004858BD"/>
    <w:rsid w:val="00485BD0"/>
    <w:rsid w:val="004861C0"/>
    <w:rsid w:val="004861F2"/>
    <w:rsid w:val="004864B2"/>
    <w:rsid w:val="004865DA"/>
    <w:rsid w:val="00486830"/>
    <w:rsid w:val="004869EB"/>
    <w:rsid w:val="00486A42"/>
    <w:rsid w:val="00486E25"/>
    <w:rsid w:val="00486E44"/>
    <w:rsid w:val="0048709F"/>
    <w:rsid w:val="00487171"/>
    <w:rsid w:val="004871FF"/>
    <w:rsid w:val="00487353"/>
    <w:rsid w:val="004878BA"/>
    <w:rsid w:val="0048795F"/>
    <w:rsid w:val="00487BF7"/>
    <w:rsid w:val="0049012C"/>
    <w:rsid w:val="00490133"/>
    <w:rsid w:val="00490586"/>
    <w:rsid w:val="0049064D"/>
    <w:rsid w:val="00490BB5"/>
    <w:rsid w:val="004911BA"/>
    <w:rsid w:val="00491368"/>
    <w:rsid w:val="00491407"/>
    <w:rsid w:val="00491426"/>
    <w:rsid w:val="004916AF"/>
    <w:rsid w:val="004917A3"/>
    <w:rsid w:val="004918CB"/>
    <w:rsid w:val="00491BD1"/>
    <w:rsid w:val="00492453"/>
    <w:rsid w:val="00492E55"/>
    <w:rsid w:val="00492F6F"/>
    <w:rsid w:val="0049319A"/>
    <w:rsid w:val="004931CB"/>
    <w:rsid w:val="0049385D"/>
    <w:rsid w:val="00493B16"/>
    <w:rsid w:val="004940DC"/>
    <w:rsid w:val="004942C9"/>
    <w:rsid w:val="0049443D"/>
    <w:rsid w:val="004947A2"/>
    <w:rsid w:val="00494875"/>
    <w:rsid w:val="0049498B"/>
    <w:rsid w:val="00494D05"/>
    <w:rsid w:val="00495008"/>
    <w:rsid w:val="00495100"/>
    <w:rsid w:val="00496049"/>
    <w:rsid w:val="004961B6"/>
    <w:rsid w:val="0049635B"/>
    <w:rsid w:val="00496368"/>
    <w:rsid w:val="004966CA"/>
    <w:rsid w:val="00496B53"/>
    <w:rsid w:val="00496F55"/>
    <w:rsid w:val="00497091"/>
    <w:rsid w:val="004973BE"/>
    <w:rsid w:val="0049758F"/>
    <w:rsid w:val="00497754"/>
    <w:rsid w:val="004978B7"/>
    <w:rsid w:val="004978C4"/>
    <w:rsid w:val="00497C5B"/>
    <w:rsid w:val="00497D18"/>
    <w:rsid w:val="00497FF1"/>
    <w:rsid w:val="004A0039"/>
    <w:rsid w:val="004A0303"/>
    <w:rsid w:val="004A0584"/>
    <w:rsid w:val="004A05D4"/>
    <w:rsid w:val="004A05EE"/>
    <w:rsid w:val="004A0BAB"/>
    <w:rsid w:val="004A0F95"/>
    <w:rsid w:val="004A1120"/>
    <w:rsid w:val="004A132B"/>
    <w:rsid w:val="004A136C"/>
    <w:rsid w:val="004A14E8"/>
    <w:rsid w:val="004A173C"/>
    <w:rsid w:val="004A1B75"/>
    <w:rsid w:val="004A269D"/>
    <w:rsid w:val="004A2ACD"/>
    <w:rsid w:val="004A2D9E"/>
    <w:rsid w:val="004A2E94"/>
    <w:rsid w:val="004A340C"/>
    <w:rsid w:val="004A344C"/>
    <w:rsid w:val="004A400F"/>
    <w:rsid w:val="004A42DB"/>
    <w:rsid w:val="004A47D7"/>
    <w:rsid w:val="004A49EC"/>
    <w:rsid w:val="004A4DAE"/>
    <w:rsid w:val="004A535B"/>
    <w:rsid w:val="004A54A7"/>
    <w:rsid w:val="004A585C"/>
    <w:rsid w:val="004A5A53"/>
    <w:rsid w:val="004A5DFD"/>
    <w:rsid w:val="004A645F"/>
    <w:rsid w:val="004A646C"/>
    <w:rsid w:val="004A64D4"/>
    <w:rsid w:val="004A66E9"/>
    <w:rsid w:val="004A671C"/>
    <w:rsid w:val="004A675F"/>
    <w:rsid w:val="004A6A08"/>
    <w:rsid w:val="004A6D2A"/>
    <w:rsid w:val="004A6DAF"/>
    <w:rsid w:val="004A6E43"/>
    <w:rsid w:val="004A6F09"/>
    <w:rsid w:val="004A720A"/>
    <w:rsid w:val="004A741B"/>
    <w:rsid w:val="004A74DC"/>
    <w:rsid w:val="004A7554"/>
    <w:rsid w:val="004A796D"/>
    <w:rsid w:val="004A7D06"/>
    <w:rsid w:val="004A7F6B"/>
    <w:rsid w:val="004B0439"/>
    <w:rsid w:val="004B0510"/>
    <w:rsid w:val="004B0A2E"/>
    <w:rsid w:val="004B0D32"/>
    <w:rsid w:val="004B0DF2"/>
    <w:rsid w:val="004B111B"/>
    <w:rsid w:val="004B1226"/>
    <w:rsid w:val="004B132A"/>
    <w:rsid w:val="004B18EB"/>
    <w:rsid w:val="004B19E3"/>
    <w:rsid w:val="004B1C6D"/>
    <w:rsid w:val="004B23D7"/>
    <w:rsid w:val="004B2A28"/>
    <w:rsid w:val="004B2F06"/>
    <w:rsid w:val="004B3023"/>
    <w:rsid w:val="004B3117"/>
    <w:rsid w:val="004B3358"/>
    <w:rsid w:val="004B337F"/>
    <w:rsid w:val="004B35AF"/>
    <w:rsid w:val="004B3DD2"/>
    <w:rsid w:val="004B3E63"/>
    <w:rsid w:val="004B4237"/>
    <w:rsid w:val="004B4531"/>
    <w:rsid w:val="004B493B"/>
    <w:rsid w:val="004B4B1B"/>
    <w:rsid w:val="004B4FC1"/>
    <w:rsid w:val="004B5397"/>
    <w:rsid w:val="004B54C8"/>
    <w:rsid w:val="004B54E6"/>
    <w:rsid w:val="004B58DE"/>
    <w:rsid w:val="004B5AD8"/>
    <w:rsid w:val="004B5BAA"/>
    <w:rsid w:val="004B5D00"/>
    <w:rsid w:val="004B638E"/>
    <w:rsid w:val="004B6431"/>
    <w:rsid w:val="004B6657"/>
    <w:rsid w:val="004B67D1"/>
    <w:rsid w:val="004B6920"/>
    <w:rsid w:val="004B6A9F"/>
    <w:rsid w:val="004B6AE3"/>
    <w:rsid w:val="004B6D97"/>
    <w:rsid w:val="004B79DD"/>
    <w:rsid w:val="004B7A56"/>
    <w:rsid w:val="004B7AA5"/>
    <w:rsid w:val="004B7CD2"/>
    <w:rsid w:val="004B7E9E"/>
    <w:rsid w:val="004C0D81"/>
    <w:rsid w:val="004C0DAB"/>
    <w:rsid w:val="004C0E09"/>
    <w:rsid w:val="004C0F0C"/>
    <w:rsid w:val="004C10CB"/>
    <w:rsid w:val="004C1111"/>
    <w:rsid w:val="004C1373"/>
    <w:rsid w:val="004C137E"/>
    <w:rsid w:val="004C1716"/>
    <w:rsid w:val="004C1A79"/>
    <w:rsid w:val="004C1AC7"/>
    <w:rsid w:val="004C1B82"/>
    <w:rsid w:val="004C20A6"/>
    <w:rsid w:val="004C20C7"/>
    <w:rsid w:val="004C2629"/>
    <w:rsid w:val="004C2DD2"/>
    <w:rsid w:val="004C2F10"/>
    <w:rsid w:val="004C34AB"/>
    <w:rsid w:val="004C4254"/>
    <w:rsid w:val="004C4A5B"/>
    <w:rsid w:val="004C51BA"/>
    <w:rsid w:val="004C59A6"/>
    <w:rsid w:val="004C5D87"/>
    <w:rsid w:val="004C5FC7"/>
    <w:rsid w:val="004C6021"/>
    <w:rsid w:val="004C66AB"/>
    <w:rsid w:val="004C679C"/>
    <w:rsid w:val="004C6812"/>
    <w:rsid w:val="004C7103"/>
    <w:rsid w:val="004C7501"/>
    <w:rsid w:val="004C7A2F"/>
    <w:rsid w:val="004C7AAF"/>
    <w:rsid w:val="004C7CB8"/>
    <w:rsid w:val="004D0358"/>
    <w:rsid w:val="004D03DA"/>
    <w:rsid w:val="004D06CC"/>
    <w:rsid w:val="004D0CD3"/>
    <w:rsid w:val="004D0E91"/>
    <w:rsid w:val="004D0EA7"/>
    <w:rsid w:val="004D0FCD"/>
    <w:rsid w:val="004D138D"/>
    <w:rsid w:val="004D13B7"/>
    <w:rsid w:val="004D1839"/>
    <w:rsid w:val="004D1986"/>
    <w:rsid w:val="004D1988"/>
    <w:rsid w:val="004D19AB"/>
    <w:rsid w:val="004D19FC"/>
    <w:rsid w:val="004D1BA3"/>
    <w:rsid w:val="004D1C8E"/>
    <w:rsid w:val="004D1DBB"/>
    <w:rsid w:val="004D2334"/>
    <w:rsid w:val="004D24C9"/>
    <w:rsid w:val="004D2985"/>
    <w:rsid w:val="004D2B6C"/>
    <w:rsid w:val="004D2D97"/>
    <w:rsid w:val="004D3986"/>
    <w:rsid w:val="004D3C07"/>
    <w:rsid w:val="004D3D25"/>
    <w:rsid w:val="004D4563"/>
    <w:rsid w:val="004D47AF"/>
    <w:rsid w:val="004D49E9"/>
    <w:rsid w:val="004D4A18"/>
    <w:rsid w:val="004D4AD7"/>
    <w:rsid w:val="004D4B94"/>
    <w:rsid w:val="004D4E0A"/>
    <w:rsid w:val="004D50C2"/>
    <w:rsid w:val="004D5327"/>
    <w:rsid w:val="004D53BE"/>
    <w:rsid w:val="004D5A0A"/>
    <w:rsid w:val="004D5A50"/>
    <w:rsid w:val="004D5BB6"/>
    <w:rsid w:val="004D5F5B"/>
    <w:rsid w:val="004D5FDC"/>
    <w:rsid w:val="004D62B3"/>
    <w:rsid w:val="004D69B1"/>
    <w:rsid w:val="004D6AC2"/>
    <w:rsid w:val="004D6F3F"/>
    <w:rsid w:val="004D708D"/>
    <w:rsid w:val="004D71E0"/>
    <w:rsid w:val="004D7684"/>
    <w:rsid w:val="004D78BD"/>
    <w:rsid w:val="004D79D8"/>
    <w:rsid w:val="004D7EEB"/>
    <w:rsid w:val="004D7EEC"/>
    <w:rsid w:val="004E043D"/>
    <w:rsid w:val="004E04F0"/>
    <w:rsid w:val="004E07DF"/>
    <w:rsid w:val="004E0A69"/>
    <w:rsid w:val="004E0B17"/>
    <w:rsid w:val="004E0C83"/>
    <w:rsid w:val="004E0ED5"/>
    <w:rsid w:val="004E1359"/>
    <w:rsid w:val="004E1538"/>
    <w:rsid w:val="004E17B9"/>
    <w:rsid w:val="004E19D4"/>
    <w:rsid w:val="004E21FF"/>
    <w:rsid w:val="004E29DE"/>
    <w:rsid w:val="004E2A77"/>
    <w:rsid w:val="004E2AD7"/>
    <w:rsid w:val="004E2E76"/>
    <w:rsid w:val="004E2F9D"/>
    <w:rsid w:val="004E3CDA"/>
    <w:rsid w:val="004E3CFF"/>
    <w:rsid w:val="004E3D0A"/>
    <w:rsid w:val="004E3D16"/>
    <w:rsid w:val="004E3E1C"/>
    <w:rsid w:val="004E3FCE"/>
    <w:rsid w:val="004E4B66"/>
    <w:rsid w:val="004E4BE8"/>
    <w:rsid w:val="004E4BFD"/>
    <w:rsid w:val="004E4E30"/>
    <w:rsid w:val="004E4ED6"/>
    <w:rsid w:val="004E56B5"/>
    <w:rsid w:val="004E587B"/>
    <w:rsid w:val="004E5A52"/>
    <w:rsid w:val="004E5CFA"/>
    <w:rsid w:val="004E5ECC"/>
    <w:rsid w:val="004E657C"/>
    <w:rsid w:val="004E66A7"/>
    <w:rsid w:val="004E6AA7"/>
    <w:rsid w:val="004E6C02"/>
    <w:rsid w:val="004E6FA8"/>
    <w:rsid w:val="004E7907"/>
    <w:rsid w:val="004E7C5D"/>
    <w:rsid w:val="004E7F53"/>
    <w:rsid w:val="004E7FE5"/>
    <w:rsid w:val="004F0060"/>
    <w:rsid w:val="004F0102"/>
    <w:rsid w:val="004F012E"/>
    <w:rsid w:val="004F06EA"/>
    <w:rsid w:val="004F0840"/>
    <w:rsid w:val="004F0986"/>
    <w:rsid w:val="004F09EC"/>
    <w:rsid w:val="004F0E02"/>
    <w:rsid w:val="004F0F51"/>
    <w:rsid w:val="004F1203"/>
    <w:rsid w:val="004F120D"/>
    <w:rsid w:val="004F146B"/>
    <w:rsid w:val="004F164C"/>
    <w:rsid w:val="004F1BDC"/>
    <w:rsid w:val="004F2112"/>
    <w:rsid w:val="004F25F5"/>
    <w:rsid w:val="004F2659"/>
    <w:rsid w:val="004F2665"/>
    <w:rsid w:val="004F296A"/>
    <w:rsid w:val="004F2C5E"/>
    <w:rsid w:val="004F3719"/>
    <w:rsid w:val="004F3A59"/>
    <w:rsid w:val="004F41FE"/>
    <w:rsid w:val="004F460B"/>
    <w:rsid w:val="004F4744"/>
    <w:rsid w:val="004F4AEE"/>
    <w:rsid w:val="004F4CF1"/>
    <w:rsid w:val="004F5215"/>
    <w:rsid w:val="004F52BA"/>
    <w:rsid w:val="004F53FF"/>
    <w:rsid w:val="004F56AD"/>
    <w:rsid w:val="004F5F7E"/>
    <w:rsid w:val="004F6108"/>
    <w:rsid w:val="004F69DD"/>
    <w:rsid w:val="004F705F"/>
    <w:rsid w:val="004F7722"/>
    <w:rsid w:val="004F7AEF"/>
    <w:rsid w:val="004F7CD6"/>
    <w:rsid w:val="004F7E0A"/>
    <w:rsid w:val="004F7E52"/>
    <w:rsid w:val="00500459"/>
    <w:rsid w:val="0050103C"/>
    <w:rsid w:val="00501170"/>
    <w:rsid w:val="00501CEA"/>
    <w:rsid w:val="00502586"/>
    <w:rsid w:val="00502891"/>
    <w:rsid w:val="0050290D"/>
    <w:rsid w:val="00502948"/>
    <w:rsid w:val="00502A9C"/>
    <w:rsid w:val="00502B4A"/>
    <w:rsid w:val="00502C9F"/>
    <w:rsid w:val="00502E63"/>
    <w:rsid w:val="00503339"/>
    <w:rsid w:val="0050351B"/>
    <w:rsid w:val="00503757"/>
    <w:rsid w:val="00503DF7"/>
    <w:rsid w:val="00504018"/>
    <w:rsid w:val="00504593"/>
    <w:rsid w:val="00504881"/>
    <w:rsid w:val="00504A18"/>
    <w:rsid w:val="00504B24"/>
    <w:rsid w:val="00505221"/>
    <w:rsid w:val="00505EC1"/>
    <w:rsid w:val="0050601B"/>
    <w:rsid w:val="00506383"/>
    <w:rsid w:val="005065A9"/>
    <w:rsid w:val="00506893"/>
    <w:rsid w:val="00506AE0"/>
    <w:rsid w:val="00506C23"/>
    <w:rsid w:val="00507141"/>
    <w:rsid w:val="00507243"/>
    <w:rsid w:val="005072FB"/>
    <w:rsid w:val="00507324"/>
    <w:rsid w:val="0050737D"/>
    <w:rsid w:val="00507428"/>
    <w:rsid w:val="00507513"/>
    <w:rsid w:val="00507646"/>
    <w:rsid w:val="00507681"/>
    <w:rsid w:val="00507C42"/>
    <w:rsid w:val="00507CDE"/>
    <w:rsid w:val="00507E8A"/>
    <w:rsid w:val="00507F5D"/>
    <w:rsid w:val="00507F89"/>
    <w:rsid w:val="0051004F"/>
    <w:rsid w:val="0051008F"/>
    <w:rsid w:val="005102CC"/>
    <w:rsid w:val="00510346"/>
    <w:rsid w:val="005107B7"/>
    <w:rsid w:val="00510AB9"/>
    <w:rsid w:val="00510E54"/>
    <w:rsid w:val="00510EAF"/>
    <w:rsid w:val="00510F14"/>
    <w:rsid w:val="0051195E"/>
    <w:rsid w:val="005120A5"/>
    <w:rsid w:val="005126A4"/>
    <w:rsid w:val="005127A7"/>
    <w:rsid w:val="00512FAC"/>
    <w:rsid w:val="00513118"/>
    <w:rsid w:val="0051323E"/>
    <w:rsid w:val="0051369B"/>
    <w:rsid w:val="0051380C"/>
    <w:rsid w:val="00513994"/>
    <w:rsid w:val="00513A19"/>
    <w:rsid w:val="00513A4A"/>
    <w:rsid w:val="00513CCE"/>
    <w:rsid w:val="005148DB"/>
    <w:rsid w:val="00514BD2"/>
    <w:rsid w:val="0051557A"/>
    <w:rsid w:val="00515906"/>
    <w:rsid w:val="005160B6"/>
    <w:rsid w:val="0051639C"/>
    <w:rsid w:val="005166F0"/>
    <w:rsid w:val="005169EE"/>
    <w:rsid w:val="00516A4A"/>
    <w:rsid w:val="00516A8F"/>
    <w:rsid w:val="00516A96"/>
    <w:rsid w:val="00516C48"/>
    <w:rsid w:val="00517058"/>
    <w:rsid w:val="00517088"/>
    <w:rsid w:val="005174E5"/>
    <w:rsid w:val="005179C5"/>
    <w:rsid w:val="00517D9A"/>
    <w:rsid w:val="00517FB9"/>
    <w:rsid w:val="005201B8"/>
    <w:rsid w:val="00520604"/>
    <w:rsid w:val="00520683"/>
    <w:rsid w:val="005209D6"/>
    <w:rsid w:val="00520D0F"/>
    <w:rsid w:val="00520DB6"/>
    <w:rsid w:val="005211A5"/>
    <w:rsid w:val="00521218"/>
    <w:rsid w:val="005212FC"/>
    <w:rsid w:val="005217D3"/>
    <w:rsid w:val="00521A69"/>
    <w:rsid w:val="00521BE0"/>
    <w:rsid w:val="00521C98"/>
    <w:rsid w:val="00521CB8"/>
    <w:rsid w:val="00521DB0"/>
    <w:rsid w:val="00521F0D"/>
    <w:rsid w:val="00522C08"/>
    <w:rsid w:val="00522DC0"/>
    <w:rsid w:val="00522FA0"/>
    <w:rsid w:val="00523558"/>
    <w:rsid w:val="005239B0"/>
    <w:rsid w:val="00523C8D"/>
    <w:rsid w:val="00523DBE"/>
    <w:rsid w:val="00523F10"/>
    <w:rsid w:val="0052434E"/>
    <w:rsid w:val="005250F5"/>
    <w:rsid w:val="0052587C"/>
    <w:rsid w:val="005258F8"/>
    <w:rsid w:val="00525957"/>
    <w:rsid w:val="00525AA9"/>
    <w:rsid w:val="00525B55"/>
    <w:rsid w:val="00525FFD"/>
    <w:rsid w:val="005262B3"/>
    <w:rsid w:val="00526644"/>
    <w:rsid w:val="0052732D"/>
    <w:rsid w:val="005273EE"/>
    <w:rsid w:val="0052747C"/>
    <w:rsid w:val="00527B44"/>
    <w:rsid w:val="00530254"/>
    <w:rsid w:val="0053062F"/>
    <w:rsid w:val="00530829"/>
    <w:rsid w:val="00530911"/>
    <w:rsid w:val="00530A4C"/>
    <w:rsid w:val="00530AF3"/>
    <w:rsid w:val="00530CBD"/>
    <w:rsid w:val="00531058"/>
    <w:rsid w:val="005310BF"/>
    <w:rsid w:val="00531163"/>
    <w:rsid w:val="00531231"/>
    <w:rsid w:val="0053142A"/>
    <w:rsid w:val="005316EA"/>
    <w:rsid w:val="0053187A"/>
    <w:rsid w:val="0053190E"/>
    <w:rsid w:val="005319B7"/>
    <w:rsid w:val="00531A79"/>
    <w:rsid w:val="005322F0"/>
    <w:rsid w:val="00532B2B"/>
    <w:rsid w:val="00532C6B"/>
    <w:rsid w:val="00532D14"/>
    <w:rsid w:val="00532F27"/>
    <w:rsid w:val="005331A0"/>
    <w:rsid w:val="00533EF0"/>
    <w:rsid w:val="00533F9C"/>
    <w:rsid w:val="0053410D"/>
    <w:rsid w:val="0053479B"/>
    <w:rsid w:val="00534897"/>
    <w:rsid w:val="00534C76"/>
    <w:rsid w:val="00534D92"/>
    <w:rsid w:val="00534EB9"/>
    <w:rsid w:val="00534FA5"/>
    <w:rsid w:val="005356EF"/>
    <w:rsid w:val="0053596E"/>
    <w:rsid w:val="00535D97"/>
    <w:rsid w:val="00536253"/>
    <w:rsid w:val="005363D2"/>
    <w:rsid w:val="0053658C"/>
    <w:rsid w:val="005369FD"/>
    <w:rsid w:val="00536C2D"/>
    <w:rsid w:val="00536FF1"/>
    <w:rsid w:val="0053720D"/>
    <w:rsid w:val="00537242"/>
    <w:rsid w:val="0053733C"/>
    <w:rsid w:val="0053748F"/>
    <w:rsid w:val="005374D6"/>
    <w:rsid w:val="00537552"/>
    <w:rsid w:val="00537673"/>
    <w:rsid w:val="00537A23"/>
    <w:rsid w:val="00537B48"/>
    <w:rsid w:val="00537E73"/>
    <w:rsid w:val="00540129"/>
    <w:rsid w:val="00540650"/>
    <w:rsid w:val="00540688"/>
    <w:rsid w:val="0054073B"/>
    <w:rsid w:val="00540C56"/>
    <w:rsid w:val="00540E21"/>
    <w:rsid w:val="00541F64"/>
    <w:rsid w:val="00542584"/>
    <w:rsid w:val="00542998"/>
    <w:rsid w:val="005429C3"/>
    <w:rsid w:val="00542D83"/>
    <w:rsid w:val="00542D9E"/>
    <w:rsid w:val="00543593"/>
    <w:rsid w:val="0054380B"/>
    <w:rsid w:val="00543E8A"/>
    <w:rsid w:val="00544075"/>
    <w:rsid w:val="0054441D"/>
    <w:rsid w:val="00544B8E"/>
    <w:rsid w:val="00544BDF"/>
    <w:rsid w:val="0054541B"/>
    <w:rsid w:val="00545930"/>
    <w:rsid w:val="00545941"/>
    <w:rsid w:val="00545C93"/>
    <w:rsid w:val="00545F4D"/>
    <w:rsid w:val="00546159"/>
    <w:rsid w:val="00546168"/>
    <w:rsid w:val="005461CC"/>
    <w:rsid w:val="0054644B"/>
    <w:rsid w:val="005464F0"/>
    <w:rsid w:val="005465EF"/>
    <w:rsid w:val="00546DB6"/>
    <w:rsid w:val="00546DDD"/>
    <w:rsid w:val="00546E71"/>
    <w:rsid w:val="00547B8D"/>
    <w:rsid w:val="00547D42"/>
    <w:rsid w:val="005505FB"/>
    <w:rsid w:val="00550901"/>
    <w:rsid w:val="00550BD4"/>
    <w:rsid w:val="00550D38"/>
    <w:rsid w:val="00551500"/>
    <w:rsid w:val="00551554"/>
    <w:rsid w:val="00551718"/>
    <w:rsid w:val="00551C0D"/>
    <w:rsid w:val="00551C4C"/>
    <w:rsid w:val="00551DAD"/>
    <w:rsid w:val="005520C4"/>
    <w:rsid w:val="00552114"/>
    <w:rsid w:val="00552177"/>
    <w:rsid w:val="005529B8"/>
    <w:rsid w:val="00553545"/>
    <w:rsid w:val="005535C9"/>
    <w:rsid w:val="0055366F"/>
    <w:rsid w:val="005536D1"/>
    <w:rsid w:val="00553E99"/>
    <w:rsid w:val="00553FBA"/>
    <w:rsid w:val="00554317"/>
    <w:rsid w:val="0055448D"/>
    <w:rsid w:val="0055478D"/>
    <w:rsid w:val="005548FD"/>
    <w:rsid w:val="005549B4"/>
    <w:rsid w:val="00554C45"/>
    <w:rsid w:val="00554ED5"/>
    <w:rsid w:val="00555141"/>
    <w:rsid w:val="005552A8"/>
    <w:rsid w:val="00555516"/>
    <w:rsid w:val="00555A62"/>
    <w:rsid w:val="00555C3B"/>
    <w:rsid w:val="00555D32"/>
    <w:rsid w:val="00555F4C"/>
    <w:rsid w:val="00556135"/>
    <w:rsid w:val="00556578"/>
    <w:rsid w:val="00556930"/>
    <w:rsid w:val="00556EA9"/>
    <w:rsid w:val="0055744C"/>
    <w:rsid w:val="0055775A"/>
    <w:rsid w:val="005577A9"/>
    <w:rsid w:val="00557900"/>
    <w:rsid w:val="0056008B"/>
    <w:rsid w:val="005600E8"/>
    <w:rsid w:val="005607D3"/>
    <w:rsid w:val="00560953"/>
    <w:rsid w:val="005609F0"/>
    <w:rsid w:val="00560A62"/>
    <w:rsid w:val="00560C91"/>
    <w:rsid w:val="00560CD7"/>
    <w:rsid w:val="0056102B"/>
    <w:rsid w:val="005611BD"/>
    <w:rsid w:val="005614CE"/>
    <w:rsid w:val="0056161B"/>
    <w:rsid w:val="00561966"/>
    <w:rsid w:val="00561992"/>
    <w:rsid w:val="00561CD3"/>
    <w:rsid w:val="0056203E"/>
    <w:rsid w:val="005621F5"/>
    <w:rsid w:val="0056284B"/>
    <w:rsid w:val="00562AAD"/>
    <w:rsid w:val="00562B99"/>
    <w:rsid w:val="00562D0E"/>
    <w:rsid w:val="0056302A"/>
    <w:rsid w:val="00563072"/>
    <w:rsid w:val="005635CC"/>
    <w:rsid w:val="0056360A"/>
    <w:rsid w:val="0056382A"/>
    <w:rsid w:val="00563845"/>
    <w:rsid w:val="005638D9"/>
    <w:rsid w:val="00563A23"/>
    <w:rsid w:val="00564836"/>
    <w:rsid w:val="00564892"/>
    <w:rsid w:val="00564DB3"/>
    <w:rsid w:val="005650C0"/>
    <w:rsid w:val="005651F9"/>
    <w:rsid w:val="00565329"/>
    <w:rsid w:val="00565AF3"/>
    <w:rsid w:val="00565E28"/>
    <w:rsid w:val="00565E7E"/>
    <w:rsid w:val="00566045"/>
    <w:rsid w:val="00566085"/>
    <w:rsid w:val="00566372"/>
    <w:rsid w:val="005664B2"/>
    <w:rsid w:val="0056680E"/>
    <w:rsid w:val="00566BAF"/>
    <w:rsid w:val="00566CB7"/>
    <w:rsid w:val="005670A2"/>
    <w:rsid w:val="005670BD"/>
    <w:rsid w:val="00567485"/>
    <w:rsid w:val="005674BE"/>
    <w:rsid w:val="0056778A"/>
    <w:rsid w:val="005677A7"/>
    <w:rsid w:val="0056785C"/>
    <w:rsid w:val="00567983"/>
    <w:rsid w:val="00567B96"/>
    <w:rsid w:val="00567BA9"/>
    <w:rsid w:val="00567C8C"/>
    <w:rsid w:val="00567CB2"/>
    <w:rsid w:val="005703D7"/>
    <w:rsid w:val="00570429"/>
    <w:rsid w:val="00570449"/>
    <w:rsid w:val="00570470"/>
    <w:rsid w:val="0057075A"/>
    <w:rsid w:val="005709FC"/>
    <w:rsid w:val="00570E33"/>
    <w:rsid w:val="00571A20"/>
    <w:rsid w:val="00571CCF"/>
    <w:rsid w:val="00571DD2"/>
    <w:rsid w:val="005721C1"/>
    <w:rsid w:val="00572236"/>
    <w:rsid w:val="00572544"/>
    <w:rsid w:val="005726BB"/>
    <w:rsid w:val="00572C2D"/>
    <w:rsid w:val="00572C8F"/>
    <w:rsid w:val="00573693"/>
    <w:rsid w:val="005736BF"/>
    <w:rsid w:val="005737AE"/>
    <w:rsid w:val="005737D3"/>
    <w:rsid w:val="00573CB1"/>
    <w:rsid w:val="00573CC2"/>
    <w:rsid w:val="00573E77"/>
    <w:rsid w:val="0057458A"/>
    <w:rsid w:val="0057466E"/>
    <w:rsid w:val="005748A2"/>
    <w:rsid w:val="005748EC"/>
    <w:rsid w:val="00574E54"/>
    <w:rsid w:val="00574F37"/>
    <w:rsid w:val="005753A7"/>
    <w:rsid w:val="005753BE"/>
    <w:rsid w:val="00575557"/>
    <w:rsid w:val="00575729"/>
    <w:rsid w:val="0057599C"/>
    <w:rsid w:val="00575C73"/>
    <w:rsid w:val="00575F76"/>
    <w:rsid w:val="005768E3"/>
    <w:rsid w:val="005769A8"/>
    <w:rsid w:val="00576D4F"/>
    <w:rsid w:val="00576D8B"/>
    <w:rsid w:val="0057709C"/>
    <w:rsid w:val="00577B37"/>
    <w:rsid w:val="00577CEA"/>
    <w:rsid w:val="00577E36"/>
    <w:rsid w:val="00577E3E"/>
    <w:rsid w:val="0058068D"/>
    <w:rsid w:val="005809CB"/>
    <w:rsid w:val="00581187"/>
    <w:rsid w:val="005814E8"/>
    <w:rsid w:val="005815D0"/>
    <w:rsid w:val="0058234C"/>
    <w:rsid w:val="00582C2C"/>
    <w:rsid w:val="00582C44"/>
    <w:rsid w:val="00582D96"/>
    <w:rsid w:val="00582EE2"/>
    <w:rsid w:val="005830DC"/>
    <w:rsid w:val="0058324E"/>
    <w:rsid w:val="0058355A"/>
    <w:rsid w:val="00583834"/>
    <w:rsid w:val="005838CA"/>
    <w:rsid w:val="0058406F"/>
    <w:rsid w:val="00584D45"/>
    <w:rsid w:val="00584D93"/>
    <w:rsid w:val="00584EA6"/>
    <w:rsid w:val="00585303"/>
    <w:rsid w:val="005859D1"/>
    <w:rsid w:val="00585C79"/>
    <w:rsid w:val="005864B2"/>
    <w:rsid w:val="00586555"/>
    <w:rsid w:val="00586654"/>
    <w:rsid w:val="005867F1"/>
    <w:rsid w:val="0058680B"/>
    <w:rsid w:val="00586A3C"/>
    <w:rsid w:val="00586E2E"/>
    <w:rsid w:val="00586ED7"/>
    <w:rsid w:val="00586F2F"/>
    <w:rsid w:val="00587B88"/>
    <w:rsid w:val="00587DA9"/>
    <w:rsid w:val="00587F0E"/>
    <w:rsid w:val="00590357"/>
    <w:rsid w:val="0059091B"/>
    <w:rsid w:val="00590BA4"/>
    <w:rsid w:val="00590F3D"/>
    <w:rsid w:val="005910D9"/>
    <w:rsid w:val="005919C7"/>
    <w:rsid w:val="00591BE0"/>
    <w:rsid w:val="00591EBD"/>
    <w:rsid w:val="0059216B"/>
    <w:rsid w:val="005923FB"/>
    <w:rsid w:val="005925E7"/>
    <w:rsid w:val="00592EA2"/>
    <w:rsid w:val="00592EAE"/>
    <w:rsid w:val="0059305B"/>
    <w:rsid w:val="00593154"/>
    <w:rsid w:val="005932E9"/>
    <w:rsid w:val="00593572"/>
    <w:rsid w:val="00593A80"/>
    <w:rsid w:val="00593B1B"/>
    <w:rsid w:val="00593B72"/>
    <w:rsid w:val="00593BC7"/>
    <w:rsid w:val="00593CC3"/>
    <w:rsid w:val="00594016"/>
    <w:rsid w:val="00594065"/>
    <w:rsid w:val="0059409C"/>
    <w:rsid w:val="005940BD"/>
    <w:rsid w:val="0059429E"/>
    <w:rsid w:val="00594391"/>
    <w:rsid w:val="005944AC"/>
    <w:rsid w:val="00594619"/>
    <w:rsid w:val="00594E87"/>
    <w:rsid w:val="0059502F"/>
    <w:rsid w:val="00595319"/>
    <w:rsid w:val="0059564B"/>
    <w:rsid w:val="00595B3D"/>
    <w:rsid w:val="00595D06"/>
    <w:rsid w:val="00596C3F"/>
    <w:rsid w:val="00596FEB"/>
    <w:rsid w:val="00597099"/>
    <w:rsid w:val="0059739B"/>
    <w:rsid w:val="005A01C9"/>
    <w:rsid w:val="005A0260"/>
    <w:rsid w:val="005A05DC"/>
    <w:rsid w:val="005A0665"/>
    <w:rsid w:val="005A06E8"/>
    <w:rsid w:val="005A077C"/>
    <w:rsid w:val="005A07B9"/>
    <w:rsid w:val="005A0A46"/>
    <w:rsid w:val="005A0AB8"/>
    <w:rsid w:val="005A0CA7"/>
    <w:rsid w:val="005A0E5C"/>
    <w:rsid w:val="005A14D5"/>
    <w:rsid w:val="005A19E2"/>
    <w:rsid w:val="005A1A9A"/>
    <w:rsid w:val="005A1C40"/>
    <w:rsid w:val="005A1D03"/>
    <w:rsid w:val="005A1D9E"/>
    <w:rsid w:val="005A1E8D"/>
    <w:rsid w:val="005A1EC0"/>
    <w:rsid w:val="005A2017"/>
    <w:rsid w:val="005A243C"/>
    <w:rsid w:val="005A24D5"/>
    <w:rsid w:val="005A28B7"/>
    <w:rsid w:val="005A2927"/>
    <w:rsid w:val="005A2F91"/>
    <w:rsid w:val="005A3471"/>
    <w:rsid w:val="005A398C"/>
    <w:rsid w:val="005A3A53"/>
    <w:rsid w:val="005A3F9A"/>
    <w:rsid w:val="005A419B"/>
    <w:rsid w:val="005A4555"/>
    <w:rsid w:val="005A4DC6"/>
    <w:rsid w:val="005A4E12"/>
    <w:rsid w:val="005A4F16"/>
    <w:rsid w:val="005A4FC2"/>
    <w:rsid w:val="005A53BE"/>
    <w:rsid w:val="005A5516"/>
    <w:rsid w:val="005A57F7"/>
    <w:rsid w:val="005A58C4"/>
    <w:rsid w:val="005A5CE4"/>
    <w:rsid w:val="005A608C"/>
    <w:rsid w:val="005A6217"/>
    <w:rsid w:val="005A64CB"/>
    <w:rsid w:val="005A65C5"/>
    <w:rsid w:val="005A6A71"/>
    <w:rsid w:val="005A6C1F"/>
    <w:rsid w:val="005A72D4"/>
    <w:rsid w:val="005A784B"/>
    <w:rsid w:val="005A7B8D"/>
    <w:rsid w:val="005A7BE2"/>
    <w:rsid w:val="005B1145"/>
    <w:rsid w:val="005B12A1"/>
    <w:rsid w:val="005B14E1"/>
    <w:rsid w:val="005B164B"/>
    <w:rsid w:val="005B1865"/>
    <w:rsid w:val="005B1B6D"/>
    <w:rsid w:val="005B1BF2"/>
    <w:rsid w:val="005B1C13"/>
    <w:rsid w:val="005B1D99"/>
    <w:rsid w:val="005B209C"/>
    <w:rsid w:val="005B20B1"/>
    <w:rsid w:val="005B222D"/>
    <w:rsid w:val="005B2421"/>
    <w:rsid w:val="005B2BA4"/>
    <w:rsid w:val="005B2BFA"/>
    <w:rsid w:val="005B2D4A"/>
    <w:rsid w:val="005B313C"/>
    <w:rsid w:val="005B3CFF"/>
    <w:rsid w:val="005B3D26"/>
    <w:rsid w:val="005B41BF"/>
    <w:rsid w:val="005B44B5"/>
    <w:rsid w:val="005B452D"/>
    <w:rsid w:val="005B48C0"/>
    <w:rsid w:val="005B4A2E"/>
    <w:rsid w:val="005B4A77"/>
    <w:rsid w:val="005B4D09"/>
    <w:rsid w:val="005B52EA"/>
    <w:rsid w:val="005B5DC0"/>
    <w:rsid w:val="005B60F9"/>
    <w:rsid w:val="005B63FC"/>
    <w:rsid w:val="005B6847"/>
    <w:rsid w:val="005B6C86"/>
    <w:rsid w:val="005B6F00"/>
    <w:rsid w:val="005B6FAB"/>
    <w:rsid w:val="005B7145"/>
    <w:rsid w:val="005B7271"/>
    <w:rsid w:val="005B742D"/>
    <w:rsid w:val="005B7929"/>
    <w:rsid w:val="005B7A45"/>
    <w:rsid w:val="005B7BAD"/>
    <w:rsid w:val="005C005B"/>
    <w:rsid w:val="005C012E"/>
    <w:rsid w:val="005C03DD"/>
    <w:rsid w:val="005C0585"/>
    <w:rsid w:val="005C05AA"/>
    <w:rsid w:val="005C06B7"/>
    <w:rsid w:val="005C0E9C"/>
    <w:rsid w:val="005C0F03"/>
    <w:rsid w:val="005C10E2"/>
    <w:rsid w:val="005C12AC"/>
    <w:rsid w:val="005C18BE"/>
    <w:rsid w:val="005C1A45"/>
    <w:rsid w:val="005C1BBA"/>
    <w:rsid w:val="005C1C82"/>
    <w:rsid w:val="005C1E2F"/>
    <w:rsid w:val="005C20A6"/>
    <w:rsid w:val="005C24B3"/>
    <w:rsid w:val="005C2628"/>
    <w:rsid w:val="005C2654"/>
    <w:rsid w:val="005C29E7"/>
    <w:rsid w:val="005C3006"/>
    <w:rsid w:val="005C327F"/>
    <w:rsid w:val="005C33C2"/>
    <w:rsid w:val="005C33FE"/>
    <w:rsid w:val="005C34F8"/>
    <w:rsid w:val="005C38BB"/>
    <w:rsid w:val="005C38E5"/>
    <w:rsid w:val="005C3D64"/>
    <w:rsid w:val="005C3F2B"/>
    <w:rsid w:val="005C440D"/>
    <w:rsid w:val="005C51C5"/>
    <w:rsid w:val="005C520F"/>
    <w:rsid w:val="005C56B8"/>
    <w:rsid w:val="005C56BA"/>
    <w:rsid w:val="005C58D3"/>
    <w:rsid w:val="005C5E78"/>
    <w:rsid w:val="005C6214"/>
    <w:rsid w:val="005C635E"/>
    <w:rsid w:val="005C684A"/>
    <w:rsid w:val="005C6A80"/>
    <w:rsid w:val="005C6F07"/>
    <w:rsid w:val="005C6F90"/>
    <w:rsid w:val="005C7442"/>
    <w:rsid w:val="005C762E"/>
    <w:rsid w:val="005C76B2"/>
    <w:rsid w:val="005C7813"/>
    <w:rsid w:val="005C79FB"/>
    <w:rsid w:val="005C7E75"/>
    <w:rsid w:val="005C7F45"/>
    <w:rsid w:val="005D031A"/>
    <w:rsid w:val="005D03B6"/>
    <w:rsid w:val="005D0AF9"/>
    <w:rsid w:val="005D0C59"/>
    <w:rsid w:val="005D13B7"/>
    <w:rsid w:val="005D147E"/>
    <w:rsid w:val="005D1771"/>
    <w:rsid w:val="005D17BC"/>
    <w:rsid w:val="005D18FF"/>
    <w:rsid w:val="005D1B24"/>
    <w:rsid w:val="005D1F63"/>
    <w:rsid w:val="005D2162"/>
    <w:rsid w:val="005D2323"/>
    <w:rsid w:val="005D246D"/>
    <w:rsid w:val="005D2614"/>
    <w:rsid w:val="005D27A4"/>
    <w:rsid w:val="005D2A7B"/>
    <w:rsid w:val="005D2DE6"/>
    <w:rsid w:val="005D2ED6"/>
    <w:rsid w:val="005D318E"/>
    <w:rsid w:val="005D31C1"/>
    <w:rsid w:val="005D33E9"/>
    <w:rsid w:val="005D34F8"/>
    <w:rsid w:val="005D37B6"/>
    <w:rsid w:val="005D3D69"/>
    <w:rsid w:val="005D3E76"/>
    <w:rsid w:val="005D4059"/>
    <w:rsid w:val="005D4295"/>
    <w:rsid w:val="005D46E1"/>
    <w:rsid w:val="005D48A0"/>
    <w:rsid w:val="005D4BC8"/>
    <w:rsid w:val="005D4CFE"/>
    <w:rsid w:val="005D4D40"/>
    <w:rsid w:val="005D502B"/>
    <w:rsid w:val="005D5214"/>
    <w:rsid w:val="005D537F"/>
    <w:rsid w:val="005D5496"/>
    <w:rsid w:val="005D5519"/>
    <w:rsid w:val="005D55BB"/>
    <w:rsid w:val="005D5645"/>
    <w:rsid w:val="005D598A"/>
    <w:rsid w:val="005D5DDF"/>
    <w:rsid w:val="005D6119"/>
    <w:rsid w:val="005D65E9"/>
    <w:rsid w:val="005D66B4"/>
    <w:rsid w:val="005D66E6"/>
    <w:rsid w:val="005D6AAA"/>
    <w:rsid w:val="005D6CA6"/>
    <w:rsid w:val="005D6DEA"/>
    <w:rsid w:val="005D6F4A"/>
    <w:rsid w:val="005D6F7D"/>
    <w:rsid w:val="005D702B"/>
    <w:rsid w:val="005D775D"/>
    <w:rsid w:val="005D799D"/>
    <w:rsid w:val="005D7A10"/>
    <w:rsid w:val="005D7A17"/>
    <w:rsid w:val="005D7AE2"/>
    <w:rsid w:val="005E02CD"/>
    <w:rsid w:val="005E02E7"/>
    <w:rsid w:val="005E05AA"/>
    <w:rsid w:val="005E0DB9"/>
    <w:rsid w:val="005E0FD6"/>
    <w:rsid w:val="005E1233"/>
    <w:rsid w:val="005E132C"/>
    <w:rsid w:val="005E13B7"/>
    <w:rsid w:val="005E161D"/>
    <w:rsid w:val="005E1CD1"/>
    <w:rsid w:val="005E1D38"/>
    <w:rsid w:val="005E212C"/>
    <w:rsid w:val="005E2314"/>
    <w:rsid w:val="005E249A"/>
    <w:rsid w:val="005E26E2"/>
    <w:rsid w:val="005E27AA"/>
    <w:rsid w:val="005E2FA8"/>
    <w:rsid w:val="005E329E"/>
    <w:rsid w:val="005E3A1C"/>
    <w:rsid w:val="005E3F1A"/>
    <w:rsid w:val="005E3F22"/>
    <w:rsid w:val="005E436F"/>
    <w:rsid w:val="005E4845"/>
    <w:rsid w:val="005E4B1C"/>
    <w:rsid w:val="005E5328"/>
    <w:rsid w:val="005E5523"/>
    <w:rsid w:val="005E56B4"/>
    <w:rsid w:val="005E5826"/>
    <w:rsid w:val="005E5BB6"/>
    <w:rsid w:val="005E5F4C"/>
    <w:rsid w:val="005E63C1"/>
    <w:rsid w:val="005E6753"/>
    <w:rsid w:val="005E6A0D"/>
    <w:rsid w:val="005E6D56"/>
    <w:rsid w:val="005E6ED4"/>
    <w:rsid w:val="005E7268"/>
    <w:rsid w:val="005E73CA"/>
    <w:rsid w:val="005E774A"/>
    <w:rsid w:val="005E7BDD"/>
    <w:rsid w:val="005E7D16"/>
    <w:rsid w:val="005E7DCA"/>
    <w:rsid w:val="005E7F18"/>
    <w:rsid w:val="005F00FB"/>
    <w:rsid w:val="005F03B5"/>
    <w:rsid w:val="005F0AEF"/>
    <w:rsid w:val="005F0CDA"/>
    <w:rsid w:val="005F0F11"/>
    <w:rsid w:val="005F0FA0"/>
    <w:rsid w:val="005F1089"/>
    <w:rsid w:val="005F12FD"/>
    <w:rsid w:val="005F149D"/>
    <w:rsid w:val="005F16A0"/>
    <w:rsid w:val="005F195C"/>
    <w:rsid w:val="005F19B4"/>
    <w:rsid w:val="005F1B9A"/>
    <w:rsid w:val="005F1C7B"/>
    <w:rsid w:val="005F1C7E"/>
    <w:rsid w:val="005F1FEE"/>
    <w:rsid w:val="005F2A0F"/>
    <w:rsid w:val="005F2DFB"/>
    <w:rsid w:val="005F2EB9"/>
    <w:rsid w:val="005F348D"/>
    <w:rsid w:val="005F48B2"/>
    <w:rsid w:val="005F49E5"/>
    <w:rsid w:val="005F4FF2"/>
    <w:rsid w:val="005F5362"/>
    <w:rsid w:val="005F5419"/>
    <w:rsid w:val="005F5525"/>
    <w:rsid w:val="005F55D3"/>
    <w:rsid w:val="005F5832"/>
    <w:rsid w:val="005F599A"/>
    <w:rsid w:val="005F59AF"/>
    <w:rsid w:val="005F5A6F"/>
    <w:rsid w:val="005F5B7F"/>
    <w:rsid w:val="005F5D36"/>
    <w:rsid w:val="005F5DF8"/>
    <w:rsid w:val="005F5E57"/>
    <w:rsid w:val="005F5E69"/>
    <w:rsid w:val="005F5FBB"/>
    <w:rsid w:val="005F600C"/>
    <w:rsid w:val="005F6018"/>
    <w:rsid w:val="005F64FB"/>
    <w:rsid w:val="005F695D"/>
    <w:rsid w:val="005F6A34"/>
    <w:rsid w:val="005F6BD8"/>
    <w:rsid w:val="005F6CEB"/>
    <w:rsid w:val="005F6EFB"/>
    <w:rsid w:val="005F7013"/>
    <w:rsid w:val="005F76AA"/>
    <w:rsid w:val="005F77B9"/>
    <w:rsid w:val="00600340"/>
    <w:rsid w:val="006004BE"/>
    <w:rsid w:val="006008F9"/>
    <w:rsid w:val="00600B5A"/>
    <w:rsid w:val="00601312"/>
    <w:rsid w:val="006016F3"/>
    <w:rsid w:val="00602255"/>
    <w:rsid w:val="00603042"/>
    <w:rsid w:val="00603219"/>
    <w:rsid w:val="00603860"/>
    <w:rsid w:val="006038FF"/>
    <w:rsid w:val="00603C21"/>
    <w:rsid w:val="006042EA"/>
    <w:rsid w:val="006044B1"/>
    <w:rsid w:val="00605559"/>
    <w:rsid w:val="00605C3E"/>
    <w:rsid w:val="00606059"/>
    <w:rsid w:val="00606165"/>
    <w:rsid w:val="006061F7"/>
    <w:rsid w:val="006066ED"/>
    <w:rsid w:val="006069BE"/>
    <w:rsid w:val="00606BC8"/>
    <w:rsid w:val="00606BE2"/>
    <w:rsid w:val="00606F99"/>
    <w:rsid w:val="006072B8"/>
    <w:rsid w:val="0060735A"/>
    <w:rsid w:val="00607373"/>
    <w:rsid w:val="006073A2"/>
    <w:rsid w:val="006073F4"/>
    <w:rsid w:val="0060749E"/>
    <w:rsid w:val="00607A2E"/>
    <w:rsid w:val="006101CE"/>
    <w:rsid w:val="00610273"/>
    <w:rsid w:val="006102BD"/>
    <w:rsid w:val="00610B4E"/>
    <w:rsid w:val="00610E3D"/>
    <w:rsid w:val="00610F12"/>
    <w:rsid w:val="006118FD"/>
    <w:rsid w:val="00611B8F"/>
    <w:rsid w:val="00612613"/>
    <w:rsid w:val="00612BCF"/>
    <w:rsid w:val="00612EB1"/>
    <w:rsid w:val="00613014"/>
    <w:rsid w:val="0061331D"/>
    <w:rsid w:val="0061337F"/>
    <w:rsid w:val="00613406"/>
    <w:rsid w:val="006134EB"/>
    <w:rsid w:val="006138C6"/>
    <w:rsid w:val="006138F6"/>
    <w:rsid w:val="00613D2D"/>
    <w:rsid w:val="00613DAE"/>
    <w:rsid w:val="00613F15"/>
    <w:rsid w:val="00613F3A"/>
    <w:rsid w:val="006143D5"/>
    <w:rsid w:val="00614A54"/>
    <w:rsid w:val="00614B2C"/>
    <w:rsid w:val="00614E2F"/>
    <w:rsid w:val="00615076"/>
    <w:rsid w:val="006152B4"/>
    <w:rsid w:val="006154F7"/>
    <w:rsid w:val="006155A8"/>
    <w:rsid w:val="0061560B"/>
    <w:rsid w:val="006156CC"/>
    <w:rsid w:val="00615817"/>
    <w:rsid w:val="00615EAB"/>
    <w:rsid w:val="0061668E"/>
    <w:rsid w:val="006167B9"/>
    <w:rsid w:val="00616CC1"/>
    <w:rsid w:val="00616F83"/>
    <w:rsid w:val="006170FA"/>
    <w:rsid w:val="0061772F"/>
    <w:rsid w:val="00617846"/>
    <w:rsid w:val="00617C26"/>
    <w:rsid w:val="00620118"/>
    <w:rsid w:val="00620172"/>
    <w:rsid w:val="00620210"/>
    <w:rsid w:val="0062093F"/>
    <w:rsid w:val="00620ADB"/>
    <w:rsid w:val="00620CF0"/>
    <w:rsid w:val="0062139F"/>
    <w:rsid w:val="00621450"/>
    <w:rsid w:val="006217D0"/>
    <w:rsid w:val="00621888"/>
    <w:rsid w:val="00621B02"/>
    <w:rsid w:val="00622209"/>
    <w:rsid w:val="006224E7"/>
    <w:rsid w:val="00622665"/>
    <w:rsid w:val="006227F0"/>
    <w:rsid w:val="006228BD"/>
    <w:rsid w:val="00622AC6"/>
    <w:rsid w:val="00622B6F"/>
    <w:rsid w:val="0062314A"/>
    <w:rsid w:val="00623242"/>
    <w:rsid w:val="0062331F"/>
    <w:rsid w:val="00623718"/>
    <w:rsid w:val="006237C1"/>
    <w:rsid w:val="00623A2C"/>
    <w:rsid w:val="00623C89"/>
    <w:rsid w:val="00623D6C"/>
    <w:rsid w:val="00624031"/>
    <w:rsid w:val="00624040"/>
    <w:rsid w:val="0062475B"/>
    <w:rsid w:val="00624975"/>
    <w:rsid w:val="006249F6"/>
    <w:rsid w:val="00624AAD"/>
    <w:rsid w:val="00625185"/>
    <w:rsid w:val="006253E4"/>
    <w:rsid w:val="00625422"/>
    <w:rsid w:val="00625471"/>
    <w:rsid w:val="00625594"/>
    <w:rsid w:val="006255CD"/>
    <w:rsid w:val="006255D9"/>
    <w:rsid w:val="00625739"/>
    <w:rsid w:val="006258B0"/>
    <w:rsid w:val="00625B95"/>
    <w:rsid w:val="00625DDC"/>
    <w:rsid w:val="006262DC"/>
    <w:rsid w:val="006264ED"/>
    <w:rsid w:val="00626557"/>
    <w:rsid w:val="00626816"/>
    <w:rsid w:val="00626946"/>
    <w:rsid w:val="00627138"/>
    <w:rsid w:val="00627374"/>
    <w:rsid w:val="006279D0"/>
    <w:rsid w:val="00627B4F"/>
    <w:rsid w:val="00630037"/>
    <w:rsid w:val="00630825"/>
    <w:rsid w:val="00630D27"/>
    <w:rsid w:val="006311BB"/>
    <w:rsid w:val="00631653"/>
    <w:rsid w:val="0063205F"/>
    <w:rsid w:val="00632880"/>
    <w:rsid w:val="006328EB"/>
    <w:rsid w:val="00632981"/>
    <w:rsid w:val="006329B9"/>
    <w:rsid w:val="00632A2B"/>
    <w:rsid w:val="00633EAB"/>
    <w:rsid w:val="0063404E"/>
    <w:rsid w:val="006345C5"/>
    <w:rsid w:val="006349D7"/>
    <w:rsid w:val="00635415"/>
    <w:rsid w:val="00635FAC"/>
    <w:rsid w:val="00635FBB"/>
    <w:rsid w:val="00635FF0"/>
    <w:rsid w:val="00636644"/>
    <w:rsid w:val="00636661"/>
    <w:rsid w:val="00636F33"/>
    <w:rsid w:val="006372C3"/>
    <w:rsid w:val="00637487"/>
    <w:rsid w:val="00637D13"/>
    <w:rsid w:val="00637E1F"/>
    <w:rsid w:val="0064014B"/>
    <w:rsid w:val="006402D6"/>
    <w:rsid w:val="006406C3"/>
    <w:rsid w:val="0064070F"/>
    <w:rsid w:val="00640BB0"/>
    <w:rsid w:val="00640BDB"/>
    <w:rsid w:val="00640CE4"/>
    <w:rsid w:val="00640DD2"/>
    <w:rsid w:val="00640E4A"/>
    <w:rsid w:val="00641118"/>
    <w:rsid w:val="0064115B"/>
    <w:rsid w:val="0064148F"/>
    <w:rsid w:val="00641569"/>
    <w:rsid w:val="00641F0D"/>
    <w:rsid w:val="006428C1"/>
    <w:rsid w:val="00642C6E"/>
    <w:rsid w:val="00642DF2"/>
    <w:rsid w:val="00642E34"/>
    <w:rsid w:val="00643074"/>
    <w:rsid w:val="006432C4"/>
    <w:rsid w:val="006434FF"/>
    <w:rsid w:val="00643AB5"/>
    <w:rsid w:val="006453C1"/>
    <w:rsid w:val="00645D62"/>
    <w:rsid w:val="0064669C"/>
    <w:rsid w:val="006466D3"/>
    <w:rsid w:val="00646991"/>
    <w:rsid w:val="00646E80"/>
    <w:rsid w:val="00646EFF"/>
    <w:rsid w:val="00647162"/>
    <w:rsid w:val="006473D4"/>
    <w:rsid w:val="00647644"/>
    <w:rsid w:val="00647A00"/>
    <w:rsid w:val="00647B39"/>
    <w:rsid w:val="00647B68"/>
    <w:rsid w:val="00647B6C"/>
    <w:rsid w:val="00647C30"/>
    <w:rsid w:val="00647D50"/>
    <w:rsid w:val="00650283"/>
    <w:rsid w:val="006502A0"/>
    <w:rsid w:val="00650554"/>
    <w:rsid w:val="006506DC"/>
    <w:rsid w:val="006508B0"/>
    <w:rsid w:val="006508F7"/>
    <w:rsid w:val="00650DB0"/>
    <w:rsid w:val="00650EB0"/>
    <w:rsid w:val="00650EC3"/>
    <w:rsid w:val="006516D8"/>
    <w:rsid w:val="00651A29"/>
    <w:rsid w:val="00651B14"/>
    <w:rsid w:val="00651C85"/>
    <w:rsid w:val="00651D7F"/>
    <w:rsid w:val="00651E4D"/>
    <w:rsid w:val="006520F0"/>
    <w:rsid w:val="0065227D"/>
    <w:rsid w:val="00652306"/>
    <w:rsid w:val="0065250A"/>
    <w:rsid w:val="00652529"/>
    <w:rsid w:val="0065291A"/>
    <w:rsid w:val="00652CB9"/>
    <w:rsid w:val="00652DA1"/>
    <w:rsid w:val="00652DC4"/>
    <w:rsid w:val="00652EF0"/>
    <w:rsid w:val="00652F85"/>
    <w:rsid w:val="00653117"/>
    <w:rsid w:val="00653261"/>
    <w:rsid w:val="00653791"/>
    <w:rsid w:val="006539D2"/>
    <w:rsid w:val="00653AFF"/>
    <w:rsid w:val="00653D8F"/>
    <w:rsid w:val="006541F6"/>
    <w:rsid w:val="00654282"/>
    <w:rsid w:val="00654370"/>
    <w:rsid w:val="00654500"/>
    <w:rsid w:val="0065470D"/>
    <w:rsid w:val="00654A8C"/>
    <w:rsid w:val="00654BC3"/>
    <w:rsid w:val="00654F70"/>
    <w:rsid w:val="00655477"/>
    <w:rsid w:val="00655769"/>
    <w:rsid w:val="00655A3D"/>
    <w:rsid w:val="00655A53"/>
    <w:rsid w:val="00655CB3"/>
    <w:rsid w:val="006567A5"/>
    <w:rsid w:val="00656AC3"/>
    <w:rsid w:val="006571F3"/>
    <w:rsid w:val="00657222"/>
    <w:rsid w:val="006578BE"/>
    <w:rsid w:val="00657AE5"/>
    <w:rsid w:val="00657B8B"/>
    <w:rsid w:val="006602ED"/>
    <w:rsid w:val="0066041A"/>
    <w:rsid w:val="00660876"/>
    <w:rsid w:val="006608D5"/>
    <w:rsid w:val="006608EA"/>
    <w:rsid w:val="00660965"/>
    <w:rsid w:val="0066106F"/>
    <w:rsid w:val="00661330"/>
    <w:rsid w:val="006614B2"/>
    <w:rsid w:val="006615B9"/>
    <w:rsid w:val="00661887"/>
    <w:rsid w:val="00661B12"/>
    <w:rsid w:val="00661CF2"/>
    <w:rsid w:val="00661FF3"/>
    <w:rsid w:val="00662075"/>
    <w:rsid w:val="00662EF3"/>
    <w:rsid w:val="00663A07"/>
    <w:rsid w:val="00663AFB"/>
    <w:rsid w:val="00663BC9"/>
    <w:rsid w:val="00663BD9"/>
    <w:rsid w:val="00663C83"/>
    <w:rsid w:val="0066409E"/>
    <w:rsid w:val="006641C4"/>
    <w:rsid w:val="006647A3"/>
    <w:rsid w:val="006647DA"/>
    <w:rsid w:val="006647F5"/>
    <w:rsid w:val="006648A4"/>
    <w:rsid w:val="0066493C"/>
    <w:rsid w:val="00664AB6"/>
    <w:rsid w:val="00664B08"/>
    <w:rsid w:val="00664BDA"/>
    <w:rsid w:val="00665300"/>
    <w:rsid w:val="006653A1"/>
    <w:rsid w:val="00665A6D"/>
    <w:rsid w:val="00665A7F"/>
    <w:rsid w:val="00665F68"/>
    <w:rsid w:val="00666401"/>
    <w:rsid w:val="006665CB"/>
    <w:rsid w:val="006669F0"/>
    <w:rsid w:val="00666E3C"/>
    <w:rsid w:val="00666F46"/>
    <w:rsid w:val="00667A83"/>
    <w:rsid w:val="00667BE1"/>
    <w:rsid w:val="00670239"/>
    <w:rsid w:val="0067038C"/>
    <w:rsid w:val="00670471"/>
    <w:rsid w:val="00670938"/>
    <w:rsid w:val="00670AC6"/>
    <w:rsid w:val="00670C14"/>
    <w:rsid w:val="00670E34"/>
    <w:rsid w:val="0067103B"/>
    <w:rsid w:val="0067112B"/>
    <w:rsid w:val="006713EF"/>
    <w:rsid w:val="0067187A"/>
    <w:rsid w:val="00671D08"/>
    <w:rsid w:val="006720A6"/>
    <w:rsid w:val="00672694"/>
    <w:rsid w:val="006726C2"/>
    <w:rsid w:val="006726D3"/>
    <w:rsid w:val="00672717"/>
    <w:rsid w:val="00672773"/>
    <w:rsid w:val="006728AB"/>
    <w:rsid w:val="006728C6"/>
    <w:rsid w:val="00672A00"/>
    <w:rsid w:val="00672CD7"/>
    <w:rsid w:val="00672D90"/>
    <w:rsid w:val="006730B6"/>
    <w:rsid w:val="00673740"/>
    <w:rsid w:val="00673903"/>
    <w:rsid w:val="00673D4D"/>
    <w:rsid w:val="006745B6"/>
    <w:rsid w:val="006749AE"/>
    <w:rsid w:val="006749C2"/>
    <w:rsid w:val="00674AB8"/>
    <w:rsid w:val="00674CBD"/>
    <w:rsid w:val="00674D46"/>
    <w:rsid w:val="00675433"/>
    <w:rsid w:val="00675499"/>
    <w:rsid w:val="00675503"/>
    <w:rsid w:val="006756B8"/>
    <w:rsid w:val="006759AD"/>
    <w:rsid w:val="00675C31"/>
    <w:rsid w:val="00675FF7"/>
    <w:rsid w:val="006760CE"/>
    <w:rsid w:val="00676AEA"/>
    <w:rsid w:val="0067709C"/>
    <w:rsid w:val="0067710D"/>
    <w:rsid w:val="00677193"/>
    <w:rsid w:val="00677322"/>
    <w:rsid w:val="00677359"/>
    <w:rsid w:val="006776BC"/>
    <w:rsid w:val="00677980"/>
    <w:rsid w:val="00677AE8"/>
    <w:rsid w:val="00677AEB"/>
    <w:rsid w:val="00677C5A"/>
    <w:rsid w:val="00677CA2"/>
    <w:rsid w:val="00677E3F"/>
    <w:rsid w:val="00680229"/>
    <w:rsid w:val="00680361"/>
    <w:rsid w:val="00680485"/>
    <w:rsid w:val="00680AC7"/>
    <w:rsid w:val="00680EB8"/>
    <w:rsid w:val="00681296"/>
    <w:rsid w:val="0068201B"/>
    <w:rsid w:val="00682B69"/>
    <w:rsid w:val="00683017"/>
    <w:rsid w:val="0068309A"/>
    <w:rsid w:val="0068315C"/>
    <w:rsid w:val="006833D0"/>
    <w:rsid w:val="006836EE"/>
    <w:rsid w:val="00683E9B"/>
    <w:rsid w:val="00683FC9"/>
    <w:rsid w:val="0068403B"/>
    <w:rsid w:val="0068420A"/>
    <w:rsid w:val="00684355"/>
    <w:rsid w:val="0068449C"/>
    <w:rsid w:val="00684529"/>
    <w:rsid w:val="0068468B"/>
    <w:rsid w:val="006847FB"/>
    <w:rsid w:val="00684B50"/>
    <w:rsid w:val="00684E49"/>
    <w:rsid w:val="006852D5"/>
    <w:rsid w:val="00685D22"/>
    <w:rsid w:val="00685DD1"/>
    <w:rsid w:val="00685FD1"/>
    <w:rsid w:val="00686125"/>
    <w:rsid w:val="00686220"/>
    <w:rsid w:val="00686A4D"/>
    <w:rsid w:val="00687743"/>
    <w:rsid w:val="00687902"/>
    <w:rsid w:val="00687CCA"/>
    <w:rsid w:val="00687FEE"/>
    <w:rsid w:val="00690006"/>
    <w:rsid w:val="006901E8"/>
    <w:rsid w:val="006902B7"/>
    <w:rsid w:val="00690371"/>
    <w:rsid w:val="00690445"/>
    <w:rsid w:val="00690826"/>
    <w:rsid w:val="00690B7D"/>
    <w:rsid w:val="00690DA7"/>
    <w:rsid w:val="00690E7D"/>
    <w:rsid w:val="006911E0"/>
    <w:rsid w:val="006911E4"/>
    <w:rsid w:val="0069163B"/>
    <w:rsid w:val="00691A92"/>
    <w:rsid w:val="00691C11"/>
    <w:rsid w:val="00691CF1"/>
    <w:rsid w:val="00691DCA"/>
    <w:rsid w:val="00692553"/>
    <w:rsid w:val="006925C4"/>
    <w:rsid w:val="006928D0"/>
    <w:rsid w:val="00692BD2"/>
    <w:rsid w:val="00693F06"/>
    <w:rsid w:val="006940C6"/>
    <w:rsid w:val="006946A9"/>
    <w:rsid w:val="00694755"/>
    <w:rsid w:val="00694C5D"/>
    <w:rsid w:val="00694C91"/>
    <w:rsid w:val="00695075"/>
    <w:rsid w:val="006956CD"/>
    <w:rsid w:val="00695B8B"/>
    <w:rsid w:val="00695DA2"/>
    <w:rsid w:val="00695E10"/>
    <w:rsid w:val="00695EED"/>
    <w:rsid w:val="006960D0"/>
    <w:rsid w:val="006969CB"/>
    <w:rsid w:val="00696F90"/>
    <w:rsid w:val="00697018"/>
    <w:rsid w:val="0069749D"/>
    <w:rsid w:val="006976C7"/>
    <w:rsid w:val="0069783E"/>
    <w:rsid w:val="006A0055"/>
    <w:rsid w:val="006A0292"/>
    <w:rsid w:val="006A0411"/>
    <w:rsid w:val="006A0780"/>
    <w:rsid w:val="006A0CD3"/>
    <w:rsid w:val="006A0EEA"/>
    <w:rsid w:val="006A0EF2"/>
    <w:rsid w:val="006A1420"/>
    <w:rsid w:val="006A173A"/>
    <w:rsid w:val="006A17CD"/>
    <w:rsid w:val="006A1C2D"/>
    <w:rsid w:val="006A1DED"/>
    <w:rsid w:val="006A21D1"/>
    <w:rsid w:val="006A2399"/>
    <w:rsid w:val="006A29AD"/>
    <w:rsid w:val="006A29BD"/>
    <w:rsid w:val="006A2A61"/>
    <w:rsid w:val="006A2D11"/>
    <w:rsid w:val="006A305A"/>
    <w:rsid w:val="006A32D5"/>
    <w:rsid w:val="006A3536"/>
    <w:rsid w:val="006A3996"/>
    <w:rsid w:val="006A442C"/>
    <w:rsid w:val="006A46B3"/>
    <w:rsid w:val="006A4803"/>
    <w:rsid w:val="006A4838"/>
    <w:rsid w:val="006A4A04"/>
    <w:rsid w:val="006A4C42"/>
    <w:rsid w:val="006A59C0"/>
    <w:rsid w:val="006A5C66"/>
    <w:rsid w:val="006A5D92"/>
    <w:rsid w:val="006A5DA1"/>
    <w:rsid w:val="006A66A0"/>
    <w:rsid w:val="006A6961"/>
    <w:rsid w:val="006A6EB3"/>
    <w:rsid w:val="006A6F12"/>
    <w:rsid w:val="006A718D"/>
    <w:rsid w:val="006A731D"/>
    <w:rsid w:val="006A734D"/>
    <w:rsid w:val="006A78A8"/>
    <w:rsid w:val="006A78AF"/>
    <w:rsid w:val="006A7BCB"/>
    <w:rsid w:val="006A7EE3"/>
    <w:rsid w:val="006A7F76"/>
    <w:rsid w:val="006B050B"/>
    <w:rsid w:val="006B05F8"/>
    <w:rsid w:val="006B0EE3"/>
    <w:rsid w:val="006B11C1"/>
    <w:rsid w:val="006B17F5"/>
    <w:rsid w:val="006B1860"/>
    <w:rsid w:val="006B1CCB"/>
    <w:rsid w:val="006B20CB"/>
    <w:rsid w:val="006B217A"/>
    <w:rsid w:val="006B26D9"/>
    <w:rsid w:val="006B2AAE"/>
    <w:rsid w:val="006B344A"/>
    <w:rsid w:val="006B3802"/>
    <w:rsid w:val="006B3BDD"/>
    <w:rsid w:val="006B3FED"/>
    <w:rsid w:val="006B4027"/>
    <w:rsid w:val="006B41E5"/>
    <w:rsid w:val="006B43A2"/>
    <w:rsid w:val="006B44C4"/>
    <w:rsid w:val="006B47EE"/>
    <w:rsid w:val="006B4927"/>
    <w:rsid w:val="006B4B0D"/>
    <w:rsid w:val="006B4E97"/>
    <w:rsid w:val="006B506B"/>
    <w:rsid w:val="006B544B"/>
    <w:rsid w:val="006B588F"/>
    <w:rsid w:val="006B5918"/>
    <w:rsid w:val="006B67A7"/>
    <w:rsid w:val="006B6BD8"/>
    <w:rsid w:val="006B6DF2"/>
    <w:rsid w:val="006B79A6"/>
    <w:rsid w:val="006B7AEC"/>
    <w:rsid w:val="006B7BB4"/>
    <w:rsid w:val="006C016C"/>
    <w:rsid w:val="006C028F"/>
    <w:rsid w:val="006C08CE"/>
    <w:rsid w:val="006C0AAE"/>
    <w:rsid w:val="006C0C2D"/>
    <w:rsid w:val="006C0CFD"/>
    <w:rsid w:val="006C0D70"/>
    <w:rsid w:val="006C1090"/>
    <w:rsid w:val="006C1174"/>
    <w:rsid w:val="006C129B"/>
    <w:rsid w:val="006C18B6"/>
    <w:rsid w:val="006C1C3F"/>
    <w:rsid w:val="006C1E5C"/>
    <w:rsid w:val="006C1F7E"/>
    <w:rsid w:val="006C20CE"/>
    <w:rsid w:val="006C2141"/>
    <w:rsid w:val="006C225C"/>
    <w:rsid w:val="006C2479"/>
    <w:rsid w:val="006C284E"/>
    <w:rsid w:val="006C3013"/>
    <w:rsid w:val="006C3497"/>
    <w:rsid w:val="006C39A0"/>
    <w:rsid w:val="006C3A33"/>
    <w:rsid w:val="006C3DBF"/>
    <w:rsid w:val="006C4074"/>
    <w:rsid w:val="006C479C"/>
    <w:rsid w:val="006C4D08"/>
    <w:rsid w:val="006C4F8F"/>
    <w:rsid w:val="006C58A3"/>
    <w:rsid w:val="006C58F1"/>
    <w:rsid w:val="006C5E4A"/>
    <w:rsid w:val="006C6206"/>
    <w:rsid w:val="006C68B0"/>
    <w:rsid w:val="006C692D"/>
    <w:rsid w:val="006C6C52"/>
    <w:rsid w:val="006C6CB4"/>
    <w:rsid w:val="006C6D2F"/>
    <w:rsid w:val="006C6FD8"/>
    <w:rsid w:val="006C710C"/>
    <w:rsid w:val="006C75E6"/>
    <w:rsid w:val="006C78A8"/>
    <w:rsid w:val="006C7D40"/>
    <w:rsid w:val="006C7FA3"/>
    <w:rsid w:val="006C7FD2"/>
    <w:rsid w:val="006D0031"/>
    <w:rsid w:val="006D0761"/>
    <w:rsid w:val="006D08A0"/>
    <w:rsid w:val="006D0953"/>
    <w:rsid w:val="006D0D0F"/>
    <w:rsid w:val="006D12D9"/>
    <w:rsid w:val="006D192F"/>
    <w:rsid w:val="006D19A3"/>
    <w:rsid w:val="006D22E8"/>
    <w:rsid w:val="006D2363"/>
    <w:rsid w:val="006D258B"/>
    <w:rsid w:val="006D2940"/>
    <w:rsid w:val="006D2AA1"/>
    <w:rsid w:val="006D2AF6"/>
    <w:rsid w:val="006D2C96"/>
    <w:rsid w:val="006D2D6D"/>
    <w:rsid w:val="006D2DE3"/>
    <w:rsid w:val="006D2F15"/>
    <w:rsid w:val="006D3129"/>
    <w:rsid w:val="006D3188"/>
    <w:rsid w:val="006D3D3A"/>
    <w:rsid w:val="006D3FCE"/>
    <w:rsid w:val="006D3FD6"/>
    <w:rsid w:val="006D4523"/>
    <w:rsid w:val="006D4900"/>
    <w:rsid w:val="006D4CEA"/>
    <w:rsid w:val="006D50EF"/>
    <w:rsid w:val="006D5106"/>
    <w:rsid w:val="006D520A"/>
    <w:rsid w:val="006D6651"/>
    <w:rsid w:val="006D699B"/>
    <w:rsid w:val="006D6EF5"/>
    <w:rsid w:val="006D6F98"/>
    <w:rsid w:val="006D7107"/>
    <w:rsid w:val="006D74AD"/>
    <w:rsid w:val="006D756C"/>
    <w:rsid w:val="006D76E2"/>
    <w:rsid w:val="006D76EA"/>
    <w:rsid w:val="006D7B01"/>
    <w:rsid w:val="006D7B79"/>
    <w:rsid w:val="006D7CC4"/>
    <w:rsid w:val="006E0016"/>
    <w:rsid w:val="006E016C"/>
    <w:rsid w:val="006E0579"/>
    <w:rsid w:val="006E0ADD"/>
    <w:rsid w:val="006E0FA9"/>
    <w:rsid w:val="006E1052"/>
    <w:rsid w:val="006E1184"/>
    <w:rsid w:val="006E11B4"/>
    <w:rsid w:val="006E14AE"/>
    <w:rsid w:val="006E160A"/>
    <w:rsid w:val="006E1904"/>
    <w:rsid w:val="006E19D3"/>
    <w:rsid w:val="006E2230"/>
    <w:rsid w:val="006E2563"/>
    <w:rsid w:val="006E2B9E"/>
    <w:rsid w:val="006E3090"/>
    <w:rsid w:val="006E3374"/>
    <w:rsid w:val="006E34AE"/>
    <w:rsid w:val="006E3AB5"/>
    <w:rsid w:val="006E3BD7"/>
    <w:rsid w:val="006E4351"/>
    <w:rsid w:val="006E498F"/>
    <w:rsid w:val="006E4A66"/>
    <w:rsid w:val="006E4DAA"/>
    <w:rsid w:val="006E505D"/>
    <w:rsid w:val="006E51D6"/>
    <w:rsid w:val="006E5250"/>
    <w:rsid w:val="006E52D7"/>
    <w:rsid w:val="006E5323"/>
    <w:rsid w:val="006E54DA"/>
    <w:rsid w:val="006E5685"/>
    <w:rsid w:val="006E5839"/>
    <w:rsid w:val="006E59AA"/>
    <w:rsid w:val="006E59C2"/>
    <w:rsid w:val="006E5A18"/>
    <w:rsid w:val="006E5AEF"/>
    <w:rsid w:val="006E60E4"/>
    <w:rsid w:val="006E641A"/>
    <w:rsid w:val="006E6480"/>
    <w:rsid w:val="006E682F"/>
    <w:rsid w:val="006E6D28"/>
    <w:rsid w:val="006E7981"/>
    <w:rsid w:val="006F021C"/>
    <w:rsid w:val="006F0739"/>
    <w:rsid w:val="006F0950"/>
    <w:rsid w:val="006F0AD6"/>
    <w:rsid w:val="006F0AE7"/>
    <w:rsid w:val="006F14F7"/>
    <w:rsid w:val="006F157F"/>
    <w:rsid w:val="006F1637"/>
    <w:rsid w:val="006F17B0"/>
    <w:rsid w:val="006F1C8A"/>
    <w:rsid w:val="006F1CD6"/>
    <w:rsid w:val="006F212E"/>
    <w:rsid w:val="006F272C"/>
    <w:rsid w:val="006F299F"/>
    <w:rsid w:val="006F2D2C"/>
    <w:rsid w:val="006F2F4D"/>
    <w:rsid w:val="006F321F"/>
    <w:rsid w:val="006F3400"/>
    <w:rsid w:val="006F35A2"/>
    <w:rsid w:val="006F3692"/>
    <w:rsid w:val="006F3BD4"/>
    <w:rsid w:val="006F4182"/>
    <w:rsid w:val="006F4225"/>
    <w:rsid w:val="006F4383"/>
    <w:rsid w:val="006F4C54"/>
    <w:rsid w:val="006F4F94"/>
    <w:rsid w:val="006F5721"/>
    <w:rsid w:val="006F5A71"/>
    <w:rsid w:val="006F5B90"/>
    <w:rsid w:val="006F5D97"/>
    <w:rsid w:val="006F5F61"/>
    <w:rsid w:val="006F62BD"/>
    <w:rsid w:val="006F642D"/>
    <w:rsid w:val="006F67CD"/>
    <w:rsid w:val="006F6873"/>
    <w:rsid w:val="006F68D8"/>
    <w:rsid w:val="006F6EBF"/>
    <w:rsid w:val="006F7A26"/>
    <w:rsid w:val="006F7A51"/>
    <w:rsid w:val="006F7BFD"/>
    <w:rsid w:val="006F7FED"/>
    <w:rsid w:val="00700134"/>
    <w:rsid w:val="007002EA"/>
    <w:rsid w:val="007004BE"/>
    <w:rsid w:val="00700579"/>
    <w:rsid w:val="0070081C"/>
    <w:rsid w:val="00700A35"/>
    <w:rsid w:val="00700CAE"/>
    <w:rsid w:val="00700E3D"/>
    <w:rsid w:val="00700E91"/>
    <w:rsid w:val="0070108A"/>
    <w:rsid w:val="007011B9"/>
    <w:rsid w:val="00701228"/>
    <w:rsid w:val="00701856"/>
    <w:rsid w:val="00701F9B"/>
    <w:rsid w:val="00702DC1"/>
    <w:rsid w:val="00702E33"/>
    <w:rsid w:val="007031DB"/>
    <w:rsid w:val="00703609"/>
    <w:rsid w:val="00703630"/>
    <w:rsid w:val="0070387B"/>
    <w:rsid w:val="00703EE6"/>
    <w:rsid w:val="007040C6"/>
    <w:rsid w:val="0070417E"/>
    <w:rsid w:val="0070434E"/>
    <w:rsid w:val="00704884"/>
    <w:rsid w:val="007048BB"/>
    <w:rsid w:val="00704944"/>
    <w:rsid w:val="007049D7"/>
    <w:rsid w:val="00704DB4"/>
    <w:rsid w:val="00705783"/>
    <w:rsid w:val="0070596B"/>
    <w:rsid w:val="00705DAA"/>
    <w:rsid w:val="007061A4"/>
    <w:rsid w:val="007061D5"/>
    <w:rsid w:val="00706D81"/>
    <w:rsid w:val="00706E3A"/>
    <w:rsid w:val="007071E1"/>
    <w:rsid w:val="00707565"/>
    <w:rsid w:val="0070794C"/>
    <w:rsid w:val="00707AA3"/>
    <w:rsid w:val="00707B91"/>
    <w:rsid w:val="00707E1F"/>
    <w:rsid w:val="00707E80"/>
    <w:rsid w:val="00710B91"/>
    <w:rsid w:val="00710D06"/>
    <w:rsid w:val="007113FD"/>
    <w:rsid w:val="007115BC"/>
    <w:rsid w:val="007118A5"/>
    <w:rsid w:val="007118E5"/>
    <w:rsid w:val="00711A97"/>
    <w:rsid w:val="00711A9F"/>
    <w:rsid w:val="00711BD7"/>
    <w:rsid w:val="00711C2A"/>
    <w:rsid w:val="00711C52"/>
    <w:rsid w:val="00711D1B"/>
    <w:rsid w:val="00711D52"/>
    <w:rsid w:val="0071263F"/>
    <w:rsid w:val="00712919"/>
    <w:rsid w:val="00713297"/>
    <w:rsid w:val="007132A6"/>
    <w:rsid w:val="007132DF"/>
    <w:rsid w:val="00713440"/>
    <w:rsid w:val="00713D2F"/>
    <w:rsid w:val="00714147"/>
    <w:rsid w:val="007142D0"/>
    <w:rsid w:val="0071440A"/>
    <w:rsid w:val="00714676"/>
    <w:rsid w:val="00714785"/>
    <w:rsid w:val="00714865"/>
    <w:rsid w:val="00714D83"/>
    <w:rsid w:val="00714F1F"/>
    <w:rsid w:val="007153BC"/>
    <w:rsid w:val="007154E3"/>
    <w:rsid w:val="00715C30"/>
    <w:rsid w:val="007167A9"/>
    <w:rsid w:val="00716B2A"/>
    <w:rsid w:val="00716E18"/>
    <w:rsid w:val="00716FA5"/>
    <w:rsid w:val="00717036"/>
    <w:rsid w:val="0071726F"/>
    <w:rsid w:val="00717419"/>
    <w:rsid w:val="007176EC"/>
    <w:rsid w:val="0071778F"/>
    <w:rsid w:val="00717D0B"/>
    <w:rsid w:val="00717FCF"/>
    <w:rsid w:val="0072019D"/>
    <w:rsid w:val="007203FA"/>
    <w:rsid w:val="0072052A"/>
    <w:rsid w:val="00720715"/>
    <w:rsid w:val="007209E4"/>
    <w:rsid w:val="00720C33"/>
    <w:rsid w:val="00720C85"/>
    <w:rsid w:val="00720D95"/>
    <w:rsid w:val="00720DB4"/>
    <w:rsid w:val="00720E8C"/>
    <w:rsid w:val="007211B8"/>
    <w:rsid w:val="0072123D"/>
    <w:rsid w:val="00721455"/>
    <w:rsid w:val="007214F4"/>
    <w:rsid w:val="007216C7"/>
    <w:rsid w:val="00721AC6"/>
    <w:rsid w:val="00721E07"/>
    <w:rsid w:val="007221D7"/>
    <w:rsid w:val="0072243D"/>
    <w:rsid w:val="00722478"/>
    <w:rsid w:val="00722F30"/>
    <w:rsid w:val="007230B1"/>
    <w:rsid w:val="0072313D"/>
    <w:rsid w:val="0072321F"/>
    <w:rsid w:val="00723277"/>
    <w:rsid w:val="00723303"/>
    <w:rsid w:val="007237B1"/>
    <w:rsid w:val="00723A80"/>
    <w:rsid w:val="00723C92"/>
    <w:rsid w:val="00723CAE"/>
    <w:rsid w:val="00723DC0"/>
    <w:rsid w:val="00724185"/>
    <w:rsid w:val="0072491D"/>
    <w:rsid w:val="00724AE9"/>
    <w:rsid w:val="00724BC4"/>
    <w:rsid w:val="00724EB9"/>
    <w:rsid w:val="00725C29"/>
    <w:rsid w:val="00725C57"/>
    <w:rsid w:val="00725E73"/>
    <w:rsid w:val="0072635C"/>
    <w:rsid w:val="00726389"/>
    <w:rsid w:val="0072672A"/>
    <w:rsid w:val="00726A0A"/>
    <w:rsid w:val="00726B34"/>
    <w:rsid w:val="00726EE0"/>
    <w:rsid w:val="0072734B"/>
    <w:rsid w:val="00727420"/>
    <w:rsid w:val="00727A26"/>
    <w:rsid w:val="00727AFF"/>
    <w:rsid w:val="00727B50"/>
    <w:rsid w:val="00727F76"/>
    <w:rsid w:val="00730246"/>
    <w:rsid w:val="0073065A"/>
    <w:rsid w:val="00730692"/>
    <w:rsid w:val="007307FE"/>
    <w:rsid w:val="00730A87"/>
    <w:rsid w:val="00730DB4"/>
    <w:rsid w:val="00730F19"/>
    <w:rsid w:val="00730F23"/>
    <w:rsid w:val="00731316"/>
    <w:rsid w:val="00731371"/>
    <w:rsid w:val="007317D0"/>
    <w:rsid w:val="007318AD"/>
    <w:rsid w:val="0073199E"/>
    <w:rsid w:val="007320D7"/>
    <w:rsid w:val="007325F2"/>
    <w:rsid w:val="0073266A"/>
    <w:rsid w:val="00732F8A"/>
    <w:rsid w:val="00732FB5"/>
    <w:rsid w:val="0073309F"/>
    <w:rsid w:val="00733467"/>
    <w:rsid w:val="0073349A"/>
    <w:rsid w:val="0073383B"/>
    <w:rsid w:val="0073398C"/>
    <w:rsid w:val="00734513"/>
    <w:rsid w:val="0073467A"/>
    <w:rsid w:val="007349A7"/>
    <w:rsid w:val="00734AFC"/>
    <w:rsid w:val="00734E69"/>
    <w:rsid w:val="00734F58"/>
    <w:rsid w:val="00734F9C"/>
    <w:rsid w:val="0073591E"/>
    <w:rsid w:val="00735BA6"/>
    <w:rsid w:val="00736941"/>
    <w:rsid w:val="0073696D"/>
    <w:rsid w:val="00736E06"/>
    <w:rsid w:val="007373BE"/>
    <w:rsid w:val="0073770C"/>
    <w:rsid w:val="00737931"/>
    <w:rsid w:val="00737C39"/>
    <w:rsid w:val="00740356"/>
    <w:rsid w:val="00740555"/>
    <w:rsid w:val="00740694"/>
    <w:rsid w:val="00740771"/>
    <w:rsid w:val="007409AF"/>
    <w:rsid w:val="007409FC"/>
    <w:rsid w:val="00740A1A"/>
    <w:rsid w:val="00740AC4"/>
    <w:rsid w:val="00740B46"/>
    <w:rsid w:val="00740BF8"/>
    <w:rsid w:val="00740BFA"/>
    <w:rsid w:val="00740CD0"/>
    <w:rsid w:val="00740F41"/>
    <w:rsid w:val="00740F64"/>
    <w:rsid w:val="007411D8"/>
    <w:rsid w:val="00741328"/>
    <w:rsid w:val="00741FC9"/>
    <w:rsid w:val="0074207B"/>
    <w:rsid w:val="00742608"/>
    <w:rsid w:val="00742620"/>
    <w:rsid w:val="0074316A"/>
    <w:rsid w:val="0074346B"/>
    <w:rsid w:val="0074358E"/>
    <w:rsid w:val="00743970"/>
    <w:rsid w:val="00743B82"/>
    <w:rsid w:val="007442BC"/>
    <w:rsid w:val="007445EE"/>
    <w:rsid w:val="007447B6"/>
    <w:rsid w:val="00744F4C"/>
    <w:rsid w:val="00745167"/>
    <w:rsid w:val="00745379"/>
    <w:rsid w:val="0074566B"/>
    <w:rsid w:val="007464D9"/>
    <w:rsid w:val="007465CC"/>
    <w:rsid w:val="0074696A"/>
    <w:rsid w:val="00746BA9"/>
    <w:rsid w:val="00746BCD"/>
    <w:rsid w:val="00746F45"/>
    <w:rsid w:val="00747069"/>
    <w:rsid w:val="007471A1"/>
    <w:rsid w:val="007471CC"/>
    <w:rsid w:val="0074725E"/>
    <w:rsid w:val="007476B0"/>
    <w:rsid w:val="00747D82"/>
    <w:rsid w:val="00747ECE"/>
    <w:rsid w:val="00750192"/>
    <w:rsid w:val="007504D5"/>
    <w:rsid w:val="00750639"/>
    <w:rsid w:val="00750732"/>
    <w:rsid w:val="00750815"/>
    <w:rsid w:val="00750B7D"/>
    <w:rsid w:val="00750C68"/>
    <w:rsid w:val="00751B1F"/>
    <w:rsid w:val="00751B40"/>
    <w:rsid w:val="00751B8D"/>
    <w:rsid w:val="00751C32"/>
    <w:rsid w:val="00751DC8"/>
    <w:rsid w:val="007521D3"/>
    <w:rsid w:val="007524ED"/>
    <w:rsid w:val="00752986"/>
    <w:rsid w:val="00753298"/>
    <w:rsid w:val="007533F8"/>
    <w:rsid w:val="00753508"/>
    <w:rsid w:val="007538E8"/>
    <w:rsid w:val="00753B9B"/>
    <w:rsid w:val="00753C6A"/>
    <w:rsid w:val="00754132"/>
    <w:rsid w:val="00754401"/>
    <w:rsid w:val="007544FF"/>
    <w:rsid w:val="00754FBF"/>
    <w:rsid w:val="0075507C"/>
    <w:rsid w:val="0075517C"/>
    <w:rsid w:val="00755197"/>
    <w:rsid w:val="00755365"/>
    <w:rsid w:val="0075544B"/>
    <w:rsid w:val="00755821"/>
    <w:rsid w:val="00755CDE"/>
    <w:rsid w:val="00756165"/>
    <w:rsid w:val="00756660"/>
    <w:rsid w:val="00756AFC"/>
    <w:rsid w:val="00756B27"/>
    <w:rsid w:val="007573E8"/>
    <w:rsid w:val="00757781"/>
    <w:rsid w:val="00757B08"/>
    <w:rsid w:val="007600C6"/>
    <w:rsid w:val="00760615"/>
    <w:rsid w:val="00760AD9"/>
    <w:rsid w:val="00760D24"/>
    <w:rsid w:val="007614DC"/>
    <w:rsid w:val="00761541"/>
    <w:rsid w:val="007615EE"/>
    <w:rsid w:val="00761EB8"/>
    <w:rsid w:val="007623E7"/>
    <w:rsid w:val="0076272A"/>
    <w:rsid w:val="007629A4"/>
    <w:rsid w:val="00762CBB"/>
    <w:rsid w:val="00762E1B"/>
    <w:rsid w:val="0076302F"/>
    <w:rsid w:val="007632D3"/>
    <w:rsid w:val="00763F7C"/>
    <w:rsid w:val="0076423D"/>
    <w:rsid w:val="00764540"/>
    <w:rsid w:val="00764A6D"/>
    <w:rsid w:val="0076530E"/>
    <w:rsid w:val="00765354"/>
    <w:rsid w:val="007653D2"/>
    <w:rsid w:val="007655AF"/>
    <w:rsid w:val="0076560C"/>
    <w:rsid w:val="00765846"/>
    <w:rsid w:val="00766377"/>
    <w:rsid w:val="00766506"/>
    <w:rsid w:val="00766514"/>
    <w:rsid w:val="00766746"/>
    <w:rsid w:val="0076677C"/>
    <w:rsid w:val="00766959"/>
    <w:rsid w:val="00766AD4"/>
    <w:rsid w:val="00766BF8"/>
    <w:rsid w:val="007677AA"/>
    <w:rsid w:val="0076782D"/>
    <w:rsid w:val="007679D7"/>
    <w:rsid w:val="00770799"/>
    <w:rsid w:val="00770A3C"/>
    <w:rsid w:val="00770F4B"/>
    <w:rsid w:val="007710B8"/>
    <w:rsid w:val="00771702"/>
    <w:rsid w:val="0077174D"/>
    <w:rsid w:val="007719D3"/>
    <w:rsid w:val="00771C4F"/>
    <w:rsid w:val="00771D79"/>
    <w:rsid w:val="00771D98"/>
    <w:rsid w:val="00771DF4"/>
    <w:rsid w:val="007721BA"/>
    <w:rsid w:val="00772223"/>
    <w:rsid w:val="00772582"/>
    <w:rsid w:val="00772597"/>
    <w:rsid w:val="00772667"/>
    <w:rsid w:val="00772AE8"/>
    <w:rsid w:val="00772BBF"/>
    <w:rsid w:val="00772C48"/>
    <w:rsid w:val="00772E2C"/>
    <w:rsid w:val="00772FCA"/>
    <w:rsid w:val="00773056"/>
    <w:rsid w:val="0077309D"/>
    <w:rsid w:val="00773143"/>
    <w:rsid w:val="00773527"/>
    <w:rsid w:val="007736DE"/>
    <w:rsid w:val="00773DA1"/>
    <w:rsid w:val="0077424E"/>
    <w:rsid w:val="00774291"/>
    <w:rsid w:val="00774469"/>
    <w:rsid w:val="00774696"/>
    <w:rsid w:val="00774CA4"/>
    <w:rsid w:val="0077504E"/>
    <w:rsid w:val="00775315"/>
    <w:rsid w:val="0077591C"/>
    <w:rsid w:val="0077597C"/>
    <w:rsid w:val="00775B14"/>
    <w:rsid w:val="00775BAB"/>
    <w:rsid w:val="00776377"/>
    <w:rsid w:val="0077656E"/>
    <w:rsid w:val="00776827"/>
    <w:rsid w:val="00776E65"/>
    <w:rsid w:val="00777055"/>
    <w:rsid w:val="0077774F"/>
    <w:rsid w:val="007777E0"/>
    <w:rsid w:val="00777A33"/>
    <w:rsid w:val="00777D91"/>
    <w:rsid w:val="00780283"/>
    <w:rsid w:val="00780C4C"/>
    <w:rsid w:val="00780D58"/>
    <w:rsid w:val="00780E33"/>
    <w:rsid w:val="00780FFE"/>
    <w:rsid w:val="007810F2"/>
    <w:rsid w:val="00781553"/>
    <w:rsid w:val="007815F8"/>
    <w:rsid w:val="007817D4"/>
    <w:rsid w:val="00781EBD"/>
    <w:rsid w:val="007824BA"/>
    <w:rsid w:val="007829E5"/>
    <w:rsid w:val="00783285"/>
    <w:rsid w:val="007832FC"/>
    <w:rsid w:val="0078346A"/>
    <w:rsid w:val="0078368A"/>
    <w:rsid w:val="00783AF2"/>
    <w:rsid w:val="00783CC6"/>
    <w:rsid w:val="00784321"/>
    <w:rsid w:val="0078445D"/>
    <w:rsid w:val="007845A4"/>
    <w:rsid w:val="0078469D"/>
    <w:rsid w:val="00784748"/>
    <w:rsid w:val="00784A10"/>
    <w:rsid w:val="00784E39"/>
    <w:rsid w:val="007853F7"/>
    <w:rsid w:val="00785666"/>
    <w:rsid w:val="00785960"/>
    <w:rsid w:val="00786024"/>
    <w:rsid w:val="00786354"/>
    <w:rsid w:val="007867F1"/>
    <w:rsid w:val="00786BD4"/>
    <w:rsid w:val="00786D1F"/>
    <w:rsid w:val="007872BD"/>
    <w:rsid w:val="00787EBA"/>
    <w:rsid w:val="0079004B"/>
    <w:rsid w:val="0079031C"/>
    <w:rsid w:val="0079047D"/>
    <w:rsid w:val="00790774"/>
    <w:rsid w:val="00790D0A"/>
    <w:rsid w:val="00790D83"/>
    <w:rsid w:val="00790E35"/>
    <w:rsid w:val="007910A1"/>
    <w:rsid w:val="00791DCC"/>
    <w:rsid w:val="007923A3"/>
    <w:rsid w:val="007926E2"/>
    <w:rsid w:val="00792C49"/>
    <w:rsid w:val="007931F0"/>
    <w:rsid w:val="00793294"/>
    <w:rsid w:val="0079332B"/>
    <w:rsid w:val="00793465"/>
    <w:rsid w:val="00793C27"/>
    <w:rsid w:val="00793DEF"/>
    <w:rsid w:val="00793F82"/>
    <w:rsid w:val="00793FDF"/>
    <w:rsid w:val="0079448C"/>
    <w:rsid w:val="007945DC"/>
    <w:rsid w:val="00794884"/>
    <w:rsid w:val="00794981"/>
    <w:rsid w:val="00794ECF"/>
    <w:rsid w:val="0079521A"/>
    <w:rsid w:val="00795683"/>
    <w:rsid w:val="00795A2D"/>
    <w:rsid w:val="00795A81"/>
    <w:rsid w:val="00795AFB"/>
    <w:rsid w:val="00795BE4"/>
    <w:rsid w:val="00795D88"/>
    <w:rsid w:val="007961BD"/>
    <w:rsid w:val="00796761"/>
    <w:rsid w:val="00796772"/>
    <w:rsid w:val="007967F5"/>
    <w:rsid w:val="00796977"/>
    <w:rsid w:val="00796D3E"/>
    <w:rsid w:val="00797144"/>
    <w:rsid w:val="00797342"/>
    <w:rsid w:val="007973D2"/>
    <w:rsid w:val="007973EB"/>
    <w:rsid w:val="00797AA5"/>
    <w:rsid w:val="00797FD5"/>
    <w:rsid w:val="007A0697"/>
    <w:rsid w:val="007A0F8E"/>
    <w:rsid w:val="007A103E"/>
    <w:rsid w:val="007A116C"/>
    <w:rsid w:val="007A13FE"/>
    <w:rsid w:val="007A1472"/>
    <w:rsid w:val="007A16E9"/>
    <w:rsid w:val="007A1BB5"/>
    <w:rsid w:val="007A1DFA"/>
    <w:rsid w:val="007A1F74"/>
    <w:rsid w:val="007A2106"/>
    <w:rsid w:val="007A23FB"/>
    <w:rsid w:val="007A2DE1"/>
    <w:rsid w:val="007A2E00"/>
    <w:rsid w:val="007A2E05"/>
    <w:rsid w:val="007A2FF8"/>
    <w:rsid w:val="007A34F2"/>
    <w:rsid w:val="007A36F4"/>
    <w:rsid w:val="007A3CB3"/>
    <w:rsid w:val="007A3FCB"/>
    <w:rsid w:val="007A4376"/>
    <w:rsid w:val="007A4544"/>
    <w:rsid w:val="007A46D6"/>
    <w:rsid w:val="007A4719"/>
    <w:rsid w:val="007A47E0"/>
    <w:rsid w:val="007A4AA6"/>
    <w:rsid w:val="007A4E23"/>
    <w:rsid w:val="007A4F69"/>
    <w:rsid w:val="007A54ED"/>
    <w:rsid w:val="007A57DE"/>
    <w:rsid w:val="007A59D2"/>
    <w:rsid w:val="007A5C71"/>
    <w:rsid w:val="007A6651"/>
    <w:rsid w:val="007A668D"/>
    <w:rsid w:val="007A6F87"/>
    <w:rsid w:val="007A701E"/>
    <w:rsid w:val="007A7082"/>
    <w:rsid w:val="007A7125"/>
    <w:rsid w:val="007A71AF"/>
    <w:rsid w:val="007A7836"/>
    <w:rsid w:val="007A7929"/>
    <w:rsid w:val="007A7E3A"/>
    <w:rsid w:val="007B0303"/>
    <w:rsid w:val="007B0389"/>
    <w:rsid w:val="007B03E2"/>
    <w:rsid w:val="007B0720"/>
    <w:rsid w:val="007B1273"/>
    <w:rsid w:val="007B1A37"/>
    <w:rsid w:val="007B1DC1"/>
    <w:rsid w:val="007B23FF"/>
    <w:rsid w:val="007B25A2"/>
    <w:rsid w:val="007B2635"/>
    <w:rsid w:val="007B2677"/>
    <w:rsid w:val="007B2FD8"/>
    <w:rsid w:val="007B342D"/>
    <w:rsid w:val="007B37E8"/>
    <w:rsid w:val="007B39C4"/>
    <w:rsid w:val="007B3E8B"/>
    <w:rsid w:val="007B3F28"/>
    <w:rsid w:val="007B3F33"/>
    <w:rsid w:val="007B43BF"/>
    <w:rsid w:val="007B43DD"/>
    <w:rsid w:val="007B44AA"/>
    <w:rsid w:val="007B4763"/>
    <w:rsid w:val="007B484E"/>
    <w:rsid w:val="007B48B0"/>
    <w:rsid w:val="007B4CC2"/>
    <w:rsid w:val="007B4EB1"/>
    <w:rsid w:val="007B4F23"/>
    <w:rsid w:val="007B50D7"/>
    <w:rsid w:val="007B5346"/>
    <w:rsid w:val="007B571D"/>
    <w:rsid w:val="007B58E9"/>
    <w:rsid w:val="007B5974"/>
    <w:rsid w:val="007B6118"/>
    <w:rsid w:val="007B6193"/>
    <w:rsid w:val="007B6790"/>
    <w:rsid w:val="007B68BB"/>
    <w:rsid w:val="007B6B7F"/>
    <w:rsid w:val="007B6D38"/>
    <w:rsid w:val="007B6D52"/>
    <w:rsid w:val="007B6D6A"/>
    <w:rsid w:val="007B7059"/>
    <w:rsid w:val="007B7079"/>
    <w:rsid w:val="007B75A2"/>
    <w:rsid w:val="007B75D4"/>
    <w:rsid w:val="007B7F28"/>
    <w:rsid w:val="007C00DC"/>
    <w:rsid w:val="007C0137"/>
    <w:rsid w:val="007C01C0"/>
    <w:rsid w:val="007C041E"/>
    <w:rsid w:val="007C083C"/>
    <w:rsid w:val="007C09C6"/>
    <w:rsid w:val="007C0B4F"/>
    <w:rsid w:val="007C0FC2"/>
    <w:rsid w:val="007C1015"/>
    <w:rsid w:val="007C12B4"/>
    <w:rsid w:val="007C1A08"/>
    <w:rsid w:val="007C255E"/>
    <w:rsid w:val="007C25EF"/>
    <w:rsid w:val="007C2797"/>
    <w:rsid w:val="007C315C"/>
    <w:rsid w:val="007C31C2"/>
    <w:rsid w:val="007C31F5"/>
    <w:rsid w:val="007C3237"/>
    <w:rsid w:val="007C32D7"/>
    <w:rsid w:val="007C33AA"/>
    <w:rsid w:val="007C3432"/>
    <w:rsid w:val="007C395C"/>
    <w:rsid w:val="007C3BAD"/>
    <w:rsid w:val="007C40D0"/>
    <w:rsid w:val="007C41AF"/>
    <w:rsid w:val="007C41BB"/>
    <w:rsid w:val="007C4C7B"/>
    <w:rsid w:val="007C51AE"/>
    <w:rsid w:val="007C53A0"/>
    <w:rsid w:val="007C5691"/>
    <w:rsid w:val="007C61B3"/>
    <w:rsid w:val="007C62D3"/>
    <w:rsid w:val="007C6423"/>
    <w:rsid w:val="007C6569"/>
    <w:rsid w:val="007C689B"/>
    <w:rsid w:val="007C6B65"/>
    <w:rsid w:val="007C6F93"/>
    <w:rsid w:val="007C7081"/>
    <w:rsid w:val="007D0096"/>
    <w:rsid w:val="007D0555"/>
    <w:rsid w:val="007D05FA"/>
    <w:rsid w:val="007D06C2"/>
    <w:rsid w:val="007D0980"/>
    <w:rsid w:val="007D0A0D"/>
    <w:rsid w:val="007D0B6C"/>
    <w:rsid w:val="007D0B7E"/>
    <w:rsid w:val="007D0CEE"/>
    <w:rsid w:val="007D0DB3"/>
    <w:rsid w:val="007D1183"/>
    <w:rsid w:val="007D1506"/>
    <w:rsid w:val="007D1571"/>
    <w:rsid w:val="007D161B"/>
    <w:rsid w:val="007D178B"/>
    <w:rsid w:val="007D1973"/>
    <w:rsid w:val="007D1F20"/>
    <w:rsid w:val="007D2919"/>
    <w:rsid w:val="007D2924"/>
    <w:rsid w:val="007D2971"/>
    <w:rsid w:val="007D29E5"/>
    <w:rsid w:val="007D2C18"/>
    <w:rsid w:val="007D30F1"/>
    <w:rsid w:val="007D3442"/>
    <w:rsid w:val="007D3893"/>
    <w:rsid w:val="007D43D5"/>
    <w:rsid w:val="007D444D"/>
    <w:rsid w:val="007D49D8"/>
    <w:rsid w:val="007D4F77"/>
    <w:rsid w:val="007D4F9F"/>
    <w:rsid w:val="007D51E0"/>
    <w:rsid w:val="007D5367"/>
    <w:rsid w:val="007D55B9"/>
    <w:rsid w:val="007D5786"/>
    <w:rsid w:val="007D5E4D"/>
    <w:rsid w:val="007D5ECC"/>
    <w:rsid w:val="007D5EE8"/>
    <w:rsid w:val="007D5F68"/>
    <w:rsid w:val="007D62F9"/>
    <w:rsid w:val="007D67D1"/>
    <w:rsid w:val="007D6EE0"/>
    <w:rsid w:val="007D6F33"/>
    <w:rsid w:val="007D703C"/>
    <w:rsid w:val="007D71EE"/>
    <w:rsid w:val="007D75D9"/>
    <w:rsid w:val="007D789D"/>
    <w:rsid w:val="007D7AFF"/>
    <w:rsid w:val="007D7B34"/>
    <w:rsid w:val="007D7DD0"/>
    <w:rsid w:val="007D7F8F"/>
    <w:rsid w:val="007D7F96"/>
    <w:rsid w:val="007E037F"/>
    <w:rsid w:val="007E05A5"/>
    <w:rsid w:val="007E05F1"/>
    <w:rsid w:val="007E06F8"/>
    <w:rsid w:val="007E07AC"/>
    <w:rsid w:val="007E0C2C"/>
    <w:rsid w:val="007E0ED6"/>
    <w:rsid w:val="007E1190"/>
    <w:rsid w:val="007E11FB"/>
    <w:rsid w:val="007E1732"/>
    <w:rsid w:val="007E1E59"/>
    <w:rsid w:val="007E21A3"/>
    <w:rsid w:val="007E26ED"/>
    <w:rsid w:val="007E2A01"/>
    <w:rsid w:val="007E2BCB"/>
    <w:rsid w:val="007E2C07"/>
    <w:rsid w:val="007E2F25"/>
    <w:rsid w:val="007E3924"/>
    <w:rsid w:val="007E3B10"/>
    <w:rsid w:val="007E3E7F"/>
    <w:rsid w:val="007E4340"/>
    <w:rsid w:val="007E479A"/>
    <w:rsid w:val="007E4903"/>
    <w:rsid w:val="007E4B7B"/>
    <w:rsid w:val="007E4D84"/>
    <w:rsid w:val="007E4DB1"/>
    <w:rsid w:val="007E5281"/>
    <w:rsid w:val="007E5427"/>
    <w:rsid w:val="007E5475"/>
    <w:rsid w:val="007E56C4"/>
    <w:rsid w:val="007E5A21"/>
    <w:rsid w:val="007E5AD0"/>
    <w:rsid w:val="007E5AD2"/>
    <w:rsid w:val="007E5BA7"/>
    <w:rsid w:val="007E605B"/>
    <w:rsid w:val="007E60B6"/>
    <w:rsid w:val="007E6393"/>
    <w:rsid w:val="007E6794"/>
    <w:rsid w:val="007E695E"/>
    <w:rsid w:val="007E6AAA"/>
    <w:rsid w:val="007E6E8E"/>
    <w:rsid w:val="007E6FBC"/>
    <w:rsid w:val="007E7104"/>
    <w:rsid w:val="007E72F3"/>
    <w:rsid w:val="007E7591"/>
    <w:rsid w:val="007E791C"/>
    <w:rsid w:val="007E7BB7"/>
    <w:rsid w:val="007E7EC0"/>
    <w:rsid w:val="007F0037"/>
    <w:rsid w:val="007F021D"/>
    <w:rsid w:val="007F025A"/>
    <w:rsid w:val="007F04B0"/>
    <w:rsid w:val="007F08C4"/>
    <w:rsid w:val="007F0C3C"/>
    <w:rsid w:val="007F0CF2"/>
    <w:rsid w:val="007F0FFA"/>
    <w:rsid w:val="007F1436"/>
    <w:rsid w:val="007F14FF"/>
    <w:rsid w:val="007F16AB"/>
    <w:rsid w:val="007F187E"/>
    <w:rsid w:val="007F21AA"/>
    <w:rsid w:val="007F252D"/>
    <w:rsid w:val="007F2629"/>
    <w:rsid w:val="007F30F8"/>
    <w:rsid w:val="007F3997"/>
    <w:rsid w:val="007F39EB"/>
    <w:rsid w:val="007F3F57"/>
    <w:rsid w:val="007F4034"/>
    <w:rsid w:val="007F4747"/>
    <w:rsid w:val="007F49A7"/>
    <w:rsid w:val="007F4A8A"/>
    <w:rsid w:val="007F4D3F"/>
    <w:rsid w:val="007F5034"/>
    <w:rsid w:val="007F5070"/>
    <w:rsid w:val="007F5379"/>
    <w:rsid w:val="007F5631"/>
    <w:rsid w:val="007F5659"/>
    <w:rsid w:val="007F5F5B"/>
    <w:rsid w:val="007F614C"/>
    <w:rsid w:val="007F633D"/>
    <w:rsid w:val="007F7210"/>
    <w:rsid w:val="007F73D0"/>
    <w:rsid w:val="007F740F"/>
    <w:rsid w:val="007F7871"/>
    <w:rsid w:val="007F7873"/>
    <w:rsid w:val="007F7D93"/>
    <w:rsid w:val="007F7F8B"/>
    <w:rsid w:val="008003B5"/>
    <w:rsid w:val="00800425"/>
    <w:rsid w:val="00800516"/>
    <w:rsid w:val="00800C01"/>
    <w:rsid w:val="00800CA9"/>
    <w:rsid w:val="0080192A"/>
    <w:rsid w:val="0080193A"/>
    <w:rsid w:val="00801BEC"/>
    <w:rsid w:val="00801F68"/>
    <w:rsid w:val="008023D5"/>
    <w:rsid w:val="0080267C"/>
    <w:rsid w:val="00803253"/>
    <w:rsid w:val="008034E2"/>
    <w:rsid w:val="00803AFB"/>
    <w:rsid w:val="00803F1B"/>
    <w:rsid w:val="008043BC"/>
    <w:rsid w:val="0080497D"/>
    <w:rsid w:val="00804B94"/>
    <w:rsid w:val="00804BA3"/>
    <w:rsid w:val="00804E18"/>
    <w:rsid w:val="00804E4E"/>
    <w:rsid w:val="00804F5D"/>
    <w:rsid w:val="008052D4"/>
    <w:rsid w:val="00805F42"/>
    <w:rsid w:val="008064B3"/>
    <w:rsid w:val="008066BA"/>
    <w:rsid w:val="00806ADC"/>
    <w:rsid w:val="00806BF2"/>
    <w:rsid w:val="00806CD3"/>
    <w:rsid w:val="008071F3"/>
    <w:rsid w:val="008078F9"/>
    <w:rsid w:val="00807B1E"/>
    <w:rsid w:val="0081001F"/>
    <w:rsid w:val="00810076"/>
    <w:rsid w:val="00810188"/>
    <w:rsid w:val="00810556"/>
    <w:rsid w:val="008107B1"/>
    <w:rsid w:val="008107CA"/>
    <w:rsid w:val="00810BE4"/>
    <w:rsid w:val="00810C3C"/>
    <w:rsid w:val="00811223"/>
    <w:rsid w:val="00811342"/>
    <w:rsid w:val="0081136A"/>
    <w:rsid w:val="00811BC2"/>
    <w:rsid w:val="00812751"/>
    <w:rsid w:val="00812941"/>
    <w:rsid w:val="00812AB3"/>
    <w:rsid w:val="00812E2E"/>
    <w:rsid w:val="00813034"/>
    <w:rsid w:val="00813283"/>
    <w:rsid w:val="008135DD"/>
    <w:rsid w:val="00813C0E"/>
    <w:rsid w:val="00813E71"/>
    <w:rsid w:val="00814208"/>
    <w:rsid w:val="0081428E"/>
    <w:rsid w:val="0081452C"/>
    <w:rsid w:val="008152A9"/>
    <w:rsid w:val="0081538E"/>
    <w:rsid w:val="00815701"/>
    <w:rsid w:val="00816061"/>
    <w:rsid w:val="00816263"/>
    <w:rsid w:val="008164DB"/>
    <w:rsid w:val="00816555"/>
    <w:rsid w:val="008175AE"/>
    <w:rsid w:val="00817BE5"/>
    <w:rsid w:val="00817D88"/>
    <w:rsid w:val="00817EF2"/>
    <w:rsid w:val="0082062D"/>
    <w:rsid w:val="0082077B"/>
    <w:rsid w:val="00820C7C"/>
    <w:rsid w:val="00820F7B"/>
    <w:rsid w:val="00820FE3"/>
    <w:rsid w:val="008213CA"/>
    <w:rsid w:val="0082167A"/>
    <w:rsid w:val="008216AE"/>
    <w:rsid w:val="00821900"/>
    <w:rsid w:val="00821916"/>
    <w:rsid w:val="00821E3A"/>
    <w:rsid w:val="008224A9"/>
    <w:rsid w:val="00822515"/>
    <w:rsid w:val="00822830"/>
    <w:rsid w:val="00822853"/>
    <w:rsid w:val="00822D52"/>
    <w:rsid w:val="00822E27"/>
    <w:rsid w:val="00822E2D"/>
    <w:rsid w:val="008231AD"/>
    <w:rsid w:val="008232CD"/>
    <w:rsid w:val="00823CBF"/>
    <w:rsid w:val="00823FD5"/>
    <w:rsid w:val="008240E8"/>
    <w:rsid w:val="008247D5"/>
    <w:rsid w:val="00824A2D"/>
    <w:rsid w:val="00824D35"/>
    <w:rsid w:val="00825164"/>
    <w:rsid w:val="008252B9"/>
    <w:rsid w:val="0082549B"/>
    <w:rsid w:val="008254FE"/>
    <w:rsid w:val="008257AE"/>
    <w:rsid w:val="008258AE"/>
    <w:rsid w:val="00825A18"/>
    <w:rsid w:val="00825BE4"/>
    <w:rsid w:val="00826234"/>
    <w:rsid w:val="00826307"/>
    <w:rsid w:val="0082664C"/>
    <w:rsid w:val="00826BBF"/>
    <w:rsid w:val="00826E85"/>
    <w:rsid w:val="00827053"/>
    <w:rsid w:val="008270FC"/>
    <w:rsid w:val="0082713D"/>
    <w:rsid w:val="0082735F"/>
    <w:rsid w:val="00827592"/>
    <w:rsid w:val="008276D0"/>
    <w:rsid w:val="00827EB3"/>
    <w:rsid w:val="00827FF6"/>
    <w:rsid w:val="00830587"/>
    <w:rsid w:val="0083061D"/>
    <w:rsid w:val="00830822"/>
    <w:rsid w:val="008308AF"/>
    <w:rsid w:val="00830997"/>
    <w:rsid w:val="00830D5F"/>
    <w:rsid w:val="00830F6A"/>
    <w:rsid w:val="00831427"/>
    <w:rsid w:val="008318CB"/>
    <w:rsid w:val="008319F8"/>
    <w:rsid w:val="0083204D"/>
    <w:rsid w:val="00832997"/>
    <w:rsid w:val="008329A5"/>
    <w:rsid w:val="00832D18"/>
    <w:rsid w:val="00832D27"/>
    <w:rsid w:val="008338C0"/>
    <w:rsid w:val="008339E0"/>
    <w:rsid w:val="00833E86"/>
    <w:rsid w:val="00833F7B"/>
    <w:rsid w:val="00833FD8"/>
    <w:rsid w:val="0083447F"/>
    <w:rsid w:val="00834699"/>
    <w:rsid w:val="00834A80"/>
    <w:rsid w:val="00834DC9"/>
    <w:rsid w:val="00834EB7"/>
    <w:rsid w:val="0083535E"/>
    <w:rsid w:val="0083575F"/>
    <w:rsid w:val="00835806"/>
    <w:rsid w:val="00835DEE"/>
    <w:rsid w:val="0083634B"/>
    <w:rsid w:val="008368FB"/>
    <w:rsid w:val="00836B6B"/>
    <w:rsid w:val="00837036"/>
    <w:rsid w:val="008371F3"/>
    <w:rsid w:val="008377F9"/>
    <w:rsid w:val="00837C64"/>
    <w:rsid w:val="00837D5F"/>
    <w:rsid w:val="00837FE5"/>
    <w:rsid w:val="0084078F"/>
    <w:rsid w:val="00840A49"/>
    <w:rsid w:val="00840B6C"/>
    <w:rsid w:val="00840C3B"/>
    <w:rsid w:val="00840D13"/>
    <w:rsid w:val="00840F0E"/>
    <w:rsid w:val="00841050"/>
    <w:rsid w:val="008413CD"/>
    <w:rsid w:val="00841464"/>
    <w:rsid w:val="008414D1"/>
    <w:rsid w:val="008416BC"/>
    <w:rsid w:val="0084181D"/>
    <w:rsid w:val="00841ED5"/>
    <w:rsid w:val="00842127"/>
    <w:rsid w:val="00842761"/>
    <w:rsid w:val="008432DD"/>
    <w:rsid w:val="008433DB"/>
    <w:rsid w:val="0084346E"/>
    <w:rsid w:val="008435C9"/>
    <w:rsid w:val="00843C20"/>
    <w:rsid w:val="00843C2F"/>
    <w:rsid w:val="00843F87"/>
    <w:rsid w:val="00844006"/>
    <w:rsid w:val="00844075"/>
    <w:rsid w:val="0084483C"/>
    <w:rsid w:val="00844893"/>
    <w:rsid w:val="008448BA"/>
    <w:rsid w:val="00844B0A"/>
    <w:rsid w:val="00844E91"/>
    <w:rsid w:val="008451B3"/>
    <w:rsid w:val="00845289"/>
    <w:rsid w:val="0084569B"/>
    <w:rsid w:val="008456C5"/>
    <w:rsid w:val="008456DC"/>
    <w:rsid w:val="0084596B"/>
    <w:rsid w:val="00846101"/>
    <w:rsid w:val="00846501"/>
    <w:rsid w:val="008467EF"/>
    <w:rsid w:val="00846A87"/>
    <w:rsid w:val="00846B42"/>
    <w:rsid w:val="008475E1"/>
    <w:rsid w:val="0084760F"/>
    <w:rsid w:val="00847656"/>
    <w:rsid w:val="00847862"/>
    <w:rsid w:val="008479A4"/>
    <w:rsid w:val="008479D8"/>
    <w:rsid w:val="00847B85"/>
    <w:rsid w:val="00847CBF"/>
    <w:rsid w:val="0085059D"/>
    <w:rsid w:val="00850812"/>
    <w:rsid w:val="00851087"/>
    <w:rsid w:val="008511DC"/>
    <w:rsid w:val="008512B5"/>
    <w:rsid w:val="008517E2"/>
    <w:rsid w:val="008518C6"/>
    <w:rsid w:val="0085193A"/>
    <w:rsid w:val="00851D08"/>
    <w:rsid w:val="008521CD"/>
    <w:rsid w:val="008523E8"/>
    <w:rsid w:val="00852707"/>
    <w:rsid w:val="0085294D"/>
    <w:rsid w:val="00852B81"/>
    <w:rsid w:val="00852C6B"/>
    <w:rsid w:val="00852DB7"/>
    <w:rsid w:val="00853291"/>
    <w:rsid w:val="008535C4"/>
    <w:rsid w:val="00853672"/>
    <w:rsid w:val="00853C91"/>
    <w:rsid w:val="00853CD6"/>
    <w:rsid w:val="00853DA8"/>
    <w:rsid w:val="00853DFC"/>
    <w:rsid w:val="00854122"/>
    <w:rsid w:val="00854367"/>
    <w:rsid w:val="00854487"/>
    <w:rsid w:val="0085465E"/>
    <w:rsid w:val="00854888"/>
    <w:rsid w:val="00854EAC"/>
    <w:rsid w:val="00854F49"/>
    <w:rsid w:val="008553C5"/>
    <w:rsid w:val="008556A7"/>
    <w:rsid w:val="00855856"/>
    <w:rsid w:val="00856026"/>
    <w:rsid w:val="008562AF"/>
    <w:rsid w:val="00856585"/>
    <w:rsid w:val="008565C8"/>
    <w:rsid w:val="008566E4"/>
    <w:rsid w:val="008566F9"/>
    <w:rsid w:val="00856717"/>
    <w:rsid w:val="0085673B"/>
    <w:rsid w:val="008568F0"/>
    <w:rsid w:val="0085694E"/>
    <w:rsid w:val="00857057"/>
    <w:rsid w:val="0085747C"/>
    <w:rsid w:val="00857498"/>
    <w:rsid w:val="008575C7"/>
    <w:rsid w:val="00857634"/>
    <w:rsid w:val="00857638"/>
    <w:rsid w:val="0085777B"/>
    <w:rsid w:val="008578C3"/>
    <w:rsid w:val="00857C99"/>
    <w:rsid w:val="00857E79"/>
    <w:rsid w:val="00857EC9"/>
    <w:rsid w:val="00860115"/>
    <w:rsid w:val="008607E5"/>
    <w:rsid w:val="00860801"/>
    <w:rsid w:val="0086099A"/>
    <w:rsid w:val="00860D68"/>
    <w:rsid w:val="00860E0B"/>
    <w:rsid w:val="00860EF9"/>
    <w:rsid w:val="00860F07"/>
    <w:rsid w:val="00861068"/>
    <w:rsid w:val="00861D60"/>
    <w:rsid w:val="00862102"/>
    <w:rsid w:val="008624DD"/>
    <w:rsid w:val="00862A64"/>
    <w:rsid w:val="00862C3A"/>
    <w:rsid w:val="00862CDF"/>
    <w:rsid w:val="00863090"/>
    <w:rsid w:val="00863154"/>
    <w:rsid w:val="008632F7"/>
    <w:rsid w:val="00863377"/>
    <w:rsid w:val="00863621"/>
    <w:rsid w:val="00863665"/>
    <w:rsid w:val="00863C2B"/>
    <w:rsid w:val="00863C56"/>
    <w:rsid w:val="00863E28"/>
    <w:rsid w:val="0086452E"/>
    <w:rsid w:val="008645CA"/>
    <w:rsid w:val="008648DB"/>
    <w:rsid w:val="0086490F"/>
    <w:rsid w:val="008649C2"/>
    <w:rsid w:val="00864D8E"/>
    <w:rsid w:val="00865184"/>
    <w:rsid w:val="00865258"/>
    <w:rsid w:val="008652E7"/>
    <w:rsid w:val="00865958"/>
    <w:rsid w:val="008659E7"/>
    <w:rsid w:val="00865B63"/>
    <w:rsid w:val="00866045"/>
    <w:rsid w:val="008663E6"/>
    <w:rsid w:val="00866F71"/>
    <w:rsid w:val="00867225"/>
    <w:rsid w:val="00867242"/>
    <w:rsid w:val="00867518"/>
    <w:rsid w:val="0086770A"/>
    <w:rsid w:val="00867CBD"/>
    <w:rsid w:val="0087007E"/>
    <w:rsid w:val="0087008F"/>
    <w:rsid w:val="0087024D"/>
    <w:rsid w:val="00870305"/>
    <w:rsid w:val="008703CC"/>
    <w:rsid w:val="008703E4"/>
    <w:rsid w:val="0087095D"/>
    <w:rsid w:val="00870E55"/>
    <w:rsid w:val="0087145B"/>
    <w:rsid w:val="0087164C"/>
    <w:rsid w:val="0087168D"/>
    <w:rsid w:val="00871D9F"/>
    <w:rsid w:val="00871EDA"/>
    <w:rsid w:val="00871F79"/>
    <w:rsid w:val="00872363"/>
    <w:rsid w:val="008727B4"/>
    <w:rsid w:val="008728BD"/>
    <w:rsid w:val="00872D5A"/>
    <w:rsid w:val="00872DCE"/>
    <w:rsid w:val="00872FFA"/>
    <w:rsid w:val="00873214"/>
    <w:rsid w:val="008733D7"/>
    <w:rsid w:val="0087374C"/>
    <w:rsid w:val="00873807"/>
    <w:rsid w:val="00873A9B"/>
    <w:rsid w:val="00873B99"/>
    <w:rsid w:val="00873FAE"/>
    <w:rsid w:val="008741F2"/>
    <w:rsid w:val="008748F9"/>
    <w:rsid w:val="00874CAB"/>
    <w:rsid w:val="008750B7"/>
    <w:rsid w:val="00875468"/>
    <w:rsid w:val="0087551E"/>
    <w:rsid w:val="00875730"/>
    <w:rsid w:val="00875CE8"/>
    <w:rsid w:val="00875F4B"/>
    <w:rsid w:val="00876267"/>
    <w:rsid w:val="008762EF"/>
    <w:rsid w:val="0087664E"/>
    <w:rsid w:val="0087695A"/>
    <w:rsid w:val="008774C3"/>
    <w:rsid w:val="00877F7A"/>
    <w:rsid w:val="00880209"/>
    <w:rsid w:val="008803B3"/>
    <w:rsid w:val="008805B2"/>
    <w:rsid w:val="00880809"/>
    <w:rsid w:val="008809EA"/>
    <w:rsid w:val="00880A1F"/>
    <w:rsid w:val="00880AD9"/>
    <w:rsid w:val="00880B36"/>
    <w:rsid w:val="00881028"/>
    <w:rsid w:val="0088170D"/>
    <w:rsid w:val="00881780"/>
    <w:rsid w:val="00881D56"/>
    <w:rsid w:val="00882455"/>
    <w:rsid w:val="00882B47"/>
    <w:rsid w:val="00882C3E"/>
    <w:rsid w:val="00882DA6"/>
    <w:rsid w:val="008832F4"/>
    <w:rsid w:val="0088340B"/>
    <w:rsid w:val="008836E1"/>
    <w:rsid w:val="00883AF5"/>
    <w:rsid w:val="00883CFE"/>
    <w:rsid w:val="00884175"/>
    <w:rsid w:val="008846A8"/>
    <w:rsid w:val="008849C1"/>
    <w:rsid w:val="00885555"/>
    <w:rsid w:val="0088559B"/>
    <w:rsid w:val="008858EA"/>
    <w:rsid w:val="008859F6"/>
    <w:rsid w:val="00885CA3"/>
    <w:rsid w:val="00885D6D"/>
    <w:rsid w:val="00885F6C"/>
    <w:rsid w:val="008861C6"/>
    <w:rsid w:val="008862AB"/>
    <w:rsid w:val="00886351"/>
    <w:rsid w:val="008864CE"/>
    <w:rsid w:val="0088687E"/>
    <w:rsid w:val="008868A1"/>
    <w:rsid w:val="00886A62"/>
    <w:rsid w:val="00886D7C"/>
    <w:rsid w:val="00886F92"/>
    <w:rsid w:val="008873D0"/>
    <w:rsid w:val="00887681"/>
    <w:rsid w:val="0089078C"/>
    <w:rsid w:val="00890929"/>
    <w:rsid w:val="0089096D"/>
    <w:rsid w:val="00890B36"/>
    <w:rsid w:val="00890B4E"/>
    <w:rsid w:val="00890DBC"/>
    <w:rsid w:val="008913A3"/>
    <w:rsid w:val="008918C6"/>
    <w:rsid w:val="008919A5"/>
    <w:rsid w:val="00891AAA"/>
    <w:rsid w:val="00891C74"/>
    <w:rsid w:val="00891E64"/>
    <w:rsid w:val="00892306"/>
    <w:rsid w:val="008923B2"/>
    <w:rsid w:val="00892E04"/>
    <w:rsid w:val="00893647"/>
    <w:rsid w:val="00893C5F"/>
    <w:rsid w:val="00893D40"/>
    <w:rsid w:val="00893ED5"/>
    <w:rsid w:val="00893FAC"/>
    <w:rsid w:val="008940C6"/>
    <w:rsid w:val="00894567"/>
    <w:rsid w:val="0089467C"/>
    <w:rsid w:val="008949B2"/>
    <w:rsid w:val="008949D2"/>
    <w:rsid w:val="0089502C"/>
    <w:rsid w:val="00895193"/>
    <w:rsid w:val="008951B7"/>
    <w:rsid w:val="00895267"/>
    <w:rsid w:val="00895486"/>
    <w:rsid w:val="0089549C"/>
    <w:rsid w:val="008956F4"/>
    <w:rsid w:val="008957BD"/>
    <w:rsid w:val="00895825"/>
    <w:rsid w:val="00895929"/>
    <w:rsid w:val="008959FA"/>
    <w:rsid w:val="00895C15"/>
    <w:rsid w:val="00895DF9"/>
    <w:rsid w:val="00895EB9"/>
    <w:rsid w:val="00896041"/>
    <w:rsid w:val="008961C4"/>
    <w:rsid w:val="008964B4"/>
    <w:rsid w:val="00896866"/>
    <w:rsid w:val="00896978"/>
    <w:rsid w:val="00896A8C"/>
    <w:rsid w:val="00896E3A"/>
    <w:rsid w:val="00897DEB"/>
    <w:rsid w:val="00897DFD"/>
    <w:rsid w:val="00897F23"/>
    <w:rsid w:val="008A06DA"/>
    <w:rsid w:val="008A0A4B"/>
    <w:rsid w:val="008A0CB1"/>
    <w:rsid w:val="008A103A"/>
    <w:rsid w:val="008A1054"/>
    <w:rsid w:val="008A125C"/>
    <w:rsid w:val="008A1488"/>
    <w:rsid w:val="008A1675"/>
    <w:rsid w:val="008A1765"/>
    <w:rsid w:val="008A17F3"/>
    <w:rsid w:val="008A1A72"/>
    <w:rsid w:val="008A1DF1"/>
    <w:rsid w:val="008A28D4"/>
    <w:rsid w:val="008A2AD7"/>
    <w:rsid w:val="008A3076"/>
    <w:rsid w:val="008A3263"/>
    <w:rsid w:val="008A3E2A"/>
    <w:rsid w:val="008A451A"/>
    <w:rsid w:val="008A47D6"/>
    <w:rsid w:val="008A4A3B"/>
    <w:rsid w:val="008A4B60"/>
    <w:rsid w:val="008A5627"/>
    <w:rsid w:val="008A5C75"/>
    <w:rsid w:val="008A5E79"/>
    <w:rsid w:val="008A5FE5"/>
    <w:rsid w:val="008A64F5"/>
    <w:rsid w:val="008A6579"/>
    <w:rsid w:val="008A6904"/>
    <w:rsid w:val="008A6945"/>
    <w:rsid w:val="008A6A43"/>
    <w:rsid w:val="008A6D2B"/>
    <w:rsid w:val="008A6D4A"/>
    <w:rsid w:val="008A7014"/>
    <w:rsid w:val="008A71CC"/>
    <w:rsid w:val="008A74AF"/>
    <w:rsid w:val="008A7B3A"/>
    <w:rsid w:val="008B028B"/>
    <w:rsid w:val="008B053B"/>
    <w:rsid w:val="008B0C65"/>
    <w:rsid w:val="008B1506"/>
    <w:rsid w:val="008B1CEF"/>
    <w:rsid w:val="008B1EC9"/>
    <w:rsid w:val="008B230B"/>
    <w:rsid w:val="008B24E9"/>
    <w:rsid w:val="008B2E66"/>
    <w:rsid w:val="008B30DE"/>
    <w:rsid w:val="008B31E4"/>
    <w:rsid w:val="008B37EC"/>
    <w:rsid w:val="008B3B12"/>
    <w:rsid w:val="008B3D52"/>
    <w:rsid w:val="008B3E73"/>
    <w:rsid w:val="008B4298"/>
    <w:rsid w:val="008B45AB"/>
    <w:rsid w:val="008B4998"/>
    <w:rsid w:val="008B505D"/>
    <w:rsid w:val="008B50F4"/>
    <w:rsid w:val="008B5351"/>
    <w:rsid w:val="008B5513"/>
    <w:rsid w:val="008B56DE"/>
    <w:rsid w:val="008B5B3F"/>
    <w:rsid w:val="008B5B41"/>
    <w:rsid w:val="008B5CC5"/>
    <w:rsid w:val="008B5CD1"/>
    <w:rsid w:val="008B5F3E"/>
    <w:rsid w:val="008B5FC7"/>
    <w:rsid w:val="008B60CF"/>
    <w:rsid w:val="008B6126"/>
    <w:rsid w:val="008B64C9"/>
    <w:rsid w:val="008B6558"/>
    <w:rsid w:val="008B6622"/>
    <w:rsid w:val="008B66C1"/>
    <w:rsid w:val="008B6A15"/>
    <w:rsid w:val="008B6E84"/>
    <w:rsid w:val="008B6EAA"/>
    <w:rsid w:val="008B6FE8"/>
    <w:rsid w:val="008B703B"/>
    <w:rsid w:val="008B71C4"/>
    <w:rsid w:val="008B72C7"/>
    <w:rsid w:val="008B7614"/>
    <w:rsid w:val="008B7A14"/>
    <w:rsid w:val="008B7C65"/>
    <w:rsid w:val="008B7F56"/>
    <w:rsid w:val="008C0338"/>
    <w:rsid w:val="008C04EC"/>
    <w:rsid w:val="008C05CF"/>
    <w:rsid w:val="008C07CC"/>
    <w:rsid w:val="008C0CC4"/>
    <w:rsid w:val="008C0E78"/>
    <w:rsid w:val="008C0F25"/>
    <w:rsid w:val="008C11EA"/>
    <w:rsid w:val="008C1D2C"/>
    <w:rsid w:val="008C1FC0"/>
    <w:rsid w:val="008C21B5"/>
    <w:rsid w:val="008C254A"/>
    <w:rsid w:val="008C27BB"/>
    <w:rsid w:val="008C27CB"/>
    <w:rsid w:val="008C28A2"/>
    <w:rsid w:val="008C2BF7"/>
    <w:rsid w:val="008C2EEA"/>
    <w:rsid w:val="008C37C9"/>
    <w:rsid w:val="008C3C7C"/>
    <w:rsid w:val="008C3D47"/>
    <w:rsid w:val="008C40C3"/>
    <w:rsid w:val="008C432B"/>
    <w:rsid w:val="008C46E6"/>
    <w:rsid w:val="008C4979"/>
    <w:rsid w:val="008C49ED"/>
    <w:rsid w:val="008C4B10"/>
    <w:rsid w:val="008C4C76"/>
    <w:rsid w:val="008C4E79"/>
    <w:rsid w:val="008C5C15"/>
    <w:rsid w:val="008C5F97"/>
    <w:rsid w:val="008C64CE"/>
    <w:rsid w:val="008C6A76"/>
    <w:rsid w:val="008C6E3A"/>
    <w:rsid w:val="008C6E9B"/>
    <w:rsid w:val="008C7147"/>
    <w:rsid w:val="008C737E"/>
    <w:rsid w:val="008C7581"/>
    <w:rsid w:val="008C7B7D"/>
    <w:rsid w:val="008C7C0A"/>
    <w:rsid w:val="008D036A"/>
    <w:rsid w:val="008D053A"/>
    <w:rsid w:val="008D0886"/>
    <w:rsid w:val="008D0E03"/>
    <w:rsid w:val="008D0E21"/>
    <w:rsid w:val="008D1156"/>
    <w:rsid w:val="008D1554"/>
    <w:rsid w:val="008D1822"/>
    <w:rsid w:val="008D1BF3"/>
    <w:rsid w:val="008D1CAD"/>
    <w:rsid w:val="008D1D62"/>
    <w:rsid w:val="008D24C3"/>
    <w:rsid w:val="008D2772"/>
    <w:rsid w:val="008D359D"/>
    <w:rsid w:val="008D388A"/>
    <w:rsid w:val="008D3A13"/>
    <w:rsid w:val="008D3CDB"/>
    <w:rsid w:val="008D3D13"/>
    <w:rsid w:val="008D44F2"/>
    <w:rsid w:val="008D4699"/>
    <w:rsid w:val="008D484A"/>
    <w:rsid w:val="008D4862"/>
    <w:rsid w:val="008D4E68"/>
    <w:rsid w:val="008D5114"/>
    <w:rsid w:val="008D547C"/>
    <w:rsid w:val="008D583E"/>
    <w:rsid w:val="008D5962"/>
    <w:rsid w:val="008D5A00"/>
    <w:rsid w:val="008D5A5F"/>
    <w:rsid w:val="008D5AD6"/>
    <w:rsid w:val="008D5BCF"/>
    <w:rsid w:val="008D5E2B"/>
    <w:rsid w:val="008D6067"/>
    <w:rsid w:val="008D6095"/>
    <w:rsid w:val="008D62D1"/>
    <w:rsid w:val="008D62F8"/>
    <w:rsid w:val="008D6513"/>
    <w:rsid w:val="008D69B2"/>
    <w:rsid w:val="008D6B67"/>
    <w:rsid w:val="008D6D27"/>
    <w:rsid w:val="008D6D3E"/>
    <w:rsid w:val="008D6D70"/>
    <w:rsid w:val="008D6F03"/>
    <w:rsid w:val="008D7446"/>
    <w:rsid w:val="008D7512"/>
    <w:rsid w:val="008D7599"/>
    <w:rsid w:val="008D78CB"/>
    <w:rsid w:val="008D7C63"/>
    <w:rsid w:val="008E0157"/>
    <w:rsid w:val="008E041F"/>
    <w:rsid w:val="008E061F"/>
    <w:rsid w:val="008E0A18"/>
    <w:rsid w:val="008E0AB4"/>
    <w:rsid w:val="008E0C94"/>
    <w:rsid w:val="008E126C"/>
    <w:rsid w:val="008E1287"/>
    <w:rsid w:val="008E12B8"/>
    <w:rsid w:val="008E15E0"/>
    <w:rsid w:val="008E2467"/>
    <w:rsid w:val="008E25B9"/>
    <w:rsid w:val="008E26C0"/>
    <w:rsid w:val="008E28FB"/>
    <w:rsid w:val="008E2C27"/>
    <w:rsid w:val="008E3435"/>
    <w:rsid w:val="008E34ED"/>
    <w:rsid w:val="008E378E"/>
    <w:rsid w:val="008E3810"/>
    <w:rsid w:val="008E3860"/>
    <w:rsid w:val="008E398E"/>
    <w:rsid w:val="008E3E0B"/>
    <w:rsid w:val="008E4147"/>
    <w:rsid w:val="008E429A"/>
    <w:rsid w:val="008E43C0"/>
    <w:rsid w:val="008E4F71"/>
    <w:rsid w:val="008E509A"/>
    <w:rsid w:val="008E50FE"/>
    <w:rsid w:val="008E514A"/>
    <w:rsid w:val="008E5303"/>
    <w:rsid w:val="008E558A"/>
    <w:rsid w:val="008E57C4"/>
    <w:rsid w:val="008E58EC"/>
    <w:rsid w:val="008E59A4"/>
    <w:rsid w:val="008E5C2F"/>
    <w:rsid w:val="008E5CF3"/>
    <w:rsid w:val="008E5E95"/>
    <w:rsid w:val="008E69A7"/>
    <w:rsid w:val="008E6EE6"/>
    <w:rsid w:val="008E7806"/>
    <w:rsid w:val="008E7A81"/>
    <w:rsid w:val="008E7BF4"/>
    <w:rsid w:val="008E7C63"/>
    <w:rsid w:val="008E7F5E"/>
    <w:rsid w:val="008F00D9"/>
    <w:rsid w:val="008F04C1"/>
    <w:rsid w:val="008F050D"/>
    <w:rsid w:val="008F078A"/>
    <w:rsid w:val="008F12C3"/>
    <w:rsid w:val="008F162D"/>
    <w:rsid w:val="008F1923"/>
    <w:rsid w:val="008F1DFD"/>
    <w:rsid w:val="008F1E7C"/>
    <w:rsid w:val="008F218C"/>
    <w:rsid w:val="008F292B"/>
    <w:rsid w:val="008F2931"/>
    <w:rsid w:val="008F2DD7"/>
    <w:rsid w:val="008F2F8D"/>
    <w:rsid w:val="008F2FEB"/>
    <w:rsid w:val="008F34C9"/>
    <w:rsid w:val="008F383C"/>
    <w:rsid w:val="008F3CBE"/>
    <w:rsid w:val="008F433E"/>
    <w:rsid w:val="008F43A0"/>
    <w:rsid w:val="008F44A9"/>
    <w:rsid w:val="008F4501"/>
    <w:rsid w:val="008F485A"/>
    <w:rsid w:val="008F495A"/>
    <w:rsid w:val="008F49F6"/>
    <w:rsid w:val="008F4F86"/>
    <w:rsid w:val="008F5301"/>
    <w:rsid w:val="008F5A5B"/>
    <w:rsid w:val="008F5C3C"/>
    <w:rsid w:val="008F5F5F"/>
    <w:rsid w:val="008F6023"/>
    <w:rsid w:val="008F68B3"/>
    <w:rsid w:val="008F6B4F"/>
    <w:rsid w:val="008F6C0E"/>
    <w:rsid w:val="008F7053"/>
    <w:rsid w:val="008F7100"/>
    <w:rsid w:val="008F7243"/>
    <w:rsid w:val="008F7284"/>
    <w:rsid w:val="008F74EC"/>
    <w:rsid w:val="008F76AB"/>
    <w:rsid w:val="008F7C76"/>
    <w:rsid w:val="008F7F2F"/>
    <w:rsid w:val="0090012E"/>
    <w:rsid w:val="00900439"/>
    <w:rsid w:val="009014CB"/>
    <w:rsid w:val="00901543"/>
    <w:rsid w:val="00901588"/>
    <w:rsid w:val="00902352"/>
    <w:rsid w:val="00902C6C"/>
    <w:rsid w:val="0090306A"/>
    <w:rsid w:val="00903211"/>
    <w:rsid w:val="009039B0"/>
    <w:rsid w:val="00903C74"/>
    <w:rsid w:val="00903E81"/>
    <w:rsid w:val="009040B6"/>
    <w:rsid w:val="00904416"/>
    <w:rsid w:val="009046B2"/>
    <w:rsid w:val="009046EE"/>
    <w:rsid w:val="0090483B"/>
    <w:rsid w:val="0090487B"/>
    <w:rsid w:val="0090487C"/>
    <w:rsid w:val="009057BA"/>
    <w:rsid w:val="009060DD"/>
    <w:rsid w:val="0090615F"/>
    <w:rsid w:val="00906572"/>
    <w:rsid w:val="00906626"/>
    <w:rsid w:val="00906DE3"/>
    <w:rsid w:val="00906DF6"/>
    <w:rsid w:val="00906F08"/>
    <w:rsid w:val="00907697"/>
    <w:rsid w:val="009077FD"/>
    <w:rsid w:val="00907F7F"/>
    <w:rsid w:val="009100C1"/>
    <w:rsid w:val="009100FB"/>
    <w:rsid w:val="0091024A"/>
    <w:rsid w:val="0091065A"/>
    <w:rsid w:val="00910672"/>
    <w:rsid w:val="00910685"/>
    <w:rsid w:val="0091092D"/>
    <w:rsid w:val="00910A8C"/>
    <w:rsid w:val="00910AD8"/>
    <w:rsid w:val="00910D54"/>
    <w:rsid w:val="00910DA0"/>
    <w:rsid w:val="009110C8"/>
    <w:rsid w:val="00911116"/>
    <w:rsid w:val="00911381"/>
    <w:rsid w:val="0091197F"/>
    <w:rsid w:val="00911CC5"/>
    <w:rsid w:val="009121D8"/>
    <w:rsid w:val="009128DA"/>
    <w:rsid w:val="00912941"/>
    <w:rsid w:val="00912C9C"/>
    <w:rsid w:val="00912E69"/>
    <w:rsid w:val="00912ED1"/>
    <w:rsid w:val="00912FD8"/>
    <w:rsid w:val="0091336A"/>
    <w:rsid w:val="00913736"/>
    <w:rsid w:val="00913FFE"/>
    <w:rsid w:val="009140F7"/>
    <w:rsid w:val="0091448F"/>
    <w:rsid w:val="00914595"/>
    <w:rsid w:val="0091468D"/>
    <w:rsid w:val="00914730"/>
    <w:rsid w:val="009148A6"/>
    <w:rsid w:val="009149DD"/>
    <w:rsid w:val="00914C88"/>
    <w:rsid w:val="0091512C"/>
    <w:rsid w:val="009153EE"/>
    <w:rsid w:val="009154F9"/>
    <w:rsid w:val="0091597B"/>
    <w:rsid w:val="00915E61"/>
    <w:rsid w:val="00916228"/>
    <w:rsid w:val="0091682D"/>
    <w:rsid w:val="00916A4E"/>
    <w:rsid w:val="009171EC"/>
    <w:rsid w:val="0091730C"/>
    <w:rsid w:val="0091765D"/>
    <w:rsid w:val="00917946"/>
    <w:rsid w:val="009179CD"/>
    <w:rsid w:val="00917D61"/>
    <w:rsid w:val="00917D90"/>
    <w:rsid w:val="00920032"/>
    <w:rsid w:val="009201B2"/>
    <w:rsid w:val="009202E2"/>
    <w:rsid w:val="009203EF"/>
    <w:rsid w:val="0092054B"/>
    <w:rsid w:val="0092072A"/>
    <w:rsid w:val="00920BAC"/>
    <w:rsid w:val="00920BAD"/>
    <w:rsid w:val="00920DBD"/>
    <w:rsid w:val="00920E5A"/>
    <w:rsid w:val="009212BD"/>
    <w:rsid w:val="009214F3"/>
    <w:rsid w:val="00921728"/>
    <w:rsid w:val="009217A7"/>
    <w:rsid w:val="009217FD"/>
    <w:rsid w:val="009219A5"/>
    <w:rsid w:val="009219CC"/>
    <w:rsid w:val="00921FF4"/>
    <w:rsid w:val="00922AA6"/>
    <w:rsid w:val="00922BC5"/>
    <w:rsid w:val="00922C71"/>
    <w:rsid w:val="00922C7C"/>
    <w:rsid w:val="00922D91"/>
    <w:rsid w:val="009237E2"/>
    <w:rsid w:val="009239CA"/>
    <w:rsid w:val="00923A1B"/>
    <w:rsid w:val="00923A75"/>
    <w:rsid w:val="00923D2A"/>
    <w:rsid w:val="00923F81"/>
    <w:rsid w:val="00924596"/>
    <w:rsid w:val="0092476A"/>
    <w:rsid w:val="00924BA8"/>
    <w:rsid w:val="00924C71"/>
    <w:rsid w:val="00925087"/>
    <w:rsid w:val="00925234"/>
    <w:rsid w:val="0092560C"/>
    <w:rsid w:val="00925638"/>
    <w:rsid w:val="00925AA6"/>
    <w:rsid w:val="00925CA1"/>
    <w:rsid w:val="00925FBF"/>
    <w:rsid w:val="009261C2"/>
    <w:rsid w:val="009261D5"/>
    <w:rsid w:val="009261EF"/>
    <w:rsid w:val="0092691C"/>
    <w:rsid w:val="009276E8"/>
    <w:rsid w:val="00927A38"/>
    <w:rsid w:val="00927D0B"/>
    <w:rsid w:val="00927FD9"/>
    <w:rsid w:val="00930385"/>
    <w:rsid w:val="009306D6"/>
    <w:rsid w:val="00930A06"/>
    <w:rsid w:val="00930C6A"/>
    <w:rsid w:val="00930CEA"/>
    <w:rsid w:val="00930D7D"/>
    <w:rsid w:val="00930E40"/>
    <w:rsid w:val="00930FC7"/>
    <w:rsid w:val="009312C4"/>
    <w:rsid w:val="00931681"/>
    <w:rsid w:val="00931A50"/>
    <w:rsid w:val="00931C53"/>
    <w:rsid w:val="00932481"/>
    <w:rsid w:val="00932A8A"/>
    <w:rsid w:val="00932AB3"/>
    <w:rsid w:val="009330CC"/>
    <w:rsid w:val="009332ED"/>
    <w:rsid w:val="0093336A"/>
    <w:rsid w:val="009333C8"/>
    <w:rsid w:val="00933492"/>
    <w:rsid w:val="0093351F"/>
    <w:rsid w:val="00933AC6"/>
    <w:rsid w:val="009343DE"/>
    <w:rsid w:val="009347AF"/>
    <w:rsid w:val="00934B72"/>
    <w:rsid w:val="00934C91"/>
    <w:rsid w:val="00934D09"/>
    <w:rsid w:val="00934F4A"/>
    <w:rsid w:val="00935022"/>
    <w:rsid w:val="0093512C"/>
    <w:rsid w:val="00935271"/>
    <w:rsid w:val="00935CC1"/>
    <w:rsid w:val="00935F9B"/>
    <w:rsid w:val="00936259"/>
    <w:rsid w:val="0093668D"/>
    <w:rsid w:val="00936929"/>
    <w:rsid w:val="00936A2F"/>
    <w:rsid w:val="00936C98"/>
    <w:rsid w:val="00937415"/>
    <w:rsid w:val="00937715"/>
    <w:rsid w:val="0093794D"/>
    <w:rsid w:val="00937DF7"/>
    <w:rsid w:val="00940323"/>
    <w:rsid w:val="00940392"/>
    <w:rsid w:val="00940596"/>
    <w:rsid w:val="009405B2"/>
    <w:rsid w:val="00940986"/>
    <w:rsid w:val="00940B30"/>
    <w:rsid w:val="00940C26"/>
    <w:rsid w:val="009411D9"/>
    <w:rsid w:val="00941495"/>
    <w:rsid w:val="0094196C"/>
    <w:rsid w:val="00941E0F"/>
    <w:rsid w:val="00941F36"/>
    <w:rsid w:val="00941F3D"/>
    <w:rsid w:val="00942113"/>
    <w:rsid w:val="009426BC"/>
    <w:rsid w:val="00942A62"/>
    <w:rsid w:val="009431A8"/>
    <w:rsid w:val="009433BE"/>
    <w:rsid w:val="009437D4"/>
    <w:rsid w:val="0094417E"/>
    <w:rsid w:val="0094431B"/>
    <w:rsid w:val="009443E7"/>
    <w:rsid w:val="00944864"/>
    <w:rsid w:val="0094498C"/>
    <w:rsid w:val="009449AE"/>
    <w:rsid w:val="00944A36"/>
    <w:rsid w:val="00944F8E"/>
    <w:rsid w:val="00945335"/>
    <w:rsid w:val="0094558B"/>
    <w:rsid w:val="00945661"/>
    <w:rsid w:val="00945933"/>
    <w:rsid w:val="00945DB6"/>
    <w:rsid w:val="00945E17"/>
    <w:rsid w:val="0094603A"/>
    <w:rsid w:val="0094609F"/>
    <w:rsid w:val="009461F2"/>
    <w:rsid w:val="0094669B"/>
    <w:rsid w:val="00946922"/>
    <w:rsid w:val="00946C50"/>
    <w:rsid w:val="00946CA1"/>
    <w:rsid w:val="009473C6"/>
    <w:rsid w:val="009474CD"/>
    <w:rsid w:val="0094773C"/>
    <w:rsid w:val="00947ABE"/>
    <w:rsid w:val="0095026D"/>
    <w:rsid w:val="0095029E"/>
    <w:rsid w:val="0095045D"/>
    <w:rsid w:val="0095060F"/>
    <w:rsid w:val="0095094A"/>
    <w:rsid w:val="00950B08"/>
    <w:rsid w:val="00950CB2"/>
    <w:rsid w:val="00950EFB"/>
    <w:rsid w:val="00951011"/>
    <w:rsid w:val="0095148A"/>
    <w:rsid w:val="00951586"/>
    <w:rsid w:val="009518AF"/>
    <w:rsid w:val="00951B62"/>
    <w:rsid w:val="00952BC7"/>
    <w:rsid w:val="00952EA5"/>
    <w:rsid w:val="009530F5"/>
    <w:rsid w:val="00953336"/>
    <w:rsid w:val="0095335F"/>
    <w:rsid w:val="00953550"/>
    <w:rsid w:val="00953B97"/>
    <w:rsid w:val="00953ED3"/>
    <w:rsid w:val="00953F21"/>
    <w:rsid w:val="009540BF"/>
    <w:rsid w:val="009543DC"/>
    <w:rsid w:val="009543FB"/>
    <w:rsid w:val="0095473A"/>
    <w:rsid w:val="00954756"/>
    <w:rsid w:val="009548F2"/>
    <w:rsid w:val="009549D1"/>
    <w:rsid w:val="00954B0B"/>
    <w:rsid w:val="00954D25"/>
    <w:rsid w:val="00954E4A"/>
    <w:rsid w:val="00954F0D"/>
    <w:rsid w:val="0095505E"/>
    <w:rsid w:val="009550BA"/>
    <w:rsid w:val="009552BE"/>
    <w:rsid w:val="00955D11"/>
    <w:rsid w:val="00955D56"/>
    <w:rsid w:val="00955E84"/>
    <w:rsid w:val="00956104"/>
    <w:rsid w:val="009562CD"/>
    <w:rsid w:val="009565D6"/>
    <w:rsid w:val="00956AB9"/>
    <w:rsid w:val="00957491"/>
    <w:rsid w:val="00957746"/>
    <w:rsid w:val="0095775F"/>
    <w:rsid w:val="00957815"/>
    <w:rsid w:val="00957CDA"/>
    <w:rsid w:val="00960A8C"/>
    <w:rsid w:val="0096117E"/>
    <w:rsid w:val="0096118A"/>
    <w:rsid w:val="0096119D"/>
    <w:rsid w:val="00961445"/>
    <w:rsid w:val="00961BC5"/>
    <w:rsid w:val="00961C6A"/>
    <w:rsid w:val="009626F8"/>
    <w:rsid w:val="00962C50"/>
    <w:rsid w:val="00963803"/>
    <w:rsid w:val="0096392D"/>
    <w:rsid w:val="00963A1F"/>
    <w:rsid w:val="00963D4F"/>
    <w:rsid w:val="00964226"/>
    <w:rsid w:val="00964255"/>
    <w:rsid w:val="00964C22"/>
    <w:rsid w:val="00964E86"/>
    <w:rsid w:val="00964F89"/>
    <w:rsid w:val="00965682"/>
    <w:rsid w:val="00965C3D"/>
    <w:rsid w:val="0096609E"/>
    <w:rsid w:val="00966213"/>
    <w:rsid w:val="0096646F"/>
    <w:rsid w:val="00966A5C"/>
    <w:rsid w:val="00966E40"/>
    <w:rsid w:val="00967086"/>
    <w:rsid w:val="00967363"/>
    <w:rsid w:val="009675EE"/>
    <w:rsid w:val="00967AB9"/>
    <w:rsid w:val="00970030"/>
    <w:rsid w:val="0097045E"/>
    <w:rsid w:val="0097070B"/>
    <w:rsid w:val="0097071A"/>
    <w:rsid w:val="00970AF9"/>
    <w:rsid w:val="00970D85"/>
    <w:rsid w:val="00970FEC"/>
    <w:rsid w:val="00971930"/>
    <w:rsid w:val="009719F6"/>
    <w:rsid w:val="00971E2D"/>
    <w:rsid w:val="009720C1"/>
    <w:rsid w:val="0097262C"/>
    <w:rsid w:val="00972D7C"/>
    <w:rsid w:val="00972F61"/>
    <w:rsid w:val="0097306E"/>
    <w:rsid w:val="009732D3"/>
    <w:rsid w:val="009736BB"/>
    <w:rsid w:val="009739AD"/>
    <w:rsid w:val="00973DB6"/>
    <w:rsid w:val="00973F68"/>
    <w:rsid w:val="00974486"/>
    <w:rsid w:val="009746FF"/>
    <w:rsid w:val="00974776"/>
    <w:rsid w:val="00974A96"/>
    <w:rsid w:val="00974F77"/>
    <w:rsid w:val="00974FAF"/>
    <w:rsid w:val="0097538E"/>
    <w:rsid w:val="0097554A"/>
    <w:rsid w:val="009756E5"/>
    <w:rsid w:val="00975B75"/>
    <w:rsid w:val="00975CE4"/>
    <w:rsid w:val="00975D79"/>
    <w:rsid w:val="00975D9B"/>
    <w:rsid w:val="00976B97"/>
    <w:rsid w:val="00977199"/>
    <w:rsid w:val="009779EF"/>
    <w:rsid w:val="00977A9D"/>
    <w:rsid w:val="00977E3B"/>
    <w:rsid w:val="00981532"/>
    <w:rsid w:val="00981778"/>
    <w:rsid w:val="00981A77"/>
    <w:rsid w:val="00981B8B"/>
    <w:rsid w:val="00981C00"/>
    <w:rsid w:val="00981CAA"/>
    <w:rsid w:val="00981DF1"/>
    <w:rsid w:val="00981E46"/>
    <w:rsid w:val="00982233"/>
    <w:rsid w:val="00982A2D"/>
    <w:rsid w:val="00982E2A"/>
    <w:rsid w:val="009833BB"/>
    <w:rsid w:val="00983722"/>
    <w:rsid w:val="0098375A"/>
    <w:rsid w:val="00983941"/>
    <w:rsid w:val="009844B4"/>
    <w:rsid w:val="009845EF"/>
    <w:rsid w:val="00984647"/>
    <w:rsid w:val="009849F8"/>
    <w:rsid w:val="00984AC3"/>
    <w:rsid w:val="00984B15"/>
    <w:rsid w:val="009850E1"/>
    <w:rsid w:val="00985B52"/>
    <w:rsid w:val="00985B97"/>
    <w:rsid w:val="00985C12"/>
    <w:rsid w:val="00985C7B"/>
    <w:rsid w:val="0098748F"/>
    <w:rsid w:val="009876FF"/>
    <w:rsid w:val="00987BA0"/>
    <w:rsid w:val="00987C55"/>
    <w:rsid w:val="00990807"/>
    <w:rsid w:val="00990B17"/>
    <w:rsid w:val="00990DB4"/>
    <w:rsid w:val="00990F07"/>
    <w:rsid w:val="00990F0A"/>
    <w:rsid w:val="00991305"/>
    <w:rsid w:val="009914DC"/>
    <w:rsid w:val="009917C8"/>
    <w:rsid w:val="00991848"/>
    <w:rsid w:val="00991C26"/>
    <w:rsid w:val="00991E27"/>
    <w:rsid w:val="00991FEA"/>
    <w:rsid w:val="009921F1"/>
    <w:rsid w:val="009927B4"/>
    <w:rsid w:val="009928DD"/>
    <w:rsid w:val="00992B30"/>
    <w:rsid w:val="00992E4B"/>
    <w:rsid w:val="00992E69"/>
    <w:rsid w:val="00993CCE"/>
    <w:rsid w:val="009945E0"/>
    <w:rsid w:val="00994823"/>
    <w:rsid w:val="00994AA8"/>
    <w:rsid w:val="00994C30"/>
    <w:rsid w:val="009950EA"/>
    <w:rsid w:val="00995322"/>
    <w:rsid w:val="009953C1"/>
    <w:rsid w:val="009954AC"/>
    <w:rsid w:val="00995913"/>
    <w:rsid w:val="00995EB0"/>
    <w:rsid w:val="00995F90"/>
    <w:rsid w:val="00996155"/>
    <w:rsid w:val="0099627C"/>
    <w:rsid w:val="00996317"/>
    <w:rsid w:val="00996624"/>
    <w:rsid w:val="0099670D"/>
    <w:rsid w:val="0099674E"/>
    <w:rsid w:val="00996AF4"/>
    <w:rsid w:val="00996DCD"/>
    <w:rsid w:val="00996ECE"/>
    <w:rsid w:val="00997222"/>
    <w:rsid w:val="00997273"/>
    <w:rsid w:val="0099737A"/>
    <w:rsid w:val="009973E3"/>
    <w:rsid w:val="00997591"/>
    <w:rsid w:val="0099777D"/>
    <w:rsid w:val="009978E5"/>
    <w:rsid w:val="00997975"/>
    <w:rsid w:val="00997C71"/>
    <w:rsid w:val="00997D0B"/>
    <w:rsid w:val="00997D1E"/>
    <w:rsid w:val="00997E62"/>
    <w:rsid w:val="009A0261"/>
    <w:rsid w:val="009A0D6B"/>
    <w:rsid w:val="009A0F76"/>
    <w:rsid w:val="009A1167"/>
    <w:rsid w:val="009A124D"/>
    <w:rsid w:val="009A1604"/>
    <w:rsid w:val="009A1AB0"/>
    <w:rsid w:val="009A223F"/>
    <w:rsid w:val="009A244D"/>
    <w:rsid w:val="009A2873"/>
    <w:rsid w:val="009A2BBB"/>
    <w:rsid w:val="009A2D23"/>
    <w:rsid w:val="009A2DFF"/>
    <w:rsid w:val="009A2E7D"/>
    <w:rsid w:val="009A30E6"/>
    <w:rsid w:val="009A3483"/>
    <w:rsid w:val="009A350C"/>
    <w:rsid w:val="009A3E9F"/>
    <w:rsid w:val="009A3EFA"/>
    <w:rsid w:val="009A43DB"/>
    <w:rsid w:val="009A4409"/>
    <w:rsid w:val="009A44A7"/>
    <w:rsid w:val="009A4936"/>
    <w:rsid w:val="009A5216"/>
    <w:rsid w:val="009A52B2"/>
    <w:rsid w:val="009A58CB"/>
    <w:rsid w:val="009A5921"/>
    <w:rsid w:val="009A5ECE"/>
    <w:rsid w:val="009A60C0"/>
    <w:rsid w:val="009A617F"/>
    <w:rsid w:val="009A6243"/>
    <w:rsid w:val="009A658F"/>
    <w:rsid w:val="009A6B42"/>
    <w:rsid w:val="009A6D34"/>
    <w:rsid w:val="009A70BB"/>
    <w:rsid w:val="009A775C"/>
    <w:rsid w:val="009A789B"/>
    <w:rsid w:val="009A7C28"/>
    <w:rsid w:val="009A7C9B"/>
    <w:rsid w:val="009A7FDE"/>
    <w:rsid w:val="009B033E"/>
    <w:rsid w:val="009B0698"/>
    <w:rsid w:val="009B080F"/>
    <w:rsid w:val="009B0B4F"/>
    <w:rsid w:val="009B0CFC"/>
    <w:rsid w:val="009B0F10"/>
    <w:rsid w:val="009B12DF"/>
    <w:rsid w:val="009B168E"/>
    <w:rsid w:val="009B178B"/>
    <w:rsid w:val="009B1D96"/>
    <w:rsid w:val="009B2546"/>
    <w:rsid w:val="009B2716"/>
    <w:rsid w:val="009B2A1F"/>
    <w:rsid w:val="009B2A34"/>
    <w:rsid w:val="009B2F77"/>
    <w:rsid w:val="009B3EDE"/>
    <w:rsid w:val="009B40B9"/>
    <w:rsid w:val="009B4122"/>
    <w:rsid w:val="009B47F4"/>
    <w:rsid w:val="009B4D24"/>
    <w:rsid w:val="009B4F60"/>
    <w:rsid w:val="009B552A"/>
    <w:rsid w:val="009B5866"/>
    <w:rsid w:val="009B58EF"/>
    <w:rsid w:val="009B5A7E"/>
    <w:rsid w:val="009B5AC5"/>
    <w:rsid w:val="009B5DA3"/>
    <w:rsid w:val="009B6DC2"/>
    <w:rsid w:val="009B6ED9"/>
    <w:rsid w:val="009B7373"/>
    <w:rsid w:val="009B74F3"/>
    <w:rsid w:val="009C03CD"/>
    <w:rsid w:val="009C04B2"/>
    <w:rsid w:val="009C0882"/>
    <w:rsid w:val="009C0D8E"/>
    <w:rsid w:val="009C11BA"/>
    <w:rsid w:val="009C1591"/>
    <w:rsid w:val="009C16CF"/>
    <w:rsid w:val="009C1B81"/>
    <w:rsid w:val="009C1D14"/>
    <w:rsid w:val="009C2021"/>
    <w:rsid w:val="009C204D"/>
    <w:rsid w:val="009C223D"/>
    <w:rsid w:val="009C25B5"/>
    <w:rsid w:val="009C2908"/>
    <w:rsid w:val="009C2CA1"/>
    <w:rsid w:val="009C2D68"/>
    <w:rsid w:val="009C2E59"/>
    <w:rsid w:val="009C2E9B"/>
    <w:rsid w:val="009C3111"/>
    <w:rsid w:val="009C3208"/>
    <w:rsid w:val="009C38B2"/>
    <w:rsid w:val="009C3C87"/>
    <w:rsid w:val="009C40F8"/>
    <w:rsid w:val="009C4369"/>
    <w:rsid w:val="009C47D9"/>
    <w:rsid w:val="009C47F6"/>
    <w:rsid w:val="009C4B7E"/>
    <w:rsid w:val="009C4BAE"/>
    <w:rsid w:val="009C4E4A"/>
    <w:rsid w:val="009C4F59"/>
    <w:rsid w:val="009C5648"/>
    <w:rsid w:val="009C565C"/>
    <w:rsid w:val="009C56FA"/>
    <w:rsid w:val="009C5A95"/>
    <w:rsid w:val="009C5B59"/>
    <w:rsid w:val="009C63D7"/>
    <w:rsid w:val="009C66EC"/>
    <w:rsid w:val="009C7CB0"/>
    <w:rsid w:val="009C7FE6"/>
    <w:rsid w:val="009D0049"/>
    <w:rsid w:val="009D00D2"/>
    <w:rsid w:val="009D04A7"/>
    <w:rsid w:val="009D09DC"/>
    <w:rsid w:val="009D1011"/>
    <w:rsid w:val="009D1082"/>
    <w:rsid w:val="009D1464"/>
    <w:rsid w:val="009D1A23"/>
    <w:rsid w:val="009D1A7F"/>
    <w:rsid w:val="009D24A8"/>
    <w:rsid w:val="009D28EB"/>
    <w:rsid w:val="009D331C"/>
    <w:rsid w:val="009D3373"/>
    <w:rsid w:val="009D3524"/>
    <w:rsid w:val="009D3544"/>
    <w:rsid w:val="009D3987"/>
    <w:rsid w:val="009D3DD0"/>
    <w:rsid w:val="009D3F7E"/>
    <w:rsid w:val="009D4012"/>
    <w:rsid w:val="009D4026"/>
    <w:rsid w:val="009D40BC"/>
    <w:rsid w:val="009D436B"/>
    <w:rsid w:val="009D43E5"/>
    <w:rsid w:val="009D45CD"/>
    <w:rsid w:val="009D45E8"/>
    <w:rsid w:val="009D4C92"/>
    <w:rsid w:val="009D4F72"/>
    <w:rsid w:val="009D50EF"/>
    <w:rsid w:val="009D5629"/>
    <w:rsid w:val="009D58E3"/>
    <w:rsid w:val="009D5CD8"/>
    <w:rsid w:val="009D6138"/>
    <w:rsid w:val="009D6338"/>
    <w:rsid w:val="009D6567"/>
    <w:rsid w:val="009D69E4"/>
    <w:rsid w:val="009D744A"/>
    <w:rsid w:val="009D7576"/>
    <w:rsid w:val="009D7A3D"/>
    <w:rsid w:val="009D7B7C"/>
    <w:rsid w:val="009D7B95"/>
    <w:rsid w:val="009D7BFE"/>
    <w:rsid w:val="009D7C23"/>
    <w:rsid w:val="009D7D6F"/>
    <w:rsid w:val="009D7EE0"/>
    <w:rsid w:val="009E00CC"/>
    <w:rsid w:val="009E013B"/>
    <w:rsid w:val="009E02D1"/>
    <w:rsid w:val="009E043E"/>
    <w:rsid w:val="009E0A16"/>
    <w:rsid w:val="009E0B0A"/>
    <w:rsid w:val="009E0C66"/>
    <w:rsid w:val="009E0CB3"/>
    <w:rsid w:val="009E0CD5"/>
    <w:rsid w:val="009E0EAC"/>
    <w:rsid w:val="009E0F8D"/>
    <w:rsid w:val="009E0F94"/>
    <w:rsid w:val="009E1201"/>
    <w:rsid w:val="009E1205"/>
    <w:rsid w:val="009E150F"/>
    <w:rsid w:val="009E1552"/>
    <w:rsid w:val="009E15E4"/>
    <w:rsid w:val="009E173F"/>
    <w:rsid w:val="009E1848"/>
    <w:rsid w:val="009E19B3"/>
    <w:rsid w:val="009E1CC4"/>
    <w:rsid w:val="009E1DC4"/>
    <w:rsid w:val="009E1EE1"/>
    <w:rsid w:val="009E22F2"/>
    <w:rsid w:val="009E254B"/>
    <w:rsid w:val="009E2744"/>
    <w:rsid w:val="009E289F"/>
    <w:rsid w:val="009E2A26"/>
    <w:rsid w:val="009E2A79"/>
    <w:rsid w:val="009E2A95"/>
    <w:rsid w:val="009E2EFD"/>
    <w:rsid w:val="009E2F67"/>
    <w:rsid w:val="009E321D"/>
    <w:rsid w:val="009E32FA"/>
    <w:rsid w:val="009E3480"/>
    <w:rsid w:val="009E3580"/>
    <w:rsid w:val="009E37A5"/>
    <w:rsid w:val="009E3B37"/>
    <w:rsid w:val="009E3C19"/>
    <w:rsid w:val="009E4290"/>
    <w:rsid w:val="009E430E"/>
    <w:rsid w:val="009E4398"/>
    <w:rsid w:val="009E43D2"/>
    <w:rsid w:val="009E45F7"/>
    <w:rsid w:val="009E48A4"/>
    <w:rsid w:val="009E4B67"/>
    <w:rsid w:val="009E4D3C"/>
    <w:rsid w:val="009E4E56"/>
    <w:rsid w:val="009E52F8"/>
    <w:rsid w:val="009E5EE6"/>
    <w:rsid w:val="009E648C"/>
    <w:rsid w:val="009E697C"/>
    <w:rsid w:val="009E6F39"/>
    <w:rsid w:val="009E70C7"/>
    <w:rsid w:val="009E7577"/>
    <w:rsid w:val="009E77F6"/>
    <w:rsid w:val="009E7897"/>
    <w:rsid w:val="009E78D9"/>
    <w:rsid w:val="009E7EA6"/>
    <w:rsid w:val="009E7EB8"/>
    <w:rsid w:val="009F0191"/>
    <w:rsid w:val="009F02A0"/>
    <w:rsid w:val="009F07A2"/>
    <w:rsid w:val="009F0994"/>
    <w:rsid w:val="009F0A74"/>
    <w:rsid w:val="009F0AFD"/>
    <w:rsid w:val="009F0F4B"/>
    <w:rsid w:val="009F12CD"/>
    <w:rsid w:val="009F139A"/>
    <w:rsid w:val="009F1576"/>
    <w:rsid w:val="009F1C9E"/>
    <w:rsid w:val="009F1CB8"/>
    <w:rsid w:val="009F1E51"/>
    <w:rsid w:val="009F1E57"/>
    <w:rsid w:val="009F1E9D"/>
    <w:rsid w:val="009F1FA8"/>
    <w:rsid w:val="009F204F"/>
    <w:rsid w:val="009F2244"/>
    <w:rsid w:val="009F2954"/>
    <w:rsid w:val="009F3090"/>
    <w:rsid w:val="009F331B"/>
    <w:rsid w:val="009F3391"/>
    <w:rsid w:val="009F384B"/>
    <w:rsid w:val="009F4131"/>
    <w:rsid w:val="009F4168"/>
    <w:rsid w:val="009F4935"/>
    <w:rsid w:val="009F4D59"/>
    <w:rsid w:val="009F503A"/>
    <w:rsid w:val="009F571B"/>
    <w:rsid w:val="009F582F"/>
    <w:rsid w:val="009F5877"/>
    <w:rsid w:val="009F58AE"/>
    <w:rsid w:val="009F5D24"/>
    <w:rsid w:val="009F5D6E"/>
    <w:rsid w:val="009F5F2E"/>
    <w:rsid w:val="009F611D"/>
    <w:rsid w:val="009F64FE"/>
    <w:rsid w:val="009F661B"/>
    <w:rsid w:val="009F689C"/>
    <w:rsid w:val="009F69BD"/>
    <w:rsid w:val="009F6FAC"/>
    <w:rsid w:val="009F7324"/>
    <w:rsid w:val="009F736D"/>
    <w:rsid w:val="009F739A"/>
    <w:rsid w:val="009F7432"/>
    <w:rsid w:val="009F77DE"/>
    <w:rsid w:val="009F7C99"/>
    <w:rsid w:val="009F7DC7"/>
    <w:rsid w:val="00A000D8"/>
    <w:rsid w:val="00A00117"/>
    <w:rsid w:val="00A00600"/>
    <w:rsid w:val="00A00D68"/>
    <w:rsid w:val="00A010C8"/>
    <w:rsid w:val="00A01100"/>
    <w:rsid w:val="00A011E9"/>
    <w:rsid w:val="00A011F0"/>
    <w:rsid w:val="00A0154A"/>
    <w:rsid w:val="00A016D8"/>
    <w:rsid w:val="00A01B55"/>
    <w:rsid w:val="00A01CD2"/>
    <w:rsid w:val="00A026C0"/>
    <w:rsid w:val="00A02768"/>
    <w:rsid w:val="00A027E8"/>
    <w:rsid w:val="00A02812"/>
    <w:rsid w:val="00A02838"/>
    <w:rsid w:val="00A0284D"/>
    <w:rsid w:val="00A02A44"/>
    <w:rsid w:val="00A030EE"/>
    <w:rsid w:val="00A032C7"/>
    <w:rsid w:val="00A0336B"/>
    <w:rsid w:val="00A03B82"/>
    <w:rsid w:val="00A03C1B"/>
    <w:rsid w:val="00A04B17"/>
    <w:rsid w:val="00A04D42"/>
    <w:rsid w:val="00A04D57"/>
    <w:rsid w:val="00A04EBF"/>
    <w:rsid w:val="00A05060"/>
    <w:rsid w:val="00A0563F"/>
    <w:rsid w:val="00A057A8"/>
    <w:rsid w:val="00A05DE1"/>
    <w:rsid w:val="00A05EFB"/>
    <w:rsid w:val="00A062F6"/>
    <w:rsid w:val="00A06529"/>
    <w:rsid w:val="00A0669A"/>
    <w:rsid w:val="00A06E38"/>
    <w:rsid w:val="00A06E9D"/>
    <w:rsid w:val="00A06F69"/>
    <w:rsid w:val="00A07512"/>
    <w:rsid w:val="00A0784C"/>
    <w:rsid w:val="00A0797E"/>
    <w:rsid w:val="00A07D76"/>
    <w:rsid w:val="00A103A8"/>
    <w:rsid w:val="00A10916"/>
    <w:rsid w:val="00A113D2"/>
    <w:rsid w:val="00A1175B"/>
    <w:rsid w:val="00A11979"/>
    <w:rsid w:val="00A11CB0"/>
    <w:rsid w:val="00A121AE"/>
    <w:rsid w:val="00A122A8"/>
    <w:rsid w:val="00A125C0"/>
    <w:rsid w:val="00A12AD3"/>
    <w:rsid w:val="00A12BB8"/>
    <w:rsid w:val="00A132A5"/>
    <w:rsid w:val="00A14249"/>
    <w:rsid w:val="00A14334"/>
    <w:rsid w:val="00A14470"/>
    <w:rsid w:val="00A145A8"/>
    <w:rsid w:val="00A14B52"/>
    <w:rsid w:val="00A1545B"/>
    <w:rsid w:val="00A15510"/>
    <w:rsid w:val="00A15727"/>
    <w:rsid w:val="00A15CAE"/>
    <w:rsid w:val="00A15EE4"/>
    <w:rsid w:val="00A15EEC"/>
    <w:rsid w:val="00A15F1E"/>
    <w:rsid w:val="00A15FD2"/>
    <w:rsid w:val="00A16149"/>
    <w:rsid w:val="00A161DA"/>
    <w:rsid w:val="00A162BE"/>
    <w:rsid w:val="00A16475"/>
    <w:rsid w:val="00A16742"/>
    <w:rsid w:val="00A167F6"/>
    <w:rsid w:val="00A16E05"/>
    <w:rsid w:val="00A17156"/>
    <w:rsid w:val="00A17898"/>
    <w:rsid w:val="00A17FE9"/>
    <w:rsid w:val="00A2005E"/>
    <w:rsid w:val="00A203AC"/>
    <w:rsid w:val="00A2079C"/>
    <w:rsid w:val="00A20C40"/>
    <w:rsid w:val="00A20D5C"/>
    <w:rsid w:val="00A216B7"/>
    <w:rsid w:val="00A21879"/>
    <w:rsid w:val="00A219DF"/>
    <w:rsid w:val="00A21BA3"/>
    <w:rsid w:val="00A21CC0"/>
    <w:rsid w:val="00A21F57"/>
    <w:rsid w:val="00A21FB7"/>
    <w:rsid w:val="00A22321"/>
    <w:rsid w:val="00A229AE"/>
    <w:rsid w:val="00A23286"/>
    <w:rsid w:val="00A23432"/>
    <w:rsid w:val="00A234E4"/>
    <w:rsid w:val="00A2369D"/>
    <w:rsid w:val="00A238E1"/>
    <w:rsid w:val="00A24023"/>
    <w:rsid w:val="00A2448A"/>
    <w:rsid w:val="00A2489F"/>
    <w:rsid w:val="00A251D4"/>
    <w:rsid w:val="00A25236"/>
    <w:rsid w:val="00A257A2"/>
    <w:rsid w:val="00A2586D"/>
    <w:rsid w:val="00A258C8"/>
    <w:rsid w:val="00A25CCE"/>
    <w:rsid w:val="00A25D1B"/>
    <w:rsid w:val="00A260F3"/>
    <w:rsid w:val="00A26101"/>
    <w:rsid w:val="00A2627C"/>
    <w:rsid w:val="00A26780"/>
    <w:rsid w:val="00A267A7"/>
    <w:rsid w:val="00A26B2A"/>
    <w:rsid w:val="00A26EB3"/>
    <w:rsid w:val="00A26FDE"/>
    <w:rsid w:val="00A27008"/>
    <w:rsid w:val="00A27379"/>
    <w:rsid w:val="00A27397"/>
    <w:rsid w:val="00A278F8"/>
    <w:rsid w:val="00A27996"/>
    <w:rsid w:val="00A279EC"/>
    <w:rsid w:val="00A27C11"/>
    <w:rsid w:val="00A27D5E"/>
    <w:rsid w:val="00A27F77"/>
    <w:rsid w:val="00A30017"/>
    <w:rsid w:val="00A300E4"/>
    <w:rsid w:val="00A30198"/>
    <w:rsid w:val="00A309E2"/>
    <w:rsid w:val="00A30A72"/>
    <w:rsid w:val="00A31494"/>
    <w:rsid w:val="00A314BE"/>
    <w:rsid w:val="00A31ABC"/>
    <w:rsid w:val="00A31B39"/>
    <w:rsid w:val="00A31BD2"/>
    <w:rsid w:val="00A31D3B"/>
    <w:rsid w:val="00A31F3E"/>
    <w:rsid w:val="00A31FFC"/>
    <w:rsid w:val="00A320BF"/>
    <w:rsid w:val="00A32300"/>
    <w:rsid w:val="00A32383"/>
    <w:rsid w:val="00A323B2"/>
    <w:rsid w:val="00A32A9E"/>
    <w:rsid w:val="00A32D8E"/>
    <w:rsid w:val="00A32EE9"/>
    <w:rsid w:val="00A33189"/>
    <w:rsid w:val="00A333F7"/>
    <w:rsid w:val="00A3344C"/>
    <w:rsid w:val="00A335E8"/>
    <w:rsid w:val="00A33A03"/>
    <w:rsid w:val="00A33C58"/>
    <w:rsid w:val="00A340C7"/>
    <w:rsid w:val="00A341EB"/>
    <w:rsid w:val="00A34527"/>
    <w:rsid w:val="00A34554"/>
    <w:rsid w:val="00A34F14"/>
    <w:rsid w:val="00A34FC7"/>
    <w:rsid w:val="00A35B31"/>
    <w:rsid w:val="00A35B5E"/>
    <w:rsid w:val="00A35DA0"/>
    <w:rsid w:val="00A360DE"/>
    <w:rsid w:val="00A3699E"/>
    <w:rsid w:val="00A36DB4"/>
    <w:rsid w:val="00A3711E"/>
    <w:rsid w:val="00A37346"/>
    <w:rsid w:val="00A376F0"/>
    <w:rsid w:val="00A377F9"/>
    <w:rsid w:val="00A37954"/>
    <w:rsid w:val="00A379B1"/>
    <w:rsid w:val="00A37AD9"/>
    <w:rsid w:val="00A37D14"/>
    <w:rsid w:val="00A40190"/>
    <w:rsid w:val="00A402E8"/>
    <w:rsid w:val="00A410CD"/>
    <w:rsid w:val="00A4127F"/>
    <w:rsid w:val="00A41897"/>
    <w:rsid w:val="00A418C1"/>
    <w:rsid w:val="00A41975"/>
    <w:rsid w:val="00A41A70"/>
    <w:rsid w:val="00A41BD2"/>
    <w:rsid w:val="00A420D2"/>
    <w:rsid w:val="00A42D9E"/>
    <w:rsid w:val="00A431AA"/>
    <w:rsid w:val="00A43510"/>
    <w:rsid w:val="00A438C7"/>
    <w:rsid w:val="00A43B7A"/>
    <w:rsid w:val="00A44157"/>
    <w:rsid w:val="00A441B3"/>
    <w:rsid w:val="00A44263"/>
    <w:rsid w:val="00A442B5"/>
    <w:rsid w:val="00A4464D"/>
    <w:rsid w:val="00A4598D"/>
    <w:rsid w:val="00A459A2"/>
    <w:rsid w:val="00A45E33"/>
    <w:rsid w:val="00A45F70"/>
    <w:rsid w:val="00A46697"/>
    <w:rsid w:val="00A4670C"/>
    <w:rsid w:val="00A46B40"/>
    <w:rsid w:val="00A470EE"/>
    <w:rsid w:val="00A4724E"/>
    <w:rsid w:val="00A474B3"/>
    <w:rsid w:val="00A475A1"/>
    <w:rsid w:val="00A47A61"/>
    <w:rsid w:val="00A47E2F"/>
    <w:rsid w:val="00A5024C"/>
    <w:rsid w:val="00A505C3"/>
    <w:rsid w:val="00A509D5"/>
    <w:rsid w:val="00A50AC9"/>
    <w:rsid w:val="00A50B5D"/>
    <w:rsid w:val="00A51013"/>
    <w:rsid w:val="00A514C4"/>
    <w:rsid w:val="00A514D3"/>
    <w:rsid w:val="00A5156F"/>
    <w:rsid w:val="00A5158C"/>
    <w:rsid w:val="00A517A6"/>
    <w:rsid w:val="00A51B75"/>
    <w:rsid w:val="00A51ED3"/>
    <w:rsid w:val="00A520A4"/>
    <w:rsid w:val="00A5240C"/>
    <w:rsid w:val="00A5276D"/>
    <w:rsid w:val="00A5281C"/>
    <w:rsid w:val="00A52AEF"/>
    <w:rsid w:val="00A52CEF"/>
    <w:rsid w:val="00A52D8E"/>
    <w:rsid w:val="00A52EB3"/>
    <w:rsid w:val="00A52F79"/>
    <w:rsid w:val="00A52FC3"/>
    <w:rsid w:val="00A52FFA"/>
    <w:rsid w:val="00A5350D"/>
    <w:rsid w:val="00A53BFF"/>
    <w:rsid w:val="00A53C50"/>
    <w:rsid w:val="00A542FA"/>
    <w:rsid w:val="00A54500"/>
    <w:rsid w:val="00A5476C"/>
    <w:rsid w:val="00A54887"/>
    <w:rsid w:val="00A54C20"/>
    <w:rsid w:val="00A556DD"/>
    <w:rsid w:val="00A5615F"/>
    <w:rsid w:val="00A567BD"/>
    <w:rsid w:val="00A56C5E"/>
    <w:rsid w:val="00A56F66"/>
    <w:rsid w:val="00A57573"/>
    <w:rsid w:val="00A57D57"/>
    <w:rsid w:val="00A57E80"/>
    <w:rsid w:val="00A57F31"/>
    <w:rsid w:val="00A605D6"/>
    <w:rsid w:val="00A60814"/>
    <w:rsid w:val="00A60A2A"/>
    <w:rsid w:val="00A60CFB"/>
    <w:rsid w:val="00A60E81"/>
    <w:rsid w:val="00A60F3B"/>
    <w:rsid w:val="00A61033"/>
    <w:rsid w:val="00A6120D"/>
    <w:rsid w:val="00A61268"/>
    <w:rsid w:val="00A6126D"/>
    <w:rsid w:val="00A61498"/>
    <w:rsid w:val="00A615CE"/>
    <w:rsid w:val="00A61723"/>
    <w:rsid w:val="00A61B9A"/>
    <w:rsid w:val="00A61E0F"/>
    <w:rsid w:val="00A61EA6"/>
    <w:rsid w:val="00A62053"/>
    <w:rsid w:val="00A62116"/>
    <w:rsid w:val="00A62519"/>
    <w:rsid w:val="00A62671"/>
    <w:rsid w:val="00A627A0"/>
    <w:rsid w:val="00A62819"/>
    <w:rsid w:val="00A62970"/>
    <w:rsid w:val="00A62AE4"/>
    <w:rsid w:val="00A62E4B"/>
    <w:rsid w:val="00A63032"/>
    <w:rsid w:val="00A63200"/>
    <w:rsid w:val="00A63263"/>
    <w:rsid w:val="00A63267"/>
    <w:rsid w:val="00A63481"/>
    <w:rsid w:val="00A634FB"/>
    <w:rsid w:val="00A639FF"/>
    <w:rsid w:val="00A63AD7"/>
    <w:rsid w:val="00A63BEE"/>
    <w:rsid w:val="00A63E63"/>
    <w:rsid w:val="00A63ED7"/>
    <w:rsid w:val="00A63F69"/>
    <w:rsid w:val="00A64282"/>
    <w:rsid w:val="00A644EF"/>
    <w:rsid w:val="00A64921"/>
    <w:rsid w:val="00A65107"/>
    <w:rsid w:val="00A65318"/>
    <w:rsid w:val="00A6546B"/>
    <w:rsid w:val="00A6551A"/>
    <w:rsid w:val="00A65B45"/>
    <w:rsid w:val="00A66120"/>
    <w:rsid w:val="00A66257"/>
    <w:rsid w:val="00A6650B"/>
    <w:rsid w:val="00A66563"/>
    <w:rsid w:val="00A66579"/>
    <w:rsid w:val="00A66A66"/>
    <w:rsid w:val="00A67391"/>
    <w:rsid w:val="00A67462"/>
    <w:rsid w:val="00A67B82"/>
    <w:rsid w:val="00A67F89"/>
    <w:rsid w:val="00A70189"/>
    <w:rsid w:val="00A70631"/>
    <w:rsid w:val="00A709AB"/>
    <w:rsid w:val="00A714FE"/>
    <w:rsid w:val="00A71768"/>
    <w:rsid w:val="00A71C29"/>
    <w:rsid w:val="00A71E13"/>
    <w:rsid w:val="00A72734"/>
    <w:rsid w:val="00A72819"/>
    <w:rsid w:val="00A729BB"/>
    <w:rsid w:val="00A729BD"/>
    <w:rsid w:val="00A734C1"/>
    <w:rsid w:val="00A7350E"/>
    <w:rsid w:val="00A73619"/>
    <w:rsid w:val="00A736B1"/>
    <w:rsid w:val="00A736C9"/>
    <w:rsid w:val="00A73853"/>
    <w:rsid w:val="00A73DC1"/>
    <w:rsid w:val="00A744DD"/>
    <w:rsid w:val="00A749D1"/>
    <w:rsid w:val="00A74B2F"/>
    <w:rsid w:val="00A74F71"/>
    <w:rsid w:val="00A751EA"/>
    <w:rsid w:val="00A75729"/>
    <w:rsid w:val="00A75AB1"/>
    <w:rsid w:val="00A75CC7"/>
    <w:rsid w:val="00A767CA"/>
    <w:rsid w:val="00A767F8"/>
    <w:rsid w:val="00A76A19"/>
    <w:rsid w:val="00A76A1C"/>
    <w:rsid w:val="00A76EA3"/>
    <w:rsid w:val="00A77099"/>
    <w:rsid w:val="00A772EC"/>
    <w:rsid w:val="00A776C7"/>
    <w:rsid w:val="00A77A96"/>
    <w:rsid w:val="00A77ACE"/>
    <w:rsid w:val="00A77CC0"/>
    <w:rsid w:val="00A77D90"/>
    <w:rsid w:val="00A77FE7"/>
    <w:rsid w:val="00A80014"/>
    <w:rsid w:val="00A800C5"/>
    <w:rsid w:val="00A80249"/>
    <w:rsid w:val="00A8058C"/>
    <w:rsid w:val="00A8079D"/>
    <w:rsid w:val="00A80A06"/>
    <w:rsid w:val="00A8109D"/>
    <w:rsid w:val="00A8159E"/>
    <w:rsid w:val="00A81886"/>
    <w:rsid w:val="00A8198F"/>
    <w:rsid w:val="00A81A06"/>
    <w:rsid w:val="00A81BF3"/>
    <w:rsid w:val="00A82287"/>
    <w:rsid w:val="00A822B1"/>
    <w:rsid w:val="00A82985"/>
    <w:rsid w:val="00A82A8B"/>
    <w:rsid w:val="00A82B9C"/>
    <w:rsid w:val="00A82CA6"/>
    <w:rsid w:val="00A82D05"/>
    <w:rsid w:val="00A82D49"/>
    <w:rsid w:val="00A83229"/>
    <w:rsid w:val="00A83260"/>
    <w:rsid w:val="00A832D1"/>
    <w:rsid w:val="00A833A1"/>
    <w:rsid w:val="00A833AB"/>
    <w:rsid w:val="00A838F1"/>
    <w:rsid w:val="00A83A00"/>
    <w:rsid w:val="00A83AAB"/>
    <w:rsid w:val="00A83DD7"/>
    <w:rsid w:val="00A846DF"/>
    <w:rsid w:val="00A848F7"/>
    <w:rsid w:val="00A84993"/>
    <w:rsid w:val="00A85505"/>
    <w:rsid w:val="00A85977"/>
    <w:rsid w:val="00A85A9D"/>
    <w:rsid w:val="00A85C85"/>
    <w:rsid w:val="00A85D44"/>
    <w:rsid w:val="00A86087"/>
    <w:rsid w:val="00A860B1"/>
    <w:rsid w:val="00A86124"/>
    <w:rsid w:val="00A87058"/>
    <w:rsid w:val="00A8709B"/>
    <w:rsid w:val="00A87278"/>
    <w:rsid w:val="00A8741F"/>
    <w:rsid w:val="00A87F2D"/>
    <w:rsid w:val="00A90691"/>
    <w:rsid w:val="00A906CB"/>
    <w:rsid w:val="00A90A75"/>
    <w:rsid w:val="00A91140"/>
    <w:rsid w:val="00A912E2"/>
    <w:rsid w:val="00A91938"/>
    <w:rsid w:val="00A91E61"/>
    <w:rsid w:val="00A92952"/>
    <w:rsid w:val="00A92A8A"/>
    <w:rsid w:val="00A93300"/>
    <w:rsid w:val="00A93630"/>
    <w:rsid w:val="00A93ACC"/>
    <w:rsid w:val="00A93D8B"/>
    <w:rsid w:val="00A9405A"/>
    <w:rsid w:val="00A9420B"/>
    <w:rsid w:val="00A94661"/>
    <w:rsid w:val="00A94EA6"/>
    <w:rsid w:val="00A9520D"/>
    <w:rsid w:val="00A959A0"/>
    <w:rsid w:val="00A95C17"/>
    <w:rsid w:val="00A95ED3"/>
    <w:rsid w:val="00A96057"/>
    <w:rsid w:val="00A960B0"/>
    <w:rsid w:val="00A9663A"/>
    <w:rsid w:val="00A96712"/>
    <w:rsid w:val="00A9698A"/>
    <w:rsid w:val="00A97014"/>
    <w:rsid w:val="00A97C9C"/>
    <w:rsid w:val="00A97FB6"/>
    <w:rsid w:val="00AA0351"/>
    <w:rsid w:val="00AA04E1"/>
    <w:rsid w:val="00AA08EB"/>
    <w:rsid w:val="00AA1534"/>
    <w:rsid w:val="00AA16B0"/>
    <w:rsid w:val="00AA18D4"/>
    <w:rsid w:val="00AA2E99"/>
    <w:rsid w:val="00AA3501"/>
    <w:rsid w:val="00AA39A3"/>
    <w:rsid w:val="00AA3BFF"/>
    <w:rsid w:val="00AA3E8B"/>
    <w:rsid w:val="00AA440A"/>
    <w:rsid w:val="00AA4449"/>
    <w:rsid w:val="00AA45E7"/>
    <w:rsid w:val="00AA47BC"/>
    <w:rsid w:val="00AA4CC9"/>
    <w:rsid w:val="00AA4E20"/>
    <w:rsid w:val="00AA4F88"/>
    <w:rsid w:val="00AA54B3"/>
    <w:rsid w:val="00AA58D6"/>
    <w:rsid w:val="00AA5B00"/>
    <w:rsid w:val="00AA5B97"/>
    <w:rsid w:val="00AA5DF1"/>
    <w:rsid w:val="00AA5FF7"/>
    <w:rsid w:val="00AA6A0E"/>
    <w:rsid w:val="00AA6E2E"/>
    <w:rsid w:val="00AA701F"/>
    <w:rsid w:val="00AA720D"/>
    <w:rsid w:val="00AA732F"/>
    <w:rsid w:val="00AA7339"/>
    <w:rsid w:val="00AA7628"/>
    <w:rsid w:val="00AA794E"/>
    <w:rsid w:val="00AA7EA3"/>
    <w:rsid w:val="00AA7F28"/>
    <w:rsid w:val="00AA7FBD"/>
    <w:rsid w:val="00AB0061"/>
    <w:rsid w:val="00AB05BF"/>
    <w:rsid w:val="00AB0839"/>
    <w:rsid w:val="00AB08B2"/>
    <w:rsid w:val="00AB09C7"/>
    <w:rsid w:val="00AB0AED"/>
    <w:rsid w:val="00AB100C"/>
    <w:rsid w:val="00AB1702"/>
    <w:rsid w:val="00AB185F"/>
    <w:rsid w:val="00AB1957"/>
    <w:rsid w:val="00AB1D23"/>
    <w:rsid w:val="00AB2458"/>
    <w:rsid w:val="00AB245E"/>
    <w:rsid w:val="00AB27B2"/>
    <w:rsid w:val="00AB2C5C"/>
    <w:rsid w:val="00AB2D37"/>
    <w:rsid w:val="00AB309A"/>
    <w:rsid w:val="00AB32FB"/>
    <w:rsid w:val="00AB3526"/>
    <w:rsid w:val="00AB35F9"/>
    <w:rsid w:val="00AB3BEE"/>
    <w:rsid w:val="00AB3D11"/>
    <w:rsid w:val="00AB3D84"/>
    <w:rsid w:val="00AB4556"/>
    <w:rsid w:val="00AB45AC"/>
    <w:rsid w:val="00AB4615"/>
    <w:rsid w:val="00AB4B4A"/>
    <w:rsid w:val="00AB4FA9"/>
    <w:rsid w:val="00AB5068"/>
    <w:rsid w:val="00AB50C6"/>
    <w:rsid w:val="00AB52B3"/>
    <w:rsid w:val="00AB5746"/>
    <w:rsid w:val="00AB594D"/>
    <w:rsid w:val="00AB5AEA"/>
    <w:rsid w:val="00AB6D06"/>
    <w:rsid w:val="00AB6DA9"/>
    <w:rsid w:val="00AB74FE"/>
    <w:rsid w:val="00AB785B"/>
    <w:rsid w:val="00AB7C05"/>
    <w:rsid w:val="00AB7FB7"/>
    <w:rsid w:val="00AC0191"/>
    <w:rsid w:val="00AC037C"/>
    <w:rsid w:val="00AC05AB"/>
    <w:rsid w:val="00AC1026"/>
    <w:rsid w:val="00AC1235"/>
    <w:rsid w:val="00AC1643"/>
    <w:rsid w:val="00AC1793"/>
    <w:rsid w:val="00AC17A6"/>
    <w:rsid w:val="00AC1D3D"/>
    <w:rsid w:val="00AC1D6E"/>
    <w:rsid w:val="00AC202D"/>
    <w:rsid w:val="00AC20AD"/>
    <w:rsid w:val="00AC2290"/>
    <w:rsid w:val="00AC2512"/>
    <w:rsid w:val="00AC2997"/>
    <w:rsid w:val="00AC2D9B"/>
    <w:rsid w:val="00AC3B13"/>
    <w:rsid w:val="00AC3F65"/>
    <w:rsid w:val="00AC3FB9"/>
    <w:rsid w:val="00AC4349"/>
    <w:rsid w:val="00AC43AA"/>
    <w:rsid w:val="00AC4563"/>
    <w:rsid w:val="00AC4643"/>
    <w:rsid w:val="00AC581E"/>
    <w:rsid w:val="00AC582F"/>
    <w:rsid w:val="00AC593F"/>
    <w:rsid w:val="00AC5CBB"/>
    <w:rsid w:val="00AC5EB9"/>
    <w:rsid w:val="00AC5EE5"/>
    <w:rsid w:val="00AC5F8B"/>
    <w:rsid w:val="00AC631C"/>
    <w:rsid w:val="00AC631E"/>
    <w:rsid w:val="00AC6A4D"/>
    <w:rsid w:val="00AC6AF4"/>
    <w:rsid w:val="00AC6C85"/>
    <w:rsid w:val="00AC6F1C"/>
    <w:rsid w:val="00AC7A91"/>
    <w:rsid w:val="00AD0261"/>
    <w:rsid w:val="00AD03F4"/>
    <w:rsid w:val="00AD04B7"/>
    <w:rsid w:val="00AD064C"/>
    <w:rsid w:val="00AD0674"/>
    <w:rsid w:val="00AD08BF"/>
    <w:rsid w:val="00AD0A98"/>
    <w:rsid w:val="00AD0BDF"/>
    <w:rsid w:val="00AD0D84"/>
    <w:rsid w:val="00AD1F79"/>
    <w:rsid w:val="00AD21D7"/>
    <w:rsid w:val="00AD25B4"/>
    <w:rsid w:val="00AD2876"/>
    <w:rsid w:val="00AD28BB"/>
    <w:rsid w:val="00AD2994"/>
    <w:rsid w:val="00AD2A98"/>
    <w:rsid w:val="00AD2ED5"/>
    <w:rsid w:val="00AD2F75"/>
    <w:rsid w:val="00AD2FA6"/>
    <w:rsid w:val="00AD3584"/>
    <w:rsid w:val="00AD395B"/>
    <w:rsid w:val="00AD3BFB"/>
    <w:rsid w:val="00AD3E10"/>
    <w:rsid w:val="00AD3FAB"/>
    <w:rsid w:val="00AD4655"/>
    <w:rsid w:val="00AD4807"/>
    <w:rsid w:val="00AD4C12"/>
    <w:rsid w:val="00AD5424"/>
    <w:rsid w:val="00AD59D7"/>
    <w:rsid w:val="00AD5A95"/>
    <w:rsid w:val="00AD5C08"/>
    <w:rsid w:val="00AD5F17"/>
    <w:rsid w:val="00AD6047"/>
    <w:rsid w:val="00AD66BC"/>
    <w:rsid w:val="00AD69F9"/>
    <w:rsid w:val="00AD6C8F"/>
    <w:rsid w:val="00AD7048"/>
    <w:rsid w:val="00AD738F"/>
    <w:rsid w:val="00AD75E0"/>
    <w:rsid w:val="00AD7D42"/>
    <w:rsid w:val="00AD7DDE"/>
    <w:rsid w:val="00AE00DD"/>
    <w:rsid w:val="00AE0265"/>
    <w:rsid w:val="00AE05A2"/>
    <w:rsid w:val="00AE0749"/>
    <w:rsid w:val="00AE0905"/>
    <w:rsid w:val="00AE12A2"/>
    <w:rsid w:val="00AE131A"/>
    <w:rsid w:val="00AE184D"/>
    <w:rsid w:val="00AE1B13"/>
    <w:rsid w:val="00AE220D"/>
    <w:rsid w:val="00AE2251"/>
    <w:rsid w:val="00AE2335"/>
    <w:rsid w:val="00AE2363"/>
    <w:rsid w:val="00AE2609"/>
    <w:rsid w:val="00AE2691"/>
    <w:rsid w:val="00AE2727"/>
    <w:rsid w:val="00AE2CE3"/>
    <w:rsid w:val="00AE3136"/>
    <w:rsid w:val="00AE31D2"/>
    <w:rsid w:val="00AE3569"/>
    <w:rsid w:val="00AE3791"/>
    <w:rsid w:val="00AE387E"/>
    <w:rsid w:val="00AE3D69"/>
    <w:rsid w:val="00AE3ED9"/>
    <w:rsid w:val="00AE42CA"/>
    <w:rsid w:val="00AE432E"/>
    <w:rsid w:val="00AE45EB"/>
    <w:rsid w:val="00AE4B99"/>
    <w:rsid w:val="00AE4C87"/>
    <w:rsid w:val="00AE4DE0"/>
    <w:rsid w:val="00AE4F1E"/>
    <w:rsid w:val="00AE4FAA"/>
    <w:rsid w:val="00AE501A"/>
    <w:rsid w:val="00AE5160"/>
    <w:rsid w:val="00AE51BC"/>
    <w:rsid w:val="00AE5277"/>
    <w:rsid w:val="00AE571A"/>
    <w:rsid w:val="00AE5DF4"/>
    <w:rsid w:val="00AE5F23"/>
    <w:rsid w:val="00AE5FD2"/>
    <w:rsid w:val="00AE5FD9"/>
    <w:rsid w:val="00AE66F5"/>
    <w:rsid w:val="00AE67C4"/>
    <w:rsid w:val="00AE69DF"/>
    <w:rsid w:val="00AE6C4B"/>
    <w:rsid w:val="00AE6F26"/>
    <w:rsid w:val="00AE784B"/>
    <w:rsid w:val="00AE7918"/>
    <w:rsid w:val="00AE7CE1"/>
    <w:rsid w:val="00AE7D6C"/>
    <w:rsid w:val="00AF04B5"/>
    <w:rsid w:val="00AF05A7"/>
    <w:rsid w:val="00AF09BF"/>
    <w:rsid w:val="00AF0A24"/>
    <w:rsid w:val="00AF0A4D"/>
    <w:rsid w:val="00AF0DD2"/>
    <w:rsid w:val="00AF0F0E"/>
    <w:rsid w:val="00AF0FDE"/>
    <w:rsid w:val="00AF0FF6"/>
    <w:rsid w:val="00AF1331"/>
    <w:rsid w:val="00AF166D"/>
    <w:rsid w:val="00AF16B8"/>
    <w:rsid w:val="00AF1E8B"/>
    <w:rsid w:val="00AF2605"/>
    <w:rsid w:val="00AF27AC"/>
    <w:rsid w:val="00AF2A55"/>
    <w:rsid w:val="00AF2AA7"/>
    <w:rsid w:val="00AF2EC7"/>
    <w:rsid w:val="00AF2FD3"/>
    <w:rsid w:val="00AF3308"/>
    <w:rsid w:val="00AF35C5"/>
    <w:rsid w:val="00AF376D"/>
    <w:rsid w:val="00AF37DC"/>
    <w:rsid w:val="00AF439E"/>
    <w:rsid w:val="00AF43BA"/>
    <w:rsid w:val="00AF4644"/>
    <w:rsid w:val="00AF47F8"/>
    <w:rsid w:val="00AF4BE5"/>
    <w:rsid w:val="00AF4C76"/>
    <w:rsid w:val="00AF4E18"/>
    <w:rsid w:val="00AF503A"/>
    <w:rsid w:val="00AF515B"/>
    <w:rsid w:val="00AF5AE6"/>
    <w:rsid w:val="00AF5EE8"/>
    <w:rsid w:val="00AF63FC"/>
    <w:rsid w:val="00AF66AC"/>
    <w:rsid w:val="00AF693D"/>
    <w:rsid w:val="00AF6A28"/>
    <w:rsid w:val="00AF6C5F"/>
    <w:rsid w:val="00AF6FBC"/>
    <w:rsid w:val="00AF77C4"/>
    <w:rsid w:val="00AF7AAA"/>
    <w:rsid w:val="00AF7BF0"/>
    <w:rsid w:val="00AF7C69"/>
    <w:rsid w:val="00AF7DF1"/>
    <w:rsid w:val="00AF7EB3"/>
    <w:rsid w:val="00B00139"/>
    <w:rsid w:val="00B00D93"/>
    <w:rsid w:val="00B012B5"/>
    <w:rsid w:val="00B01ACB"/>
    <w:rsid w:val="00B02034"/>
    <w:rsid w:val="00B023B1"/>
    <w:rsid w:val="00B024B3"/>
    <w:rsid w:val="00B02521"/>
    <w:rsid w:val="00B02A51"/>
    <w:rsid w:val="00B035A2"/>
    <w:rsid w:val="00B0361C"/>
    <w:rsid w:val="00B03A6E"/>
    <w:rsid w:val="00B03AFE"/>
    <w:rsid w:val="00B03EA0"/>
    <w:rsid w:val="00B03F67"/>
    <w:rsid w:val="00B0458B"/>
    <w:rsid w:val="00B04681"/>
    <w:rsid w:val="00B04900"/>
    <w:rsid w:val="00B04EA5"/>
    <w:rsid w:val="00B05011"/>
    <w:rsid w:val="00B0558C"/>
    <w:rsid w:val="00B05B5A"/>
    <w:rsid w:val="00B05D97"/>
    <w:rsid w:val="00B05FDF"/>
    <w:rsid w:val="00B060C9"/>
    <w:rsid w:val="00B06298"/>
    <w:rsid w:val="00B063D1"/>
    <w:rsid w:val="00B06440"/>
    <w:rsid w:val="00B06863"/>
    <w:rsid w:val="00B06A0E"/>
    <w:rsid w:val="00B06A8E"/>
    <w:rsid w:val="00B06FAC"/>
    <w:rsid w:val="00B077D7"/>
    <w:rsid w:val="00B077FB"/>
    <w:rsid w:val="00B07889"/>
    <w:rsid w:val="00B07A11"/>
    <w:rsid w:val="00B07D49"/>
    <w:rsid w:val="00B07E1C"/>
    <w:rsid w:val="00B1022A"/>
    <w:rsid w:val="00B104CC"/>
    <w:rsid w:val="00B10936"/>
    <w:rsid w:val="00B109EC"/>
    <w:rsid w:val="00B10BDF"/>
    <w:rsid w:val="00B10D64"/>
    <w:rsid w:val="00B1114C"/>
    <w:rsid w:val="00B117DB"/>
    <w:rsid w:val="00B118EC"/>
    <w:rsid w:val="00B11B6D"/>
    <w:rsid w:val="00B120A5"/>
    <w:rsid w:val="00B12290"/>
    <w:rsid w:val="00B125C4"/>
    <w:rsid w:val="00B12A8B"/>
    <w:rsid w:val="00B12EA3"/>
    <w:rsid w:val="00B1302B"/>
    <w:rsid w:val="00B1309B"/>
    <w:rsid w:val="00B13783"/>
    <w:rsid w:val="00B13B4E"/>
    <w:rsid w:val="00B13C4B"/>
    <w:rsid w:val="00B1444A"/>
    <w:rsid w:val="00B146E6"/>
    <w:rsid w:val="00B150EF"/>
    <w:rsid w:val="00B157CE"/>
    <w:rsid w:val="00B15838"/>
    <w:rsid w:val="00B15A71"/>
    <w:rsid w:val="00B15A9F"/>
    <w:rsid w:val="00B15D0B"/>
    <w:rsid w:val="00B163FC"/>
    <w:rsid w:val="00B16EAD"/>
    <w:rsid w:val="00B174B7"/>
    <w:rsid w:val="00B17583"/>
    <w:rsid w:val="00B17777"/>
    <w:rsid w:val="00B178CC"/>
    <w:rsid w:val="00B17991"/>
    <w:rsid w:val="00B17BA7"/>
    <w:rsid w:val="00B17DE3"/>
    <w:rsid w:val="00B17F5D"/>
    <w:rsid w:val="00B202E9"/>
    <w:rsid w:val="00B2064D"/>
    <w:rsid w:val="00B206EA"/>
    <w:rsid w:val="00B2075D"/>
    <w:rsid w:val="00B21AE0"/>
    <w:rsid w:val="00B21C0F"/>
    <w:rsid w:val="00B21E2F"/>
    <w:rsid w:val="00B22092"/>
    <w:rsid w:val="00B22BB4"/>
    <w:rsid w:val="00B22CB1"/>
    <w:rsid w:val="00B22D72"/>
    <w:rsid w:val="00B233CF"/>
    <w:rsid w:val="00B239B4"/>
    <w:rsid w:val="00B23AB9"/>
    <w:rsid w:val="00B24044"/>
    <w:rsid w:val="00B242CF"/>
    <w:rsid w:val="00B24596"/>
    <w:rsid w:val="00B24633"/>
    <w:rsid w:val="00B246C5"/>
    <w:rsid w:val="00B24AED"/>
    <w:rsid w:val="00B24C59"/>
    <w:rsid w:val="00B24D15"/>
    <w:rsid w:val="00B25750"/>
    <w:rsid w:val="00B25AE0"/>
    <w:rsid w:val="00B260F3"/>
    <w:rsid w:val="00B26347"/>
    <w:rsid w:val="00B269B1"/>
    <w:rsid w:val="00B27290"/>
    <w:rsid w:val="00B273BD"/>
    <w:rsid w:val="00B2758E"/>
    <w:rsid w:val="00B275C9"/>
    <w:rsid w:val="00B27BA0"/>
    <w:rsid w:val="00B27EC7"/>
    <w:rsid w:val="00B300A6"/>
    <w:rsid w:val="00B3016D"/>
    <w:rsid w:val="00B306E5"/>
    <w:rsid w:val="00B30ABD"/>
    <w:rsid w:val="00B30CFE"/>
    <w:rsid w:val="00B30D13"/>
    <w:rsid w:val="00B30FF6"/>
    <w:rsid w:val="00B310DC"/>
    <w:rsid w:val="00B31139"/>
    <w:rsid w:val="00B316D1"/>
    <w:rsid w:val="00B316D7"/>
    <w:rsid w:val="00B31A76"/>
    <w:rsid w:val="00B31CE9"/>
    <w:rsid w:val="00B31D5F"/>
    <w:rsid w:val="00B31E8E"/>
    <w:rsid w:val="00B321D7"/>
    <w:rsid w:val="00B32317"/>
    <w:rsid w:val="00B3235F"/>
    <w:rsid w:val="00B32366"/>
    <w:rsid w:val="00B324EB"/>
    <w:rsid w:val="00B32A80"/>
    <w:rsid w:val="00B32EDD"/>
    <w:rsid w:val="00B32F50"/>
    <w:rsid w:val="00B33001"/>
    <w:rsid w:val="00B331AC"/>
    <w:rsid w:val="00B33275"/>
    <w:rsid w:val="00B33425"/>
    <w:rsid w:val="00B334A3"/>
    <w:rsid w:val="00B338B3"/>
    <w:rsid w:val="00B33AF2"/>
    <w:rsid w:val="00B33C36"/>
    <w:rsid w:val="00B34297"/>
    <w:rsid w:val="00B34381"/>
    <w:rsid w:val="00B3440D"/>
    <w:rsid w:val="00B34456"/>
    <w:rsid w:val="00B3447B"/>
    <w:rsid w:val="00B345CA"/>
    <w:rsid w:val="00B349D4"/>
    <w:rsid w:val="00B34A5D"/>
    <w:rsid w:val="00B34C5E"/>
    <w:rsid w:val="00B34D89"/>
    <w:rsid w:val="00B34F8F"/>
    <w:rsid w:val="00B35399"/>
    <w:rsid w:val="00B358AF"/>
    <w:rsid w:val="00B35AE6"/>
    <w:rsid w:val="00B35D63"/>
    <w:rsid w:val="00B35FA9"/>
    <w:rsid w:val="00B36707"/>
    <w:rsid w:val="00B368EB"/>
    <w:rsid w:val="00B36B09"/>
    <w:rsid w:val="00B37000"/>
    <w:rsid w:val="00B3712A"/>
    <w:rsid w:val="00B37C8D"/>
    <w:rsid w:val="00B37FB3"/>
    <w:rsid w:val="00B400CB"/>
    <w:rsid w:val="00B40141"/>
    <w:rsid w:val="00B41593"/>
    <w:rsid w:val="00B4171E"/>
    <w:rsid w:val="00B417B9"/>
    <w:rsid w:val="00B41E3C"/>
    <w:rsid w:val="00B41F44"/>
    <w:rsid w:val="00B4206E"/>
    <w:rsid w:val="00B424F5"/>
    <w:rsid w:val="00B42518"/>
    <w:rsid w:val="00B42660"/>
    <w:rsid w:val="00B426E5"/>
    <w:rsid w:val="00B429BD"/>
    <w:rsid w:val="00B42D52"/>
    <w:rsid w:val="00B42EC7"/>
    <w:rsid w:val="00B4335D"/>
    <w:rsid w:val="00B43529"/>
    <w:rsid w:val="00B435D8"/>
    <w:rsid w:val="00B43670"/>
    <w:rsid w:val="00B43751"/>
    <w:rsid w:val="00B43D07"/>
    <w:rsid w:val="00B43DE3"/>
    <w:rsid w:val="00B43EC1"/>
    <w:rsid w:val="00B4484D"/>
    <w:rsid w:val="00B448A5"/>
    <w:rsid w:val="00B44E0D"/>
    <w:rsid w:val="00B4516A"/>
    <w:rsid w:val="00B45674"/>
    <w:rsid w:val="00B4571B"/>
    <w:rsid w:val="00B4660A"/>
    <w:rsid w:val="00B46AE1"/>
    <w:rsid w:val="00B46CBB"/>
    <w:rsid w:val="00B46D26"/>
    <w:rsid w:val="00B46D58"/>
    <w:rsid w:val="00B47225"/>
    <w:rsid w:val="00B478D3"/>
    <w:rsid w:val="00B47C93"/>
    <w:rsid w:val="00B50880"/>
    <w:rsid w:val="00B5089C"/>
    <w:rsid w:val="00B50918"/>
    <w:rsid w:val="00B50BED"/>
    <w:rsid w:val="00B50CC7"/>
    <w:rsid w:val="00B50F4C"/>
    <w:rsid w:val="00B510D9"/>
    <w:rsid w:val="00B51334"/>
    <w:rsid w:val="00B51FF1"/>
    <w:rsid w:val="00B52003"/>
    <w:rsid w:val="00B527CA"/>
    <w:rsid w:val="00B5287A"/>
    <w:rsid w:val="00B52934"/>
    <w:rsid w:val="00B52B0D"/>
    <w:rsid w:val="00B5314C"/>
    <w:rsid w:val="00B53213"/>
    <w:rsid w:val="00B53486"/>
    <w:rsid w:val="00B53AD7"/>
    <w:rsid w:val="00B541B2"/>
    <w:rsid w:val="00B5499E"/>
    <w:rsid w:val="00B5529F"/>
    <w:rsid w:val="00B55578"/>
    <w:rsid w:val="00B5568A"/>
    <w:rsid w:val="00B55711"/>
    <w:rsid w:val="00B55880"/>
    <w:rsid w:val="00B55AD0"/>
    <w:rsid w:val="00B55EA3"/>
    <w:rsid w:val="00B55EBA"/>
    <w:rsid w:val="00B55F26"/>
    <w:rsid w:val="00B56273"/>
    <w:rsid w:val="00B562F4"/>
    <w:rsid w:val="00B56384"/>
    <w:rsid w:val="00B5658C"/>
    <w:rsid w:val="00B568BD"/>
    <w:rsid w:val="00B56DF3"/>
    <w:rsid w:val="00B56FD8"/>
    <w:rsid w:val="00B5736C"/>
    <w:rsid w:val="00B574DC"/>
    <w:rsid w:val="00B5768A"/>
    <w:rsid w:val="00B57A51"/>
    <w:rsid w:val="00B57C3F"/>
    <w:rsid w:val="00B57DFC"/>
    <w:rsid w:val="00B57E84"/>
    <w:rsid w:val="00B6061B"/>
    <w:rsid w:val="00B609C7"/>
    <w:rsid w:val="00B60C5E"/>
    <w:rsid w:val="00B60E45"/>
    <w:rsid w:val="00B6159C"/>
    <w:rsid w:val="00B61A5C"/>
    <w:rsid w:val="00B61E73"/>
    <w:rsid w:val="00B62024"/>
    <w:rsid w:val="00B62049"/>
    <w:rsid w:val="00B62F0F"/>
    <w:rsid w:val="00B62F84"/>
    <w:rsid w:val="00B64027"/>
    <w:rsid w:val="00B64436"/>
    <w:rsid w:val="00B6477A"/>
    <w:rsid w:val="00B648C4"/>
    <w:rsid w:val="00B649F7"/>
    <w:rsid w:val="00B64A84"/>
    <w:rsid w:val="00B64AA4"/>
    <w:rsid w:val="00B64EFF"/>
    <w:rsid w:val="00B65205"/>
    <w:rsid w:val="00B6567D"/>
    <w:rsid w:val="00B65E1A"/>
    <w:rsid w:val="00B65F83"/>
    <w:rsid w:val="00B65FC8"/>
    <w:rsid w:val="00B66190"/>
    <w:rsid w:val="00B661DC"/>
    <w:rsid w:val="00B66708"/>
    <w:rsid w:val="00B66E44"/>
    <w:rsid w:val="00B66F15"/>
    <w:rsid w:val="00B66F3B"/>
    <w:rsid w:val="00B66F68"/>
    <w:rsid w:val="00B6700F"/>
    <w:rsid w:val="00B67602"/>
    <w:rsid w:val="00B67BEC"/>
    <w:rsid w:val="00B67C7D"/>
    <w:rsid w:val="00B7016B"/>
    <w:rsid w:val="00B705AF"/>
    <w:rsid w:val="00B7068A"/>
    <w:rsid w:val="00B70B55"/>
    <w:rsid w:val="00B70CF5"/>
    <w:rsid w:val="00B71194"/>
    <w:rsid w:val="00B711E2"/>
    <w:rsid w:val="00B7147F"/>
    <w:rsid w:val="00B71498"/>
    <w:rsid w:val="00B71589"/>
    <w:rsid w:val="00B7167A"/>
    <w:rsid w:val="00B71721"/>
    <w:rsid w:val="00B7186A"/>
    <w:rsid w:val="00B71880"/>
    <w:rsid w:val="00B71A3D"/>
    <w:rsid w:val="00B71D7E"/>
    <w:rsid w:val="00B72FB2"/>
    <w:rsid w:val="00B73083"/>
    <w:rsid w:val="00B74B28"/>
    <w:rsid w:val="00B74B3C"/>
    <w:rsid w:val="00B7524A"/>
    <w:rsid w:val="00B752B9"/>
    <w:rsid w:val="00B7563D"/>
    <w:rsid w:val="00B75895"/>
    <w:rsid w:val="00B75A7E"/>
    <w:rsid w:val="00B75FC5"/>
    <w:rsid w:val="00B76370"/>
    <w:rsid w:val="00B7641D"/>
    <w:rsid w:val="00B76439"/>
    <w:rsid w:val="00B76783"/>
    <w:rsid w:val="00B768FF"/>
    <w:rsid w:val="00B7694F"/>
    <w:rsid w:val="00B76A47"/>
    <w:rsid w:val="00B76C95"/>
    <w:rsid w:val="00B76FF5"/>
    <w:rsid w:val="00B77725"/>
    <w:rsid w:val="00B777C8"/>
    <w:rsid w:val="00B80201"/>
    <w:rsid w:val="00B80A01"/>
    <w:rsid w:val="00B80B02"/>
    <w:rsid w:val="00B80CDD"/>
    <w:rsid w:val="00B80CF5"/>
    <w:rsid w:val="00B80D1D"/>
    <w:rsid w:val="00B80F49"/>
    <w:rsid w:val="00B80F51"/>
    <w:rsid w:val="00B8105E"/>
    <w:rsid w:val="00B810E7"/>
    <w:rsid w:val="00B81142"/>
    <w:rsid w:val="00B81207"/>
    <w:rsid w:val="00B8125F"/>
    <w:rsid w:val="00B81524"/>
    <w:rsid w:val="00B816CA"/>
    <w:rsid w:val="00B816E2"/>
    <w:rsid w:val="00B81843"/>
    <w:rsid w:val="00B8185C"/>
    <w:rsid w:val="00B81AD1"/>
    <w:rsid w:val="00B828DB"/>
    <w:rsid w:val="00B82A3A"/>
    <w:rsid w:val="00B83567"/>
    <w:rsid w:val="00B8373D"/>
    <w:rsid w:val="00B83A9B"/>
    <w:rsid w:val="00B8402E"/>
    <w:rsid w:val="00B841EF"/>
    <w:rsid w:val="00B84427"/>
    <w:rsid w:val="00B8452C"/>
    <w:rsid w:val="00B84E4A"/>
    <w:rsid w:val="00B8537B"/>
    <w:rsid w:val="00B8546A"/>
    <w:rsid w:val="00B85563"/>
    <w:rsid w:val="00B85697"/>
    <w:rsid w:val="00B85AA3"/>
    <w:rsid w:val="00B85BE3"/>
    <w:rsid w:val="00B85D95"/>
    <w:rsid w:val="00B85FCD"/>
    <w:rsid w:val="00B862D8"/>
    <w:rsid w:val="00B863C4"/>
    <w:rsid w:val="00B8651B"/>
    <w:rsid w:val="00B867F7"/>
    <w:rsid w:val="00B86C22"/>
    <w:rsid w:val="00B86FD2"/>
    <w:rsid w:val="00B87065"/>
    <w:rsid w:val="00B872C3"/>
    <w:rsid w:val="00B876E4"/>
    <w:rsid w:val="00B8782F"/>
    <w:rsid w:val="00B87D0A"/>
    <w:rsid w:val="00B906E1"/>
    <w:rsid w:val="00B90978"/>
    <w:rsid w:val="00B90E58"/>
    <w:rsid w:val="00B90FE5"/>
    <w:rsid w:val="00B913A4"/>
    <w:rsid w:val="00B91B63"/>
    <w:rsid w:val="00B92183"/>
    <w:rsid w:val="00B923F9"/>
    <w:rsid w:val="00B92F3C"/>
    <w:rsid w:val="00B938EF"/>
    <w:rsid w:val="00B93B07"/>
    <w:rsid w:val="00B93B2E"/>
    <w:rsid w:val="00B94129"/>
    <w:rsid w:val="00B94138"/>
    <w:rsid w:val="00B943A0"/>
    <w:rsid w:val="00B94523"/>
    <w:rsid w:val="00B9476A"/>
    <w:rsid w:val="00B94C76"/>
    <w:rsid w:val="00B94EF9"/>
    <w:rsid w:val="00B94FA8"/>
    <w:rsid w:val="00B9506F"/>
    <w:rsid w:val="00B95151"/>
    <w:rsid w:val="00B9532B"/>
    <w:rsid w:val="00B96182"/>
    <w:rsid w:val="00B962CB"/>
    <w:rsid w:val="00B96424"/>
    <w:rsid w:val="00B9682A"/>
    <w:rsid w:val="00B96A4B"/>
    <w:rsid w:val="00B96A4C"/>
    <w:rsid w:val="00B96ADC"/>
    <w:rsid w:val="00B97216"/>
    <w:rsid w:val="00B977F8"/>
    <w:rsid w:val="00BA0066"/>
    <w:rsid w:val="00BA00B3"/>
    <w:rsid w:val="00BA0101"/>
    <w:rsid w:val="00BA02F2"/>
    <w:rsid w:val="00BA04BA"/>
    <w:rsid w:val="00BA051F"/>
    <w:rsid w:val="00BA0A94"/>
    <w:rsid w:val="00BA0BA5"/>
    <w:rsid w:val="00BA1075"/>
    <w:rsid w:val="00BA12B8"/>
    <w:rsid w:val="00BA1965"/>
    <w:rsid w:val="00BA1B3A"/>
    <w:rsid w:val="00BA2288"/>
    <w:rsid w:val="00BA274B"/>
    <w:rsid w:val="00BA277B"/>
    <w:rsid w:val="00BA2BAF"/>
    <w:rsid w:val="00BA2D6E"/>
    <w:rsid w:val="00BA3436"/>
    <w:rsid w:val="00BA37A4"/>
    <w:rsid w:val="00BA3941"/>
    <w:rsid w:val="00BA3F8E"/>
    <w:rsid w:val="00BA41B9"/>
    <w:rsid w:val="00BA55A8"/>
    <w:rsid w:val="00BA57E9"/>
    <w:rsid w:val="00BA6119"/>
    <w:rsid w:val="00BA6745"/>
    <w:rsid w:val="00BA697B"/>
    <w:rsid w:val="00BA7000"/>
    <w:rsid w:val="00BA7989"/>
    <w:rsid w:val="00BA79A2"/>
    <w:rsid w:val="00BA7C5D"/>
    <w:rsid w:val="00BA7C69"/>
    <w:rsid w:val="00BB062C"/>
    <w:rsid w:val="00BB0C10"/>
    <w:rsid w:val="00BB0F78"/>
    <w:rsid w:val="00BB132D"/>
    <w:rsid w:val="00BB1631"/>
    <w:rsid w:val="00BB16C8"/>
    <w:rsid w:val="00BB171A"/>
    <w:rsid w:val="00BB19C3"/>
    <w:rsid w:val="00BB1E6B"/>
    <w:rsid w:val="00BB1F46"/>
    <w:rsid w:val="00BB20FC"/>
    <w:rsid w:val="00BB276D"/>
    <w:rsid w:val="00BB2C2F"/>
    <w:rsid w:val="00BB3447"/>
    <w:rsid w:val="00BB34AC"/>
    <w:rsid w:val="00BB35F0"/>
    <w:rsid w:val="00BB3679"/>
    <w:rsid w:val="00BB3B52"/>
    <w:rsid w:val="00BB3C42"/>
    <w:rsid w:val="00BB3D97"/>
    <w:rsid w:val="00BB3DE4"/>
    <w:rsid w:val="00BB3F38"/>
    <w:rsid w:val="00BB43ED"/>
    <w:rsid w:val="00BB47C1"/>
    <w:rsid w:val="00BB499D"/>
    <w:rsid w:val="00BB539B"/>
    <w:rsid w:val="00BB578C"/>
    <w:rsid w:val="00BB595C"/>
    <w:rsid w:val="00BB59EA"/>
    <w:rsid w:val="00BB5D38"/>
    <w:rsid w:val="00BB5D64"/>
    <w:rsid w:val="00BB5F2F"/>
    <w:rsid w:val="00BB6A1E"/>
    <w:rsid w:val="00BB6B0D"/>
    <w:rsid w:val="00BB6DE8"/>
    <w:rsid w:val="00BB6F40"/>
    <w:rsid w:val="00BB7051"/>
    <w:rsid w:val="00BB7CA3"/>
    <w:rsid w:val="00BB7F4E"/>
    <w:rsid w:val="00BC0003"/>
    <w:rsid w:val="00BC0203"/>
    <w:rsid w:val="00BC031E"/>
    <w:rsid w:val="00BC03E8"/>
    <w:rsid w:val="00BC050D"/>
    <w:rsid w:val="00BC065D"/>
    <w:rsid w:val="00BC0866"/>
    <w:rsid w:val="00BC0931"/>
    <w:rsid w:val="00BC0DB6"/>
    <w:rsid w:val="00BC12A3"/>
    <w:rsid w:val="00BC132C"/>
    <w:rsid w:val="00BC133C"/>
    <w:rsid w:val="00BC1EF4"/>
    <w:rsid w:val="00BC2504"/>
    <w:rsid w:val="00BC25AE"/>
    <w:rsid w:val="00BC2DF9"/>
    <w:rsid w:val="00BC3716"/>
    <w:rsid w:val="00BC398C"/>
    <w:rsid w:val="00BC39B2"/>
    <w:rsid w:val="00BC3D93"/>
    <w:rsid w:val="00BC3ED2"/>
    <w:rsid w:val="00BC43B4"/>
    <w:rsid w:val="00BC4543"/>
    <w:rsid w:val="00BC48AD"/>
    <w:rsid w:val="00BC4BCD"/>
    <w:rsid w:val="00BC4CFC"/>
    <w:rsid w:val="00BC4D65"/>
    <w:rsid w:val="00BC5455"/>
    <w:rsid w:val="00BC57C5"/>
    <w:rsid w:val="00BC586C"/>
    <w:rsid w:val="00BC5BB2"/>
    <w:rsid w:val="00BC6125"/>
    <w:rsid w:val="00BC62CD"/>
    <w:rsid w:val="00BC64E2"/>
    <w:rsid w:val="00BC668E"/>
    <w:rsid w:val="00BC67AB"/>
    <w:rsid w:val="00BC6D89"/>
    <w:rsid w:val="00BC7431"/>
    <w:rsid w:val="00BC769F"/>
    <w:rsid w:val="00BC76CE"/>
    <w:rsid w:val="00BC7B74"/>
    <w:rsid w:val="00BC7BA6"/>
    <w:rsid w:val="00BC7F59"/>
    <w:rsid w:val="00BD00C7"/>
    <w:rsid w:val="00BD01B7"/>
    <w:rsid w:val="00BD08D0"/>
    <w:rsid w:val="00BD0B26"/>
    <w:rsid w:val="00BD0EAA"/>
    <w:rsid w:val="00BD0F33"/>
    <w:rsid w:val="00BD0FFC"/>
    <w:rsid w:val="00BD12CD"/>
    <w:rsid w:val="00BD154F"/>
    <w:rsid w:val="00BD18DB"/>
    <w:rsid w:val="00BD1B58"/>
    <w:rsid w:val="00BD21EA"/>
    <w:rsid w:val="00BD22DB"/>
    <w:rsid w:val="00BD2B90"/>
    <w:rsid w:val="00BD2E25"/>
    <w:rsid w:val="00BD32EB"/>
    <w:rsid w:val="00BD3363"/>
    <w:rsid w:val="00BD33F8"/>
    <w:rsid w:val="00BD3673"/>
    <w:rsid w:val="00BD3B83"/>
    <w:rsid w:val="00BD3C80"/>
    <w:rsid w:val="00BD412B"/>
    <w:rsid w:val="00BD42ED"/>
    <w:rsid w:val="00BD46F9"/>
    <w:rsid w:val="00BD4772"/>
    <w:rsid w:val="00BD517F"/>
    <w:rsid w:val="00BD5CC1"/>
    <w:rsid w:val="00BD6023"/>
    <w:rsid w:val="00BD62FF"/>
    <w:rsid w:val="00BD6304"/>
    <w:rsid w:val="00BD6515"/>
    <w:rsid w:val="00BD6604"/>
    <w:rsid w:val="00BD66E5"/>
    <w:rsid w:val="00BD6D30"/>
    <w:rsid w:val="00BD7152"/>
    <w:rsid w:val="00BD735E"/>
    <w:rsid w:val="00BD776D"/>
    <w:rsid w:val="00BD7A4A"/>
    <w:rsid w:val="00BD7A80"/>
    <w:rsid w:val="00BD7AEB"/>
    <w:rsid w:val="00BD7B7F"/>
    <w:rsid w:val="00BD7CEA"/>
    <w:rsid w:val="00BD7DC5"/>
    <w:rsid w:val="00BD7E03"/>
    <w:rsid w:val="00BD7F13"/>
    <w:rsid w:val="00BD7FF1"/>
    <w:rsid w:val="00BE068D"/>
    <w:rsid w:val="00BE0D16"/>
    <w:rsid w:val="00BE0D26"/>
    <w:rsid w:val="00BE10DA"/>
    <w:rsid w:val="00BE1197"/>
    <w:rsid w:val="00BE1724"/>
    <w:rsid w:val="00BE1A54"/>
    <w:rsid w:val="00BE1A56"/>
    <w:rsid w:val="00BE1A76"/>
    <w:rsid w:val="00BE1AEA"/>
    <w:rsid w:val="00BE1CB7"/>
    <w:rsid w:val="00BE1CD7"/>
    <w:rsid w:val="00BE1DD7"/>
    <w:rsid w:val="00BE1FEE"/>
    <w:rsid w:val="00BE2246"/>
    <w:rsid w:val="00BE264E"/>
    <w:rsid w:val="00BE28D7"/>
    <w:rsid w:val="00BE34B2"/>
    <w:rsid w:val="00BE35DA"/>
    <w:rsid w:val="00BE365E"/>
    <w:rsid w:val="00BE48C6"/>
    <w:rsid w:val="00BE4910"/>
    <w:rsid w:val="00BE4F16"/>
    <w:rsid w:val="00BE53CC"/>
    <w:rsid w:val="00BE5D49"/>
    <w:rsid w:val="00BE5FBE"/>
    <w:rsid w:val="00BE638D"/>
    <w:rsid w:val="00BE66A6"/>
    <w:rsid w:val="00BE69EC"/>
    <w:rsid w:val="00BE73B7"/>
    <w:rsid w:val="00BE74E8"/>
    <w:rsid w:val="00BE776A"/>
    <w:rsid w:val="00BE7BE0"/>
    <w:rsid w:val="00BE7D76"/>
    <w:rsid w:val="00BE7D96"/>
    <w:rsid w:val="00BE7FA4"/>
    <w:rsid w:val="00BF02F1"/>
    <w:rsid w:val="00BF035E"/>
    <w:rsid w:val="00BF098D"/>
    <w:rsid w:val="00BF0D56"/>
    <w:rsid w:val="00BF0EF5"/>
    <w:rsid w:val="00BF141F"/>
    <w:rsid w:val="00BF1508"/>
    <w:rsid w:val="00BF1856"/>
    <w:rsid w:val="00BF19A7"/>
    <w:rsid w:val="00BF1B16"/>
    <w:rsid w:val="00BF1C0B"/>
    <w:rsid w:val="00BF21ED"/>
    <w:rsid w:val="00BF22AB"/>
    <w:rsid w:val="00BF2340"/>
    <w:rsid w:val="00BF2A65"/>
    <w:rsid w:val="00BF2C7D"/>
    <w:rsid w:val="00BF2CE6"/>
    <w:rsid w:val="00BF2D81"/>
    <w:rsid w:val="00BF2FF0"/>
    <w:rsid w:val="00BF38E1"/>
    <w:rsid w:val="00BF39F0"/>
    <w:rsid w:val="00BF3DCD"/>
    <w:rsid w:val="00BF3E8F"/>
    <w:rsid w:val="00BF3F6D"/>
    <w:rsid w:val="00BF3F87"/>
    <w:rsid w:val="00BF4562"/>
    <w:rsid w:val="00BF46DF"/>
    <w:rsid w:val="00BF4AAA"/>
    <w:rsid w:val="00BF4B74"/>
    <w:rsid w:val="00BF52C6"/>
    <w:rsid w:val="00BF5804"/>
    <w:rsid w:val="00BF5ABC"/>
    <w:rsid w:val="00BF616E"/>
    <w:rsid w:val="00BF638B"/>
    <w:rsid w:val="00BF6646"/>
    <w:rsid w:val="00BF6B6B"/>
    <w:rsid w:val="00BF6CF5"/>
    <w:rsid w:val="00BF7055"/>
    <w:rsid w:val="00BF717F"/>
    <w:rsid w:val="00BF732B"/>
    <w:rsid w:val="00BF74FC"/>
    <w:rsid w:val="00BF7663"/>
    <w:rsid w:val="00BF779F"/>
    <w:rsid w:val="00BF795B"/>
    <w:rsid w:val="00BF7C7C"/>
    <w:rsid w:val="00BF7DC8"/>
    <w:rsid w:val="00BF7FCD"/>
    <w:rsid w:val="00C00117"/>
    <w:rsid w:val="00C00209"/>
    <w:rsid w:val="00C005B2"/>
    <w:rsid w:val="00C00AA6"/>
    <w:rsid w:val="00C00D9F"/>
    <w:rsid w:val="00C00EA3"/>
    <w:rsid w:val="00C00FF2"/>
    <w:rsid w:val="00C011B1"/>
    <w:rsid w:val="00C011CA"/>
    <w:rsid w:val="00C0196D"/>
    <w:rsid w:val="00C01AE0"/>
    <w:rsid w:val="00C01F08"/>
    <w:rsid w:val="00C0200D"/>
    <w:rsid w:val="00C02534"/>
    <w:rsid w:val="00C02864"/>
    <w:rsid w:val="00C02A2F"/>
    <w:rsid w:val="00C02AF0"/>
    <w:rsid w:val="00C02BC0"/>
    <w:rsid w:val="00C02CCA"/>
    <w:rsid w:val="00C02DA9"/>
    <w:rsid w:val="00C02E57"/>
    <w:rsid w:val="00C0330B"/>
    <w:rsid w:val="00C036C8"/>
    <w:rsid w:val="00C038CA"/>
    <w:rsid w:val="00C0394A"/>
    <w:rsid w:val="00C03C81"/>
    <w:rsid w:val="00C04277"/>
    <w:rsid w:val="00C048AB"/>
    <w:rsid w:val="00C04EF6"/>
    <w:rsid w:val="00C05755"/>
    <w:rsid w:val="00C058A9"/>
    <w:rsid w:val="00C05B35"/>
    <w:rsid w:val="00C05BE2"/>
    <w:rsid w:val="00C05DB0"/>
    <w:rsid w:val="00C05F3F"/>
    <w:rsid w:val="00C065E4"/>
    <w:rsid w:val="00C066E7"/>
    <w:rsid w:val="00C0690F"/>
    <w:rsid w:val="00C06C98"/>
    <w:rsid w:val="00C06E82"/>
    <w:rsid w:val="00C06E83"/>
    <w:rsid w:val="00C06EA8"/>
    <w:rsid w:val="00C07989"/>
    <w:rsid w:val="00C106B1"/>
    <w:rsid w:val="00C106B5"/>
    <w:rsid w:val="00C10924"/>
    <w:rsid w:val="00C10C42"/>
    <w:rsid w:val="00C10CB6"/>
    <w:rsid w:val="00C10FC4"/>
    <w:rsid w:val="00C11212"/>
    <w:rsid w:val="00C1149A"/>
    <w:rsid w:val="00C11F2F"/>
    <w:rsid w:val="00C12A35"/>
    <w:rsid w:val="00C12BAB"/>
    <w:rsid w:val="00C12D0A"/>
    <w:rsid w:val="00C12EAF"/>
    <w:rsid w:val="00C132FE"/>
    <w:rsid w:val="00C13ADA"/>
    <w:rsid w:val="00C13CC9"/>
    <w:rsid w:val="00C13F08"/>
    <w:rsid w:val="00C13FBA"/>
    <w:rsid w:val="00C14116"/>
    <w:rsid w:val="00C141F3"/>
    <w:rsid w:val="00C14301"/>
    <w:rsid w:val="00C1451B"/>
    <w:rsid w:val="00C14815"/>
    <w:rsid w:val="00C1481E"/>
    <w:rsid w:val="00C14831"/>
    <w:rsid w:val="00C14E91"/>
    <w:rsid w:val="00C14F02"/>
    <w:rsid w:val="00C15538"/>
    <w:rsid w:val="00C15609"/>
    <w:rsid w:val="00C15967"/>
    <w:rsid w:val="00C15DC7"/>
    <w:rsid w:val="00C16379"/>
    <w:rsid w:val="00C166B5"/>
    <w:rsid w:val="00C16A51"/>
    <w:rsid w:val="00C16AE8"/>
    <w:rsid w:val="00C16B59"/>
    <w:rsid w:val="00C16CC8"/>
    <w:rsid w:val="00C1730D"/>
    <w:rsid w:val="00C176B2"/>
    <w:rsid w:val="00C17934"/>
    <w:rsid w:val="00C1793C"/>
    <w:rsid w:val="00C2148E"/>
    <w:rsid w:val="00C216BE"/>
    <w:rsid w:val="00C218E9"/>
    <w:rsid w:val="00C21AFA"/>
    <w:rsid w:val="00C21C4A"/>
    <w:rsid w:val="00C21CE4"/>
    <w:rsid w:val="00C21E20"/>
    <w:rsid w:val="00C21F71"/>
    <w:rsid w:val="00C2225B"/>
    <w:rsid w:val="00C22951"/>
    <w:rsid w:val="00C22AA3"/>
    <w:rsid w:val="00C22ADB"/>
    <w:rsid w:val="00C22E6A"/>
    <w:rsid w:val="00C230F5"/>
    <w:rsid w:val="00C23226"/>
    <w:rsid w:val="00C234A2"/>
    <w:rsid w:val="00C23A7E"/>
    <w:rsid w:val="00C23E5C"/>
    <w:rsid w:val="00C23F6E"/>
    <w:rsid w:val="00C23FBB"/>
    <w:rsid w:val="00C2428D"/>
    <w:rsid w:val="00C24658"/>
    <w:rsid w:val="00C24964"/>
    <w:rsid w:val="00C24A2D"/>
    <w:rsid w:val="00C250B8"/>
    <w:rsid w:val="00C25267"/>
    <w:rsid w:val="00C2554C"/>
    <w:rsid w:val="00C255C6"/>
    <w:rsid w:val="00C25726"/>
    <w:rsid w:val="00C25AFA"/>
    <w:rsid w:val="00C25F67"/>
    <w:rsid w:val="00C261F1"/>
    <w:rsid w:val="00C26331"/>
    <w:rsid w:val="00C26338"/>
    <w:rsid w:val="00C26369"/>
    <w:rsid w:val="00C2708A"/>
    <w:rsid w:val="00C270E6"/>
    <w:rsid w:val="00C27359"/>
    <w:rsid w:val="00C276D8"/>
    <w:rsid w:val="00C2771E"/>
    <w:rsid w:val="00C278AE"/>
    <w:rsid w:val="00C27A82"/>
    <w:rsid w:val="00C27CF3"/>
    <w:rsid w:val="00C27FEB"/>
    <w:rsid w:val="00C30038"/>
    <w:rsid w:val="00C30642"/>
    <w:rsid w:val="00C3092E"/>
    <w:rsid w:val="00C3096D"/>
    <w:rsid w:val="00C3098A"/>
    <w:rsid w:val="00C30D13"/>
    <w:rsid w:val="00C30DA5"/>
    <w:rsid w:val="00C311D3"/>
    <w:rsid w:val="00C31242"/>
    <w:rsid w:val="00C317C8"/>
    <w:rsid w:val="00C31A1A"/>
    <w:rsid w:val="00C31B50"/>
    <w:rsid w:val="00C31E01"/>
    <w:rsid w:val="00C321FB"/>
    <w:rsid w:val="00C32C00"/>
    <w:rsid w:val="00C32EA2"/>
    <w:rsid w:val="00C32EDB"/>
    <w:rsid w:val="00C33200"/>
    <w:rsid w:val="00C3364A"/>
    <w:rsid w:val="00C3377B"/>
    <w:rsid w:val="00C33876"/>
    <w:rsid w:val="00C34024"/>
    <w:rsid w:val="00C3454E"/>
    <w:rsid w:val="00C34597"/>
    <w:rsid w:val="00C34647"/>
    <w:rsid w:val="00C34658"/>
    <w:rsid w:val="00C34765"/>
    <w:rsid w:val="00C3488C"/>
    <w:rsid w:val="00C34A0E"/>
    <w:rsid w:val="00C34A80"/>
    <w:rsid w:val="00C34E66"/>
    <w:rsid w:val="00C350C5"/>
    <w:rsid w:val="00C356E3"/>
    <w:rsid w:val="00C359E5"/>
    <w:rsid w:val="00C35E87"/>
    <w:rsid w:val="00C36126"/>
    <w:rsid w:val="00C364DA"/>
    <w:rsid w:val="00C366A5"/>
    <w:rsid w:val="00C3676A"/>
    <w:rsid w:val="00C36A2E"/>
    <w:rsid w:val="00C37484"/>
    <w:rsid w:val="00C37983"/>
    <w:rsid w:val="00C37CC7"/>
    <w:rsid w:val="00C37D78"/>
    <w:rsid w:val="00C37F0F"/>
    <w:rsid w:val="00C40354"/>
    <w:rsid w:val="00C404FC"/>
    <w:rsid w:val="00C4084F"/>
    <w:rsid w:val="00C40E7C"/>
    <w:rsid w:val="00C410B7"/>
    <w:rsid w:val="00C41A02"/>
    <w:rsid w:val="00C41DE8"/>
    <w:rsid w:val="00C41E9B"/>
    <w:rsid w:val="00C41EAC"/>
    <w:rsid w:val="00C42745"/>
    <w:rsid w:val="00C4275D"/>
    <w:rsid w:val="00C42A48"/>
    <w:rsid w:val="00C434DC"/>
    <w:rsid w:val="00C436D1"/>
    <w:rsid w:val="00C439F4"/>
    <w:rsid w:val="00C43EF9"/>
    <w:rsid w:val="00C441F8"/>
    <w:rsid w:val="00C4423B"/>
    <w:rsid w:val="00C44254"/>
    <w:rsid w:val="00C446A7"/>
    <w:rsid w:val="00C4477C"/>
    <w:rsid w:val="00C4486D"/>
    <w:rsid w:val="00C44EB2"/>
    <w:rsid w:val="00C450CE"/>
    <w:rsid w:val="00C452F7"/>
    <w:rsid w:val="00C45328"/>
    <w:rsid w:val="00C45329"/>
    <w:rsid w:val="00C4538D"/>
    <w:rsid w:val="00C45D94"/>
    <w:rsid w:val="00C45FE0"/>
    <w:rsid w:val="00C46433"/>
    <w:rsid w:val="00C46460"/>
    <w:rsid w:val="00C46ED2"/>
    <w:rsid w:val="00C4705E"/>
    <w:rsid w:val="00C47074"/>
    <w:rsid w:val="00C470A8"/>
    <w:rsid w:val="00C4758B"/>
    <w:rsid w:val="00C47772"/>
    <w:rsid w:val="00C47983"/>
    <w:rsid w:val="00C47B04"/>
    <w:rsid w:val="00C47FE7"/>
    <w:rsid w:val="00C500B3"/>
    <w:rsid w:val="00C5093E"/>
    <w:rsid w:val="00C50E69"/>
    <w:rsid w:val="00C50ECC"/>
    <w:rsid w:val="00C50EE6"/>
    <w:rsid w:val="00C51158"/>
    <w:rsid w:val="00C514AD"/>
    <w:rsid w:val="00C51554"/>
    <w:rsid w:val="00C5179A"/>
    <w:rsid w:val="00C5194F"/>
    <w:rsid w:val="00C5197B"/>
    <w:rsid w:val="00C51B17"/>
    <w:rsid w:val="00C526F1"/>
    <w:rsid w:val="00C52B5B"/>
    <w:rsid w:val="00C53440"/>
    <w:rsid w:val="00C5347E"/>
    <w:rsid w:val="00C53589"/>
    <w:rsid w:val="00C53B87"/>
    <w:rsid w:val="00C542E5"/>
    <w:rsid w:val="00C54787"/>
    <w:rsid w:val="00C549BD"/>
    <w:rsid w:val="00C55707"/>
    <w:rsid w:val="00C5582F"/>
    <w:rsid w:val="00C5585E"/>
    <w:rsid w:val="00C55E26"/>
    <w:rsid w:val="00C5622C"/>
    <w:rsid w:val="00C567EB"/>
    <w:rsid w:val="00C56D9C"/>
    <w:rsid w:val="00C56E51"/>
    <w:rsid w:val="00C5760B"/>
    <w:rsid w:val="00C576F6"/>
    <w:rsid w:val="00C577DC"/>
    <w:rsid w:val="00C578FD"/>
    <w:rsid w:val="00C579A8"/>
    <w:rsid w:val="00C57D7A"/>
    <w:rsid w:val="00C602E8"/>
    <w:rsid w:val="00C604C5"/>
    <w:rsid w:val="00C60540"/>
    <w:rsid w:val="00C60575"/>
    <w:rsid w:val="00C60647"/>
    <w:rsid w:val="00C606F3"/>
    <w:rsid w:val="00C609AD"/>
    <w:rsid w:val="00C60AD1"/>
    <w:rsid w:val="00C60E13"/>
    <w:rsid w:val="00C60F78"/>
    <w:rsid w:val="00C61072"/>
    <w:rsid w:val="00C61372"/>
    <w:rsid w:val="00C61A79"/>
    <w:rsid w:val="00C620E0"/>
    <w:rsid w:val="00C6227F"/>
    <w:rsid w:val="00C622DC"/>
    <w:rsid w:val="00C625EB"/>
    <w:rsid w:val="00C62AC1"/>
    <w:rsid w:val="00C62FEF"/>
    <w:rsid w:val="00C6352D"/>
    <w:rsid w:val="00C635BA"/>
    <w:rsid w:val="00C6373D"/>
    <w:rsid w:val="00C639BE"/>
    <w:rsid w:val="00C63AA5"/>
    <w:rsid w:val="00C6473F"/>
    <w:rsid w:val="00C6474F"/>
    <w:rsid w:val="00C64946"/>
    <w:rsid w:val="00C65432"/>
    <w:rsid w:val="00C6591D"/>
    <w:rsid w:val="00C659E3"/>
    <w:rsid w:val="00C65B00"/>
    <w:rsid w:val="00C65B5B"/>
    <w:rsid w:val="00C65C3C"/>
    <w:rsid w:val="00C65D0A"/>
    <w:rsid w:val="00C65E18"/>
    <w:rsid w:val="00C6600B"/>
    <w:rsid w:val="00C661AF"/>
    <w:rsid w:val="00C66334"/>
    <w:rsid w:val="00C66455"/>
    <w:rsid w:val="00C66498"/>
    <w:rsid w:val="00C66984"/>
    <w:rsid w:val="00C66B78"/>
    <w:rsid w:val="00C67075"/>
    <w:rsid w:val="00C67482"/>
    <w:rsid w:val="00C67716"/>
    <w:rsid w:val="00C67864"/>
    <w:rsid w:val="00C67BB1"/>
    <w:rsid w:val="00C704EA"/>
    <w:rsid w:val="00C70C94"/>
    <w:rsid w:val="00C70EC5"/>
    <w:rsid w:val="00C710E4"/>
    <w:rsid w:val="00C71221"/>
    <w:rsid w:val="00C71268"/>
    <w:rsid w:val="00C7126C"/>
    <w:rsid w:val="00C71B68"/>
    <w:rsid w:val="00C7203D"/>
    <w:rsid w:val="00C72293"/>
    <w:rsid w:val="00C72569"/>
    <w:rsid w:val="00C728F2"/>
    <w:rsid w:val="00C72976"/>
    <w:rsid w:val="00C72C50"/>
    <w:rsid w:val="00C72C66"/>
    <w:rsid w:val="00C72DCE"/>
    <w:rsid w:val="00C73074"/>
    <w:rsid w:val="00C735B3"/>
    <w:rsid w:val="00C73658"/>
    <w:rsid w:val="00C7369A"/>
    <w:rsid w:val="00C742FA"/>
    <w:rsid w:val="00C74523"/>
    <w:rsid w:val="00C747EA"/>
    <w:rsid w:val="00C74839"/>
    <w:rsid w:val="00C751AB"/>
    <w:rsid w:val="00C751ED"/>
    <w:rsid w:val="00C75359"/>
    <w:rsid w:val="00C758F5"/>
    <w:rsid w:val="00C75DC7"/>
    <w:rsid w:val="00C76229"/>
    <w:rsid w:val="00C76355"/>
    <w:rsid w:val="00C764AA"/>
    <w:rsid w:val="00C7686C"/>
    <w:rsid w:val="00C768F1"/>
    <w:rsid w:val="00C76AD7"/>
    <w:rsid w:val="00C76B9F"/>
    <w:rsid w:val="00C76CFD"/>
    <w:rsid w:val="00C770D0"/>
    <w:rsid w:val="00C77211"/>
    <w:rsid w:val="00C77302"/>
    <w:rsid w:val="00C77452"/>
    <w:rsid w:val="00C774F7"/>
    <w:rsid w:val="00C778A9"/>
    <w:rsid w:val="00C77A08"/>
    <w:rsid w:val="00C77A9A"/>
    <w:rsid w:val="00C77C0E"/>
    <w:rsid w:val="00C77C6A"/>
    <w:rsid w:val="00C77DF6"/>
    <w:rsid w:val="00C80025"/>
    <w:rsid w:val="00C802B9"/>
    <w:rsid w:val="00C806A3"/>
    <w:rsid w:val="00C806A6"/>
    <w:rsid w:val="00C80876"/>
    <w:rsid w:val="00C808FD"/>
    <w:rsid w:val="00C809CB"/>
    <w:rsid w:val="00C80A68"/>
    <w:rsid w:val="00C80ADE"/>
    <w:rsid w:val="00C80AFC"/>
    <w:rsid w:val="00C80C94"/>
    <w:rsid w:val="00C80E05"/>
    <w:rsid w:val="00C816E9"/>
    <w:rsid w:val="00C81C1C"/>
    <w:rsid w:val="00C81E02"/>
    <w:rsid w:val="00C82351"/>
    <w:rsid w:val="00C823A9"/>
    <w:rsid w:val="00C823CC"/>
    <w:rsid w:val="00C82511"/>
    <w:rsid w:val="00C826BF"/>
    <w:rsid w:val="00C82851"/>
    <w:rsid w:val="00C82950"/>
    <w:rsid w:val="00C835D1"/>
    <w:rsid w:val="00C839D3"/>
    <w:rsid w:val="00C83D59"/>
    <w:rsid w:val="00C83DA8"/>
    <w:rsid w:val="00C83EA3"/>
    <w:rsid w:val="00C8483C"/>
    <w:rsid w:val="00C8499B"/>
    <w:rsid w:val="00C84DEB"/>
    <w:rsid w:val="00C84E5A"/>
    <w:rsid w:val="00C855B3"/>
    <w:rsid w:val="00C859BD"/>
    <w:rsid w:val="00C859D9"/>
    <w:rsid w:val="00C85A85"/>
    <w:rsid w:val="00C85F5C"/>
    <w:rsid w:val="00C86098"/>
    <w:rsid w:val="00C860FB"/>
    <w:rsid w:val="00C86447"/>
    <w:rsid w:val="00C86B2C"/>
    <w:rsid w:val="00C86BF3"/>
    <w:rsid w:val="00C86D22"/>
    <w:rsid w:val="00C86D73"/>
    <w:rsid w:val="00C86DA0"/>
    <w:rsid w:val="00C8714F"/>
    <w:rsid w:val="00C878EF"/>
    <w:rsid w:val="00C8796F"/>
    <w:rsid w:val="00C879D1"/>
    <w:rsid w:val="00C87AE2"/>
    <w:rsid w:val="00C87D30"/>
    <w:rsid w:val="00C900BE"/>
    <w:rsid w:val="00C9028E"/>
    <w:rsid w:val="00C9046D"/>
    <w:rsid w:val="00C90E3A"/>
    <w:rsid w:val="00C91075"/>
    <w:rsid w:val="00C915B3"/>
    <w:rsid w:val="00C915E1"/>
    <w:rsid w:val="00C916C2"/>
    <w:rsid w:val="00C918F2"/>
    <w:rsid w:val="00C91AF7"/>
    <w:rsid w:val="00C92777"/>
    <w:rsid w:val="00C9299D"/>
    <w:rsid w:val="00C92ACE"/>
    <w:rsid w:val="00C92AD4"/>
    <w:rsid w:val="00C92B1A"/>
    <w:rsid w:val="00C92FFF"/>
    <w:rsid w:val="00C93011"/>
    <w:rsid w:val="00C9333D"/>
    <w:rsid w:val="00C936B4"/>
    <w:rsid w:val="00C93F1C"/>
    <w:rsid w:val="00C941C1"/>
    <w:rsid w:val="00C94685"/>
    <w:rsid w:val="00C95305"/>
    <w:rsid w:val="00C95F15"/>
    <w:rsid w:val="00C96165"/>
    <w:rsid w:val="00C96953"/>
    <w:rsid w:val="00C96E97"/>
    <w:rsid w:val="00C97194"/>
    <w:rsid w:val="00C972A3"/>
    <w:rsid w:val="00C974D2"/>
    <w:rsid w:val="00C979CC"/>
    <w:rsid w:val="00CA0217"/>
    <w:rsid w:val="00CA0378"/>
    <w:rsid w:val="00CA0408"/>
    <w:rsid w:val="00CA059C"/>
    <w:rsid w:val="00CA0704"/>
    <w:rsid w:val="00CA0A70"/>
    <w:rsid w:val="00CA0C6B"/>
    <w:rsid w:val="00CA0CCA"/>
    <w:rsid w:val="00CA0CDC"/>
    <w:rsid w:val="00CA0E36"/>
    <w:rsid w:val="00CA0F5C"/>
    <w:rsid w:val="00CA13CE"/>
    <w:rsid w:val="00CA16CE"/>
    <w:rsid w:val="00CA1875"/>
    <w:rsid w:val="00CA1AAB"/>
    <w:rsid w:val="00CA1B28"/>
    <w:rsid w:val="00CA1B3D"/>
    <w:rsid w:val="00CA1E13"/>
    <w:rsid w:val="00CA1F4C"/>
    <w:rsid w:val="00CA21AC"/>
    <w:rsid w:val="00CA23F0"/>
    <w:rsid w:val="00CA2A39"/>
    <w:rsid w:val="00CA2B33"/>
    <w:rsid w:val="00CA2C8D"/>
    <w:rsid w:val="00CA2D93"/>
    <w:rsid w:val="00CA2EB9"/>
    <w:rsid w:val="00CA346E"/>
    <w:rsid w:val="00CA37C0"/>
    <w:rsid w:val="00CA3A9A"/>
    <w:rsid w:val="00CA3BAA"/>
    <w:rsid w:val="00CA40F7"/>
    <w:rsid w:val="00CA4499"/>
    <w:rsid w:val="00CA4692"/>
    <w:rsid w:val="00CA4772"/>
    <w:rsid w:val="00CA483C"/>
    <w:rsid w:val="00CA4A6B"/>
    <w:rsid w:val="00CA557F"/>
    <w:rsid w:val="00CA56B9"/>
    <w:rsid w:val="00CA6022"/>
    <w:rsid w:val="00CA609C"/>
    <w:rsid w:val="00CA6605"/>
    <w:rsid w:val="00CA6944"/>
    <w:rsid w:val="00CB03A4"/>
    <w:rsid w:val="00CB0A0D"/>
    <w:rsid w:val="00CB0D54"/>
    <w:rsid w:val="00CB0D7B"/>
    <w:rsid w:val="00CB12BF"/>
    <w:rsid w:val="00CB1705"/>
    <w:rsid w:val="00CB18F1"/>
    <w:rsid w:val="00CB21DD"/>
    <w:rsid w:val="00CB2269"/>
    <w:rsid w:val="00CB253E"/>
    <w:rsid w:val="00CB2745"/>
    <w:rsid w:val="00CB28C8"/>
    <w:rsid w:val="00CB2B14"/>
    <w:rsid w:val="00CB2E4A"/>
    <w:rsid w:val="00CB2EDB"/>
    <w:rsid w:val="00CB2F1F"/>
    <w:rsid w:val="00CB30E1"/>
    <w:rsid w:val="00CB35D5"/>
    <w:rsid w:val="00CB3717"/>
    <w:rsid w:val="00CB37FA"/>
    <w:rsid w:val="00CB39AD"/>
    <w:rsid w:val="00CB4049"/>
    <w:rsid w:val="00CB41CD"/>
    <w:rsid w:val="00CB434C"/>
    <w:rsid w:val="00CB4404"/>
    <w:rsid w:val="00CB4BC0"/>
    <w:rsid w:val="00CB4BD4"/>
    <w:rsid w:val="00CB4FD6"/>
    <w:rsid w:val="00CB501E"/>
    <w:rsid w:val="00CB52C2"/>
    <w:rsid w:val="00CB52D3"/>
    <w:rsid w:val="00CB57A2"/>
    <w:rsid w:val="00CB57A7"/>
    <w:rsid w:val="00CB5865"/>
    <w:rsid w:val="00CB5CE4"/>
    <w:rsid w:val="00CB5D6B"/>
    <w:rsid w:val="00CB5DF5"/>
    <w:rsid w:val="00CB6191"/>
    <w:rsid w:val="00CB6885"/>
    <w:rsid w:val="00CB6E21"/>
    <w:rsid w:val="00CB6F0B"/>
    <w:rsid w:val="00CB7055"/>
    <w:rsid w:val="00CB7264"/>
    <w:rsid w:val="00CB729D"/>
    <w:rsid w:val="00CB730C"/>
    <w:rsid w:val="00CB77FC"/>
    <w:rsid w:val="00CB7C6B"/>
    <w:rsid w:val="00CC03C2"/>
    <w:rsid w:val="00CC0553"/>
    <w:rsid w:val="00CC0763"/>
    <w:rsid w:val="00CC087A"/>
    <w:rsid w:val="00CC08E0"/>
    <w:rsid w:val="00CC0B00"/>
    <w:rsid w:val="00CC0D93"/>
    <w:rsid w:val="00CC0F08"/>
    <w:rsid w:val="00CC149D"/>
    <w:rsid w:val="00CC16F4"/>
    <w:rsid w:val="00CC1A62"/>
    <w:rsid w:val="00CC1AA5"/>
    <w:rsid w:val="00CC1D6D"/>
    <w:rsid w:val="00CC1F76"/>
    <w:rsid w:val="00CC1F80"/>
    <w:rsid w:val="00CC20E0"/>
    <w:rsid w:val="00CC2122"/>
    <w:rsid w:val="00CC23CB"/>
    <w:rsid w:val="00CC2712"/>
    <w:rsid w:val="00CC2D84"/>
    <w:rsid w:val="00CC2EE9"/>
    <w:rsid w:val="00CC320F"/>
    <w:rsid w:val="00CC34BE"/>
    <w:rsid w:val="00CC37A4"/>
    <w:rsid w:val="00CC4001"/>
    <w:rsid w:val="00CC4414"/>
    <w:rsid w:val="00CC4BA7"/>
    <w:rsid w:val="00CC5081"/>
    <w:rsid w:val="00CC58C8"/>
    <w:rsid w:val="00CC5B02"/>
    <w:rsid w:val="00CC636A"/>
    <w:rsid w:val="00CC672C"/>
    <w:rsid w:val="00CC6BD8"/>
    <w:rsid w:val="00CC6E74"/>
    <w:rsid w:val="00CC701F"/>
    <w:rsid w:val="00CC72ED"/>
    <w:rsid w:val="00CC763E"/>
    <w:rsid w:val="00CD01E9"/>
    <w:rsid w:val="00CD05E4"/>
    <w:rsid w:val="00CD0642"/>
    <w:rsid w:val="00CD06EE"/>
    <w:rsid w:val="00CD0901"/>
    <w:rsid w:val="00CD0D1F"/>
    <w:rsid w:val="00CD17C6"/>
    <w:rsid w:val="00CD251E"/>
    <w:rsid w:val="00CD26C6"/>
    <w:rsid w:val="00CD27DD"/>
    <w:rsid w:val="00CD2B85"/>
    <w:rsid w:val="00CD2FCA"/>
    <w:rsid w:val="00CD312B"/>
    <w:rsid w:val="00CD3161"/>
    <w:rsid w:val="00CD31AF"/>
    <w:rsid w:val="00CD342B"/>
    <w:rsid w:val="00CD369E"/>
    <w:rsid w:val="00CD3B73"/>
    <w:rsid w:val="00CD410A"/>
    <w:rsid w:val="00CD44C1"/>
    <w:rsid w:val="00CD4696"/>
    <w:rsid w:val="00CD4A48"/>
    <w:rsid w:val="00CD4AFC"/>
    <w:rsid w:val="00CD4B40"/>
    <w:rsid w:val="00CD4D87"/>
    <w:rsid w:val="00CD4E5B"/>
    <w:rsid w:val="00CD4FAA"/>
    <w:rsid w:val="00CD500F"/>
    <w:rsid w:val="00CD50A4"/>
    <w:rsid w:val="00CD52AA"/>
    <w:rsid w:val="00CD5939"/>
    <w:rsid w:val="00CD5A57"/>
    <w:rsid w:val="00CD5EE1"/>
    <w:rsid w:val="00CD5F23"/>
    <w:rsid w:val="00CD60E1"/>
    <w:rsid w:val="00CD614F"/>
    <w:rsid w:val="00CD6F54"/>
    <w:rsid w:val="00CD7123"/>
    <w:rsid w:val="00CD7281"/>
    <w:rsid w:val="00CD7932"/>
    <w:rsid w:val="00CD7CDE"/>
    <w:rsid w:val="00CD7E3F"/>
    <w:rsid w:val="00CE0733"/>
    <w:rsid w:val="00CE0DA0"/>
    <w:rsid w:val="00CE0DC7"/>
    <w:rsid w:val="00CE1204"/>
    <w:rsid w:val="00CE160B"/>
    <w:rsid w:val="00CE165C"/>
    <w:rsid w:val="00CE1666"/>
    <w:rsid w:val="00CE16D0"/>
    <w:rsid w:val="00CE189B"/>
    <w:rsid w:val="00CE1915"/>
    <w:rsid w:val="00CE1AE5"/>
    <w:rsid w:val="00CE1AF5"/>
    <w:rsid w:val="00CE22D0"/>
    <w:rsid w:val="00CE2378"/>
    <w:rsid w:val="00CE2582"/>
    <w:rsid w:val="00CE262B"/>
    <w:rsid w:val="00CE2ADF"/>
    <w:rsid w:val="00CE2BF6"/>
    <w:rsid w:val="00CE2DD9"/>
    <w:rsid w:val="00CE2EAC"/>
    <w:rsid w:val="00CE30DC"/>
    <w:rsid w:val="00CE31AC"/>
    <w:rsid w:val="00CE31C9"/>
    <w:rsid w:val="00CE31E0"/>
    <w:rsid w:val="00CE3572"/>
    <w:rsid w:val="00CE36E9"/>
    <w:rsid w:val="00CE37F4"/>
    <w:rsid w:val="00CE392B"/>
    <w:rsid w:val="00CE3B50"/>
    <w:rsid w:val="00CE3BF5"/>
    <w:rsid w:val="00CE3C7A"/>
    <w:rsid w:val="00CE3F7F"/>
    <w:rsid w:val="00CE3FEB"/>
    <w:rsid w:val="00CE416E"/>
    <w:rsid w:val="00CE4569"/>
    <w:rsid w:val="00CE47F4"/>
    <w:rsid w:val="00CE4F1E"/>
    <w:rsid w:val="00CE507C"/>
    <w:rsid w:val="00CE536C"/>
    <w:rsid w:val="00CE5499"/>
    <w:rsid w:val="00CE5AE1"/>
    <w:rsid w:val="00CE5D1D"/>
    <w:rsid w:val="00CE62FA"/>
    <w:rsid w:val="00CE6378"/>
    <w:rsid w:val="00CE63EC"/>
    <w:rsid w:val="00CE66E1"/>
    <w:rsid w:val="00CE6879"/>
    <w:rsid w:val="00CE6E8F"/>
    <w:rsid w:val="00CE6F97"/>
    <w:rsid w:val="00CE75C0"/>
    <w:rsid w:val="00CE764A"/>
    <w:rsid w:val="00CE7AD8"/>
    <w:rsid w:val="00CE7B3B"/>
    <w:rsid w:val="00CE7B74"/>
    <w:rsid w:val="00CF0044"/>
    <w:rsid w:val="00CF00F9"/>
    <w:rsid w:val="00CF02CD"/>
    <w:rsid w:val="00CF0CDC"/>
    <w:rsid w:val="00CF0E7A"/>
    <w:rsid w:val="00CF0F7A"/>
    <w:rsid w:val="00CF110C"/>
    <w:rsid w:val="00CF199E"/>
    <w:rsid w:val="00CF19BC"/>
    <w:rsid w:val="00CF19F4"/>
    <w:rsid w:val="00CF1C10"/>
    <w:rsid w:val="00CF1D38"/>
    <w:rsid w:val="00CF2251"/>
    <w:rsid w:val="00CF2642"/>
    <w:rsid w:val="00CF2B12"/>
    <w:rsid w:val="00CF2C9D"/>
    <w:rsid w:val="00CF3212"/>
    <w:rsid w:val="00CF37AB"/>
    <w:rsid w:val="00CF3E62"/>
    <w:rsid w:val="00CF4038"/>
    <w:rsid w:val="00CF44DB"/>
    <w:rsid w:val="00CF4F09"/>
    <w:rsid w:val="00CF4FBB"/>
    <w:rsid w:val="00CF541E"/>
    <w:rsid w:val="00CF54CA"/>
    <w:rsid w:val="00CF584A"/>
    <w:rsid w:val="00CF5B9F"/>
    <w:rsid w:val="00CF5D16"/>
    <w:rsid w:val="00CF5F77"/>
    <w:rsid w:val="00CF6182"/>
    <w:rsid w:val="00CF65C2"/>
    <w:rsid w:val="00CF68FE"/>
    <w:rsid w:val="00CF6A19"/>
    <w:rsid w:val="00CF70FC"/>
    <w:rsid w:val="00CF7366"/>
    <w:rsid w:val="00CF7448"/>
    <w:rsid w:val="00CF77AF"/>
    <w:rsid w:val="00CF77E4"/>
    <w:rsid w:val="00CF7DAD"/>
    <w:rsid w:val="00CF7F0A"/>
    <w:rsid w:val="00D000E1"/>
    <w:rsid w:val="00D003A9"/>
    <w:rsid w:val="00D003DF"/>
    <w:rsid w:val="00D00629"/>
    <w:rsid w:val="00D00882"/>
    <w:rsid w:val="00D008B5"/>
    <w:rsid w:val="00D00A4E"/>
    <w:rsid w:val="00D00F4B"/>
    <w:rsid w:val="00D01105"/>
    <w:rsid w:val="00D011DA"/>
    <w:rsid w:val="00D01248"/>
    <w:rsid w:val="00D01672"/>
    <w:rsid w:val="00D01D6D"/>
    <w:rsid w:val="00D01E5C"/>
    <w:rsid w:val="00D021A5"/>
    <w:rsid w:val="00D03A3E"/>
    <w:rsid w:val="00D03BB5"/>
    <w:rsid w:val="00D03C2D"/>
    <w:rsid w:val="00D03F31"/>
    <w:rsid w:val="00D03FF8"/>
    <w:rsid w:val="00D04398"/>
    <w:rsid w:val="00D044E0"/>
    <w:rsid w:val="00D04B80"/>
    <w:rsid w:val="00D04C39"/>
    <w:rsid w:val="00D04F03"/>
    <w:rsid w:val="00D05082"/>
    <w:rsid w:val="00D05143"/>
    <w:rsid w:val="00D0656C"/>
    <w:rsid w:val="00D06701"/>
    <w:rsid w:val="00D068DA"/>
    <w:rsid w:val="00D072D0"/>
    <w:rsid w:val="00D07314"/>
    <w:rsid w:val="00D07405"/>
    <w:rsid w:val="00D077E0"/>
    <w:rsid w:val="00D078AD"/>
    <w:rsid w:val="00D078C9"/>
    <w:rsid w:val="00D07BF8"/>
    <w:rsid w:val="00D07EAE"/>
    <w:rsid w:val="00D10444"/>
    <w:rsid w:val="00D10964"/>
    <w:rsid w:val="00D10A75"/>
    <w:rsid w:val="00D10E15"/>
    <w:rsid w:val="00D10E61"/>
    <w:rsid w:val="00D11317"/>
    <w:rsid w:val="00D113D1"/>
    <w:rsid w:val="00D11607"/>
    <w:rsid w:val="00D1173F"/>
    <w:rsid w:val="00D119EF"/>
    <w:rsid w:val="00D11C54"/>
    <w:rsid w:val="00D11D47"/>
    <w:rsid w:val="00D11D9F"/>
    <w:rsid w:val="00D11DBC"/>
    <w:rsid w:val="00D11DD7"/>
    <w:rsid w:val="00D12281"/>
    <w:rsid w:val="00D124DB"/>
    <w:rsid w:val="00D126F5"/>
    <w:rsid w:val="00D12999"/>
    <w:rsid w:val="00D12A7C"/>
    <w:rsid w:val="00D12F47"/>
    <w:rsid w:val="00D135DD"/>
    <w:rsid w:val="00D135FD"/>
    <w:rsid w:val="00D13AE3"/>
    <w:rsid w:val="00D146E1"/>
    <w:rsid w:val="00D14B43"/>
    <w:rsid w:val="00D14BF1"/>
    <w:rsid w:val="00D15083"/>
    <w:rsid w:val="00D1529A"/>
    <w:rsid w:val="00D1543E"/>
    <w:rsid w:val="00D15462"/>
    <w:rsid w:val="00D15867"/>
    <w:rsid w:val="00D158A1"/>
    <w:rsid w:val="00D15C7F"/>
    <w:rsid w:val="00D16074"/>
    <w:rsid w:val="00D16234"/>
    <w:rsid w:val="00D1662B"/>
    <w:rsid w:val="00D1670E"/>
    <w:rsid w:val="00D169A7"/>
    <w:rsid w:val="00D1706D"/>
    <w:rsid w:val="00D17669"/>
    <w:rsid w:val="00D179F5"/>
    <w:rsid w:val="00D17FA3"/>
    <w:rsid w:val="00D2008E"/>
    <w:rsid w:val="00D208B6"/>
    <w:rsid w:val="00D20A50"/>
    <w:rsid w:val="00D20B3F"/>
    <w:rsid w:val="00D21387"/>
    <w:rsid w:val="00D21481"/>
    <w:rsid w:val="00D2167A"/>
    <w:rsid w:val="00D218AE"/>
    <w:rsid w:val="00D218D2"/>
    <w:rsid w:val="00D21EEE"/>
    <w:rsid w:val="00D2216A"/>
    <w:rsid w:val="00D221D8"/>
    <w:rsid w:val="00D22A98"/>
    <w:rsid w:val="00D22C7C"/>
    <w:rsid w:val="00D22C8E"/>
    <w:rsid w:val="00D22E49"/>
    <w:rsid w:val="00D2316D"/>
    <w:rsid w:val="00D231E1"/>
    <w:rsid w:val="00D23709"/>
    <w:rsid w:val="00D23964"/>
    <w:rsid w:val="00D23978"/>
    <w:rsid w:val="00D23C39"/>
    <w:rsid w:val="00D23D66"/>
    <w:rsid w:val="00D23DB8"/>
    <w:rsid w:val="00D23FFD"/>
    <w:rsid w:val="00D2409B"/>
    <w:rsid w:val="00D243E9"/>
    <w:rsid w:val="00D248A9"/>
    <w:rsid w:val="00D250F8"/>
    <w:rsid w:val="00D2518F"/>
    <w:rsid w:val="00D251D2"/>
    <w:rsid w:val="00D255E4"/>
    <w:rsid w:val="00D25A05"/>
    <w:rsid w:val="00D25A36"/>
    <w:rsid w:val="00D25D4E"/>
    <w:rsid w:val="00D25E1B"/>
    <w:rsid w:val="00D26495"/>
    <w:rsid w:val="00D2651A"/>
    <w:rsid w:val="00D2651F"/>
    <w:rsid w:val="00D26BD9"/>
    <w:rsid w:val="00D26C67"/>
    <w:rsid w:val="00D26EA7"/>
    <w:rsid w:val="00D27144"/>
    <w:rsid w:val="00D27600"/>
    <w:rsid w:val="00D27918"/>
    <w:rsid w:val="00D27D4F"/>
    <w:rsid w:val="00D27F56"/>
    <w:rsid w:val="00D30101"/>
    <w:rsid w:val="00D30108"/>
    <w:rsid w:val="00D306AA"/>
    <w:rsid w:val="00D30908"/>
    <w:rsid w:val="00D30F4A"/>
    <w:rsid w:val="00D317CE"/>
    <w:rsid w:val="00D320BC"/>
    <w:rsid w:val="00D3224A"/>
    <w:rsid w:val="00D32434"/>
    <w:rsid w:val="00D3298F"/>
    <w:rsid w:val="00D32BDA"/>
    <w:rsid w:val="00D32BFF"/>
    <w:rsid w:val="00D32D05"/>
    <w:rsid w:val="00D32D38"/>
    <w:rsid w:val="00D33080"/>
    <w:rsid w:val="00D33122"/>
    <w:rsid w:val="00D33163"/>
    <w:rsid w:val="00D3318A"/>
    <w:rsid w:val="00D33404"/>
    <w:rsid w:val="00D3344A"/>
    <w:rsid w:val="00D335A3"/>
    <w:rsid w:val="00D3399B"/>
    <w:rsid w:val="00D33AED"/>
    <w:rsid w:val="00D33D50"/>
    <w:rsid w:val="00D3409A"/>
    <w:rsid w:val="00D34766"/>
    <w:rsid w:val="00D3493F"/>
    <w:rsid w:val="00D34F4D"/>
    <w:rsid w:val="00D3516C"/>
    <w:rsid w:val="00D351C9"/>
    <w:rsid w:val="00D354AC"/>
    <w:rsid w:val="00D355BF"/>
    <w:rsid w:val="00D3561C"/>
    <w:rsid w:val="00D357D3"/>
    <w:rsid w:val="00D35853"/>
    <w:rsid w:val="00D359FB"/>
    <w:rsid w:val="00D35ACF"/>
    <w:rsid w:val="00D35C04"/>
    <w:rsid w:val="00D3623B"/>
    <w:rsid w:val="00D363F8"/>
    <w:rsid w:val="00D36841"/>
    <w:rsid w:val="00D36DA4"/>
    <w:rsid w:val="00D37071"/>
    <w:rsid w:val="00D37317"/>
    <w:rsid w:val="00D37337"/>
    <w:rsid w:val="00D37566"/>
    <w:rsid w:val="00D37678"/>
    <w:rsid w:val="00D377DF"/>
    <w:rsid w:val="00D37A20"/>
    <w:rsid w:val="00D37AAE"/>
    <w:rsid w:val="00D37C2B"/>
    <w:rsid w:val="00D37D35"/>
    <w:rsid w:val="00D400C9"/>
    <w:rsid w:val="00D4061F"/>
    <w:rsid w:val="00D40E44"/>
    <w:rsid w:val="00D40E5B"/>
    <w:rsid w:val="00D40FED"/>
    <w:rsid w:val="00D41028"/>
    <w:rsid w:val="00D4133F"/>
    <w:rsid w:val="00D41488"/>
    <w:rsid w:val="00D41555"/>
    <w:rsid w:val="00D41790"/>
    <w:rsid w:val="00D420E6"/>
    <w:rsid w:val="00D4218C"/>
    <w:rsid w:val="00D42198"/>
    <w:rsid w:val="00D427EF"/>
    <w:rsid w:val="00D428A8"/>
    <w:rsid w:val="00D42927"/>
    <w:rsid w:val="00D4297D"/>
    <w:rsid w:val="00D42D18"/>
    <w:rsid w:val="00D430C8"/>
    <w:rsid w:val="00D43146"/>
    <w:rsid w:val="00D43310"/>
    <w:rsid w:val="00D43446"/>
    <w:rsid w:val="00D436BA"/>
    <w:rsid w:val="00D43B89"/>
    <w:rsid w:val="00D4425F"/>
    <w:rsid w:val="00D446CA"/>
    <w:rsid w:val="00D44FFF"/>
    <w:rsid w:val="00D455CC"/>
    <w:rsid w:val="00D4566B"/>
    <w:rsid w:val="00D456D6"/>
    <w:rsid w:val="00D457FD"/>
    <w:rsid w:val="00D4588C"/>
    <w:rsid w:val="00D46415"/>
    <w:rsid w:val="00D46561"/>
    <w:rsid w:val="00D46730"/>
    <w:rsid w:val="00D46825"/>
    <w:rsid w:val="00D46C8F"/>
    <w:rsid w:val="00D46F55"/>
    <w:rsid w:val="00D4742E"/>
    <w:rsid w:val="00D47A5C"/>
    <w:rsid w:val="00D47D0F"/>
    <w:rsid w:val="00D50584"/>
    <w:rsid w:val="00D50A7B"/>
    <w:rsid w:val="00D50AB3"/>
    <w:rsid w:val="00D50B24"/>
    <w:rsid w:val="00D50F39"/>
    <w:rsid w:val="00D5107D"/>
    <w:rsid w:val="00D510FC"/>
    <w:rsid w:val="00D5117F"/>
    <w:rsid w:val="00D51874"/>
    <w:rsid w:val="00D51BD0"/>
    <w:rsid w:val="00D523F8"/>
    <w:rsid w:val="00D52A0E"/>
    <w:rsid w:val="00D52C0C"/>
    <w:rsid w:val="00D52C8F"/>
    <w:rsid w:val="00D531C9"/>
    <w:rsid w:val="00D5355F"/>
    <w:rsid w:val="00D537CB"/>
    <w:rsid w:val="00D539FA"/>
    <w:rsid w:val="00D53A0C"/>
    <w:rsid w:val="00D53C87"/>
    <w:rsid w:val="00D53DE4"/>
    <w:rsid w:val="00D53F3F"/>
    <w:rsid w:val="00D5404F"/>
    <w:rsid w:val="00D54407"/>
    <w:rsid w:val="00D54539"/>
    <w:rsid w:val="00D54775"/>
    <w:rsid w:val="00D54BBA"/>
    <w:rsid w:val="00D54BE5"/>
    <w:rsid w:val="00D54CDF"/>
    <w:rsid w:val="00D54F5D"/>
    <w:rsid w:val="00D553F6"/>
    <w:rsid w:val="00D55642"/>
    <w:rsid w:val="00D55F20"/>
    <w:rsid w:val="00D56513"/>
    <w:rsid w:val="00D56788"/>
    <w:rsid w:val="00D569EA"/>
    <w:rsid w:val="00D56A0F"/>
    <w:rsid w:val="00D56EFC"/>
    <w:rsid w:val="00D57297"/>
    <w:rsid w:val="00D57663"/>
    <w:rsid w:val="00D5772E"/>
    <w:rsid w:val="00D57D31"/>
    <w:rsid w:val="00D600EA"/>
    <w:rsid w:val="00D6052E"/>
    <w:rsid w:val="00D60797"/>
    <w:rsid w:val="00D61131"/>
    <w:rsid w:val="00D61454"/>
    <w:rsid w:val="00D61677"/>
    <w:rsid w:val="00D61869"/>
    <w:rsid w:val="00D618A7"/>
    <w:rsid w:val="00D61C5B"/>
    <w:rsid w:val="00D61E1A"/>
    <w:rsid w:val="00D61F81"/>
    <w:rsid w:val="00D61FAC"/>
    <w:rsid w:val="00D620ED"/>
    <w:rsid w:val="00D6299D"/>
    <w:rsid w:val="00D62A1E"/>
    <w:rsid w:val="00D62F6F"/>
    <w:rsid w:val="00D6302D"/>
    <w:rsid w:val="00D6313A"/>
    <w:rsid w:val="00D6321A"/>
    <w:rsid w:val="00D63692"/>
    <w:rsid w:val="00D6369B"/>
    <w:rsid w:val="00D63796"/>
    <w:rsid w:val="00D63B3E"/>
    <w:rsid w:val="00D63BC1"/>
    <w:rsid w:val="00D63D2C"/>
    <w:rsid w:val="00D64141"/>
    <w:rsid w:val="00D642BD"/>
    <w:rsid w:val="00D6433D"/>
    <w:rsid w:val="00D645A3"/>
    <w:rsid w:val="00D645BA"/>
    <w:rsid w:val="00D64609"/>
    <w:rsid w:val="00D649A1"/>
    <w:rsid w:val="00D64D25"/>
    <w:rsid w:val="00D64DA1"/>
    <w:rsid w:val="00D65475"/>
    <w:rsid w:val="00D65502"/>
    <w:rsid w:val="00D658B5"/>
    <w:rsid w:val="00D65C25"/>
    <w:rsid w:val="00D66217"/>
    <w:rsid w:val="00D6621C"/>
    <w:rsid w:val="00D664F6"/>
    <w:rsid w:val="00D667FF"/>
    <w:rsid w:val="00D669D6"/>
    <w:rsid w:val="00D66A2C"/>
    <w:rsid w:val="00D66C42"/>
    <w:rsid w:val="00D66CE1"/>
    <w:rsid w:val="00D66F4F"/>
    <w:rsid w:val="00D67118"/>
    <w:rsid w:val="00D67793"/>
    <w:rsid w:val="00D67A4F"/>
    <w:rsid w:val="00D67ADC"/>
    <w:rsid w:val="00D67CBC"/>
    <w:rsid w:val="00D70173"/>
    <w:rsid w:val="00D704D4"/>
    <w:rsid w:val="00D70C3D"/>
    <w:rsid w:val="00D70C57"/>
    <w:rsid w:val="00D70D9F"/>
    <w:rsid w:val="00D71066"/>
    <w:rsid w:val="00D71635"/>
    <w:rsid w:val="00D7194B"/>
    <w:rsid w:val="00D719E5"/>
    <w:rsid w:val="00D71AD2"/>
    <w:rsid w:val="00D71FDD"/>
    <w:rsid w:val="00D7201B"/>
    <w:rsid w:val="00D722C0"/>
    <w:rsid w:val="00D725B7"/>
    <w:rsid w:val="00D72654"/>
    <w:rsid w:val="00D72826"/>
    <w:rsid w:val="00D72977"/>
    <w:rsid w:val="00D72DA9"/>
    <w:rsid w:val="00D73797"/>
    <w:rsid w:val="00D7392C"/>
    <w:rsid w:val="00D73C28"/>
    <w:rsid w:val="00D73C2B"/>
    <w:rsid w:val="00D73FA4"/>
    <w:rsid w:val="00D74045"/>
    <w:rsid w:val="00D741AB"/>
    <w:rsid w:val="00D7464E"/>
    <w:rsid w:val="00D74652"/>
    <w:rsid w:val="00D74CE6"/>
    <w:rsid w:val="00D74D5A"/>
    <w:rsid w:val="00D74F59"/>
    <w:rsid w:val="00D75032"/>
    <w:rsid w:val="00D7524F"/>
    <w:rsid w:val="00D752AA"/>
    <w:rsid w:val="00D75830"/>
    <w:rsid w:val="00D75903"/>
    <w:rsid w:val="00D75904"/>
    <w:rsid w:val="00D75AEE"/>
    <w:rsid w:val="00D75E37"/>
    <w:rsid w:val="00D76102"/>
    <w:rsid w:val="00D763B7"/>
    <w:rsid w:val="00D76ED6"/>
    <w:rsid w:val="00D770F1"/>
    <w:rsid w:val="00D771A3"/>
    <w:rsid w:val="00D779AA"/>
    <w:rsid w:val="00D77B01"/>
    <w:rsid w:val="00D77BB0"/>
    <w:rsid w:val="00D800BD"/>
    <w:rsid w:val="00D80EF7"/>
    <w:rsid w:val="00D81096"/>
    <w:rsid w:val="00D8119D"/>
    <w:rsid w:val="00D811BF"/>
    <w:rsid w:val="00D81EC9"/>
    <w:rsid w:val="00D8258C"/>
    <w:rsid w:val="00D826F5"/>
    <w:rsid w:val="00D82AE8"/>
    <w:rsid w:val="00D82BB6"/>
    <w:rsid w:val="00D82D2D"/>
    <w:rsid w:val="00D8304D"/>
    <w:rsid w:val="00D83074"/>
    <w:rsid w:val="00D8307C"/>
    <w:rsid w:val="00D830E0"/>
    <w:rsid w:val="00D835B9"/>
    <w:rsid w:val="00D83643"/>
    <w:rsid w:val="00D839C4"/>
    <w:rsid w:val="00D84077"/>
    <w:rsid w:val="00D843D5"/>
    <w:rsid w:val="00D84959"/>
    <w:rsid w:val="00D84A0B"/>
    <w:rsid w:val="00D84BAD"/>
    <w:rsid w:val="00D850E8"/>
    <w:rsid w:val="00D85324"/>
    <w:rsid w:val="00D853E6"/>
    <w:rsid w:val="00D85543"/>
    <w:rsid w:val="00D856CC"/>
    <w:rsid w:val="00D85F28"/>
    <w:rsid w:val="00D861B8"/>
    <w:rsid w:val="00D861ED"/>
    <w:rsid w:val="00D866CC"/>
    <w:rsid w:val="00D86773"/>
    <w:rsid w:val="00D86E61"/>
    <w:rsid w:val="00D872A6"/>
    <w:rsid w:val="00D87330"/>
    <w:rsid w:val="00D87851"/>
    <w:rsid w:val="00D8798B"/>
    <w:rsid w:val="00D879AE"/>
    <w:rsid w:val="00D87B54"/>
    <w:rsid w:val="00D87B93"/>
    <w:rsid w:val="00D87FC9"/>
    <w:rsid w:val="00D90540"/>
    <w:rsid w:val="00D9066A"/>
    <w:rsid w:val="00D907B6"/>
    <w:rsid w:val="00D9095E"/>
    <w:rsid w:val="00D90C23"/>
    <w:rsid w:val="00D90F16"/>
    <w:rsid w:val="00D918D2"/>
    <w:rsid w:val="00D9222F"/>
    <w:rsid w:val="00D92707"/>
    <w:rsid w:val="00D92A07"/>
    <w:rsid w:val="00D92D1A"/>
    <w:rsid w:val="00D930F2"/>
    <w:rsid w:val="00D9367E"/>
    <w:rsid w:val="00D9375E"/>
    <w:rsid w:val="00D937A6"/>
    <w:rsid w:val="00D93984"/>
    <w:rsid w:val="00D93A46"/>
    <w:rsid w:val="00D93A87"/>
    <w:rsid w:val="00D93D23"/>
    <w:rsid w:val="00D94585"/>
    <w:rsid w:val="00D948FF"/>
    <w:rsid w:val="00D94A52"/>
    <w:rsid w:val="00D94C20"/>
    <w:rsid w:val="00D94D0A"/>
    <w:rsid w:val="00D951DA"/>
    <w:rsid w:val="00D95A0F"/>
    <w:rsid w:val="00D96096"/>
    <w:rsid w:val="00D960B3"/>
    <w:rsid w:val="00D96267"/>
    <w:rsid w:val="00D9657F"/>
    <w:rsid w:val="00D96978"/>
    <w:rsid w:val="00D96A94"/>
    <w:rsid w:val="00D96AB7"/>
    <w:rsid w:val="00D971C9"/>
    <w:rsid w:val="00D97544"/>
    <w:rsid w:val="00D977CA"/>
    <w:rsid w:val="00D97A65"/>
    <w:rsid w:val="00D97CBE"/>
    <w:rsid w:val="00D97F7F"/>
    <w:rsid w:val="00DA0066"/>
    <w:rsid w:val="00DA03CA"/>
    <w:rsid w:val="00DA0654"/>
    <w:rsid w:val="00DA0672"/>
    <w:rsid w:val="00DA0EA3"/>
    <w:rsid w:val="00DA16C2"/>
    <w:rsid w:val="00DA1A54"/>
    <w:rsid w:val="00DA1C0F"/>
    <w:rsid w:val="00DA1C13"/>
    <w:rsid w:val="00DA1CB6"/>
    <w:rsid w:val="00DA209F"/>
    <w:rsid w:val="00DA215D"/>
    <w:rsid w:val="00DA2246"/>
    <w:rsid w:val="00DA23BA"/>
    <w:rsid w:val="00DA2AD4"/>
    <w:rsid w:val="00DA2C77"/>
    <w:rsid w:val="00DA2D74"/>
    <w:rsid w:val="00DA32FB"/>
    <w:rsid w:val="00DA35FB"/>
    <w:rsid w:val="00DA3968"/>
    <w:rsid w:val="00DA41E4"/>
    <w:rsid w:val="00DA4406"/>
    <w:rsid w:val="00DA482E"/>
    <w:rsid w:val="00DA4930"/>
    <w:rsid w:val="00DA4AED"/>
    <w:rsid w:val="00DA4D14"/>
    <w:rsid w:val="00DA5115"/>
    <w:rsid w:val="00DA51D9"/>
    <w:rsid w:val="00DA54BC"/>
    <w:rsid w:val="00DA5BD5"/>
    <w:rsid w:val="00DA5DA6"/>
    <w:rsid w:val="00DA6503"/>
    <w:rsid w:val="00DA6545"/>
    <w:rsid w:val="00DA6A79"/>
    <w:rsid w:val="00DA70F3"/>
    <w:rsid w:val="00DA730C"/>
    <w:rsid w:val="00DA7D6B"/>
    <w:rsid w:val="00DB0312"/>
    <w:rsid w:val="00DB0385"/>
    <w:rsid w:val="00DB069D"/>
    <w:rsid w:val="00DB088E"/>
    <w:rsid w:val="00DB187E"/>
    <w:rsid w:val="00DB1A7A"/>
    <w:rsid w:val="00DB1E30"/>
    <w:rsid w:val="00DB1FF9"/>
    <w:rsid w:val="00DB2248"/>
    <w:rsid w:val="00DB308D"/>
    <w:rsid w:val="00DB37F6"/>
    <w:rsid w:val="00DB395C"/>
    <w:rsid w:val="00DB3BF5"/>
    <w:rsid w:val="00DB4CBF"/>
    <w:rsid w:val="00DB4FB1"/>
    <w:rsid w:val="00DB50CD"/>
    <w:rsid w:val="00DB54D7"/>
    <w:rsid w:val="00DB56AC"/>
    <w:rsid w:val="00DB59D4"/>
    <w:rsid w:val="00DB5A51"/>
    <w:rsid w:val="00DB5A95"/>
    <w:rsid w:val="00DB5CE4"/>
    <w:rsid w:val="00DB5E08"/>
    <w:rsid w:val="00DB5E7D"/>
    <w:rsid w:val="00DB638A"/>
    <w:rsid w:val="00DB6444"/>
    <w:rsid w:val="00DB6B2E"/>
    <w:rsid w:val="00DB6C7C"/>
    <w:rsid w:val="00DB70F3"/>
    <w:rsid w:val="00DB7357"/>
    <w:rsid w:val="00DB75E4"/>
    <w:rsid w:val="00DB79AF"/>
    <w:rsid w:val="00DB7B85"/>
    <w:rsid w:val="00DC01AA"/>
    <w:rsid w:val="00DC05FA"/>
    <w:rsid w:val="00DC105A"/>
    <w:rsid w:val="00DC1397"/>
    <w:rsid w:val="00DC1568"/>
    <w:rsid w:val="00DC1782"/>
    <w:rsid w:val="00DC1B72"/>
    <w:rsid w:val="00DC1C6E"/>
    <w:rsid w:val="00DC2111"/>
    <w:rsid w:val="00DC25BA"/>
    <w:rsid w:val="00DC26B0"/>
    <w:rsid w:val="00DC33BE"/>
    <w:rsid w:val="00DC3441"/>
    <w:rsid w:val="00DC34D6"/>
    <w:rsid w:val="00DC3649"/>
    <w:rsid w:val="00DC36EE"/>
    <w:rsid w:val="00DC3BAD"/>
    <w:rsid w:val="00DC3C9E"/>
    <w:rsid w:val="00DC3D20"/>
    <w:rsid w:val="00DC3D52"/>
    <w:rsid w:val="00DC3DC8"/>
    <w:rsid w:val="00DC3E62"/>
    <w:rsid w:val="00DC3F2B"/>
    <w:rsid w:val="00DC426D"/>
    <w:rsid w:val="00DC439E"/>
    <w:rsid w:val="00DC4D94"/>
    <w:rsid w:val="00DC4D95"/>
    <w:rsid w:val="00DC4E9A"/>
    <w:rsid w:val="00DC51F3"/>
    <w:rsid w:val="00DC5203"/>
    <w:rsid w:val="00DC52A5"/>
    <w:rsid w:val="00DC6221"/>
    <w:rsid w:val="00DC6C07"/>
    <w:rsid w:val="00DC7701"/>
    <w:rsid w:val="00DC7CD5"/>
    <w:rsid w:val="00DD07AF"/>
    <w:rsid w:val="00DD0D69"/>
    <w:rsid w:val="00DD1025"/>
    <w:rsid w:val="00DD1283"/>
    <w:rsid w:val="00DD15E4"/>
    <w:rsid w:val="00DD15ED"/>
    <w:rsid w:val="00DD16D1"/>
    <w:rsid w:val="00DD1983"/>
    <w:rsid w:val="00DD1A64"/>
    <w:rsid w:val="00DD2401"/>
    <w:rsid w:val="00DD2B26"/>
    <w:rsid w:val="00DD2E00"/>
    <w:rsid w:val="00DD31E3"/>
    <w:rsid w:val="00DD3268"/>
    <w:rsid w:val="00DD327E"/>
    <w:rsid w:val="00DD3349"/>
    <w:rsid w:val="00DD3374"/>
    <w:rsid w:val="00DD3531"/>
    <w:rsid w:val="00DD3B9D"/>
    <w:rsid w:val="00DD3D54"/>
    <w:rsid w:val="00DD3EE5"/>
    <w:rsid w:val="00DD41FD"/>
    <w:rsid w:val="00DD4346"/>
    <w:rsid w:val="00DD468A"/>
    <w:rsid w:val="00DD4776"/>
    <w:rsid w:val="00DD4B50"/>
    <w:rsid w:val="00DD4FC7"/>
    <w:rsid w:val="00DD50E4"/>
    <w:rsid w:val="00DD5133"/>
    <w:rsid w:val="00DD52F8"/>
    <w:rsid w:val="00DD57DB"/>
    <w:rsid w:val="00DD5921"/>
    <w:rsid w:val="00DD60B7"/>
    <w:rsid w:val="00DD67DD"/>
    <w:rsid w:val="00DD7529"/>
    <w:rsid w:val="00DD767F"/>
    <w:rsid w:val="00DD7689"/>
    <w:rsid w:val="00DD772B"/>
    <w:rsid w:val="00DD7991"/>
    <w:rsid w:val="00DD7B1A"/>
    <w:rsid w:val="00DD7B21"/>
    <w:rsid w:val="00DD7CED"/>
    <w:rsid w:val="00DD7F6F"/>
    <w:rsid w:val="00DE0393"/>
    <w:rsid w:val="00DE0477"/>
    <w:rsid w:val="00DE06CC"/>
    <w:rsid w:val="00DE0768"/>
    <w:rsid w:val="00DE097F"/>
    <w:rsid w:val="00DE0FA2"/>
    <w:rsid w:val="00DE0FA3"/>
    <w:rsid w:val="00DE114D"/>
    <w:rsid w:val="00DE12A9"/>
    <w:rsid w:val="00DE1315"/>
    <w:rsid w:val="00DE1951"/>
    <w:rsid w:val="00DE1AF9"/>
    <w:rsid w:val="00DE1CD3"/>
    <w:rsid w:val="00DE205A"/>
    <w:rsid w:val="00DE22BD"/>
    <w:rsid w:val="00DE23F4"/>
    <w:rsid w:val="00DE25B4"/>
    <w:rsid w:val="00DE29F9"/>
    <w:rsid w:val="00DE304A"/>
    <w:rsid w:val="00DE333E"/>
    <w:rsid w:val="00DE33BA"/>
    <w:rsid w:val="00DE346A"/>
    <w:rsid w:val="00DE38CC"/>
    <w:rsid w:val="00DE39AD"/>
    <w:rsid w:val="00DE3D6A"/>
    <w:rsid w:val="00DE4000"/>
    <w:rsid w:val="00DE41A3"/>
    <w:rsid w:val="00DE435D"/>
    <w:rsid w:val="00DE437B"/>
    <w:rsid w:val="00DE4630"/>
    <w:rsid w:val="00DE4B8D"/>
    <w:rsid w:val="00DE4D66"/>
    <w:rsid w:val="00DE50B3"/>
    <w:rsid w:val="00DE5295"/>
    <w:rsid w:val="00DE53FC"/>
    <w:rsid w:val="00DE5889"/>
    <w:rsid w:val="00DE5D62"/>
    <w:rsid w:val="00DE62F8"/>
    <w:rsid w:val="00DE6313"/>
    <w:rsid w:val="00DE6780"/>
    <w:rsid w:val="00DE67F2"/>
    <w:rsid w:val="00DE6E3E"/>
    <w:rsid w:val="00DE745D"/>
    <w:rsid w:val="00DE7778"/>
    <w:rsid w:val="00DE77CE"/>
    <w:rsid w:val="00DE785B"/>
    <w:rsid w:val="00DE7910"/>
    <w:rsid w:val="00DE7B31"/>
    <w:rsid w:val="00DE7DD6"/>
    <w:rsid w:val="00DE7EE3"/>
    <w:rsid w:val="00DE7F20"/>
    <w:rsid w:val="00DF0135"/>
    <w:rsid w:val="00DF063A"/>
    <w:rsid w:val="00DF06C6"/>
    <w:rsid w:val="00DF0753"/>
    <w:rsid w:val="00DF0C64"/>
    <w:rsid w:val="00DF0DA7"/>
    <w:rsid w:val="00DF12B8"/>
    <w:rsid w:val="00DF182F"/>
    <w:rsid w:val="00DF191A"/>
    <w:rsid w:val="00DF1A9A"/>
    <w:rsid w:val="00DF1BE1"/>
    <w:rsid w:val="00DF1E77"/>
    <w:rsid w:val="00DF25CC"/>
    <w:rsid w:val="00DF2820"/>
    <w:rsid w:val="00DF29ED"/>
    <w:rsid w:val="00DF2D31"/>
    <w:rsid w:val="00DF2E07"/>
    <w:rsid w:val="00DF3B70"/>
    <w:rsid w:val="00DF4298"/>
    <w:rsid w:val="00DF44AA"/>
    <w:rsid w:val="00DF4A79"/>
    <w:rsid w:val="00DF4A8C"/>
    <w:rsid w:val="00DF4CB3"/>
    <w:rsid w:val="00DF5085"/>
    <w:rsid w:val="00DF5282"/>
    <w:rsid w:val="00DF52DC"/>
    <w:rsid w:val="00DF5538"/>
    <w:rsid w:val="00DF5854"/>
    <w:rsid w:val="00DF5AB9"/>
    <w:rsid w:val="00DF5B6E"/>
    <w:rsid w:val="00DF5FB9"/>
    <w:rsid w:val="00DF5FCB"/>
    <w:rsid w:val="00DF6263"/>
    <w:rsid w:val="00DF64EF"/>
    <w:rsid w:val="00DF7094"/>
    <w:rsid w:val="00DF70D7"/>
    <w:rsid w:val="00DF715E"/>
    <w:rsid w:val="00DF7403"/>
    <w:rsid w:val="00DF7951"/>
    <w:rsid w:val="00DF795A"/>
    <w:rsid w:val="00DF7ACD"/>
    <w:rsid w:val="00DF7E3F"/>
    <w:rsid w:val="00DF7F55"/>
    <w:rsid w:val="00DF7F9E"/>
    <w:rsid w:val="00E001FF"/>
    <w:rsid w:val="00E0032A"/>
    <w:rsid w:val="00E004F6"/>
    <w:rsid w:val="00E00561"/>
    <w:rsid w:val="00E009E6"/>
    <w:rsid w:val="00E00DE4"/>
    <w:rsid w:val="00E00E94"/>
    <w:rsid w:val="00E01123"/>
    <w:rsid w:val="00E01330"/>
    <w:rsid w:val="00E013F0"/>
    <w:rsid w:val="00E013F8"/>
    <w:rsid w:val="00E0179A"/>
    <w:rsid w:val="00E01BB2"/>
    <w:rsid w:val="00E01BB4"/>
    <w:rsid w:val="00E01DE3"/>
    <w:rsid w:val="00E01EAC"/>
    <w:rsid w:val="00E01FFF"/>
    <w:rsid w:val="00E02328"/>
    <w:rsid w:val="00E02428"/>
    <w:rsid w:val="00E0273D"/>
    <w:rsid w:val="00E02D20"/>
    <w:rsid w:val="00E02FA2"/>
    <w:rsid w:val="00E0302E"/>
    <w:rsid w:val="00E034E2"/>
    <w:rsid w:val="00E03587"/>
    <w:rsid w:val="00E03D5A"/>
    <w:rsid w:val="00E04111"/>
    <w:rsid w:val="00E04312"/>
    <w:rsid w:val="00E043ED"/>
    <w:rsid w:val="00E04634"/>
    <w:rsid w:val="00E04820"/>
    <w:rsid w:val="00E048A1"/>
    <w:rsid w:val="00E04B52"/>
    <w:rsid w:val="00E051E5"/>
    <w:rsid w:val="00E05203"/>
    <w:rsid w:val="00E0530F"/>
    <w:rsid w:val="00E0561F"/>
    <w:rsid w:val="00E05D95"/>
    <w:rsid w:val="00E05F6C"/>
    <w:rsid w:val="00E05F83"/>
    <w:rsid w:val="00E0621E"/>
    <w:rsid w:val="00E0699A"/>
    <w:rsid w:val="00E06C45"/>
    <w:rsid w:val="00E06D4F"/>
    <w:rsid w:val="00E06DC9"/>
    <w:rsid w:val="00E06E19"/>
    <w:rsid w:val="00E06E4A"/>
    <w:rsid w:val="00E0725E"/>
    <w:rsid w:val="00E0732F"/>
    <w:rsid w:val="00E073CC"/>
    <w:rsid w:val="00E0759C"/>
    <w:rsid w:val="00E076CA"/>
    <w:rsid w:val="00E077F6"/>
    <w:rsid w:val="00E07DF6"/>
    <w:rsid w:val="00E100E7"/>
    <w:rsid w:val="00E10A95"/>
    <w:rsid w:val="00E10C1C"/>
    <w:rsid w:val="00E10EC2"/>
    <w:rsid w:val="00E10EF0"/>
    <w:rsid w:val="00E11151"/>
    <w:rsid w:val="00E119B1"/>
    <w:rsid w:val="00E11FB9"/>
    <w:rsid w:val="00E120FD"/>
    <w:rsid w:val="00E122C3"/>
    <w:rsid w:val="00E123DC"/>
    <w:rsid w:val="00E1242D"/>
    <w:rsid w:val="00E1260F"/>
    <w:rsid w:val="00E12A2E"/>
    <w:rsid w:val="00E12B1E"/>
    <w:rsid w:val="00E12B6B"/>
    <w:rsid w:val="00E12BC1"/>
    <w:rsid w:val="00E135DD"/>
    <w:rsid w:val="00E13E85"/>
    <w:rsid w:val="00E1482D"/>
    <w:rsid w:val="00E14930"/>
    <w:rsid w:val="00E14997"/>
    <w:rsid w:val="00E14C34"/>
    <w:rsid w:val="00E15008"/>
    <w:rsid w:val="00E150C4"/>
    <w:rsid w:val="00E154D1"/>
    <w:rsid w:val="00E15645"/>
    <w:rsid w:val="00E15809"/>
    <w:rsid w:val="00E15C9C"/>
    <w:rsid w:val="00E15CCA"/>
    <w:rsid w:val="00E15E42"/>
    <w:rsid w:val="00E15F9D"/>
    <w:rsid w:val="00E161A0"/>
    <w:rsid w:val="00E16616"/>
    <w:rsid w:val="00E1672E"/>
    <w:rsid w:val="00E168DC"/>
    <w:rsid w:val="00E16A46"/>
    <w:rsid w:val="00E16AD0"/>
    <w:rsid w:val="00E16BF9"/>
    <w:rsid w:val="00E16DDC"/>
    <w:rsid w:val="00E16EED"/>
    <w:rsid w:val="00E171F1"/>
    <w:rsid w:val="00E20007"/>
    <w:rsid w:val="00E20015"/>
    <w:rsid w:val="00E2062B"/>
    <w:rsid w:val="00E208C9"/>
    <w:rsid w:val="00E20A8D"/>
    <w:rsid w:val="00E20AC5"/>
    <w:rsid w:val="00E20B3B"/>
    <w:rsid w:val="00E21128"/>
    <w:rsid w:val="00E211F0"/>
    <w:rsid w:val="00E21284"/>
    <w:rsid w:val="00E212D4"/>
    <w:rsid w:val="00E21492"/>
    <w:rsid w:val="00E21528"/>
    <w:rsid w:val="00E219C2"/>
    <w:rsid w:val="00E21B57"/>
    <w:rsid w:val="00E22053"/>
    <w:rsid w:val="00E221C4"/>
    <w:rsid w:val="00E2226B"/>
    <w:rsid w:val="00E222F2"/>
    <w:rsid w:val="00E22376"/>
    <w:rsid w:val="00E2275A"/>
    <w:rsid w:val="00E22B10"/>
    <w:rsid w:val="00E22C4F"/>
    <w:rsid w:val="00E22E2E"/>
    <w:rsid w:val="00E22F36"/>
    <w:rsid w:val="00E22FB3"/>
    <w:rsid w:val="00E23149"/>
    <w:rsid w:val="00E232C0"/>
    <w:rsid w:val="00E235FA"/>
    <w:rsid w:val="00E23729"/>
    <w:rsid w:val="00E23E0B"/>
    <w:rsid w:val="00E23F16"/>
    <w:rsid w:val="00E23F95"/>
    <w:rsid w:val="00E240D8"/>
    <w:rsid w:val="00E24187"/>
    <w:rsid w:val="00E2435F"/>
    <w:rsid w:val="00E24474"/>
    <w:rsid w:val="00E24BEF"/>
    <w:rsid w:val="00E25284"/>
    <w:rsid w:val="00E25332"/>
    <w:rsid w:val="00E2554B"/>
    <w:rsid w:val="00E25937"/>
    <w:rsid w:val="00E25F63"/>
    <w:rsid w:val="00E2613E"/>
    <w:rsid w:val="00E2619C"/>
    <w:rsid w:val="00E261F7"/>
    <w:rsid w:val="00E2628B"/>
    <w:rsid w:val="00E26523"/>
    <w:rsid w:val="00E26B5C"/>
    <w:rsid w:val="00E26F93"/>
    <w:rsid w:val="00E27506"/>
    <w:rsid w:val="00E276AD"/>
    <w:rsid w:val="00E27E7B"/>
    <w:rsid w:val="00E30571"/>
    <w:rsid w:val="00E307F0"/>
    <w:rsid w:val="00E30A35"/>
    <w:rsid w:val="00E30A9F"/>
    <w:rsid w:val="00E31942"/>
    <w:rsid w:val="00E31A39"/>
    <w:rsid w:val="00E3252F"/>
    <w:rsid w:val="00E3283C"/>
    <w:rsid w:val="00E32AF3"/>
    <w:rsid w:val="00E32DD3"/>
    <w:rsid w:val="00E335F5"/>
    <w:rsid w:val="00E3371A"/>
    <w:rsid w:val="00E3408E"/>
    <w:rsid w:val="00E340F5"/>
    <w:rsid w:val="00E3415E"/>
    <w:rsid w:val="00E34AD2"/>
    <w:rsid w:val="00E34DAA"/>
    <w:rsid w:val="00E34FED"/>
    <w:rsid w:val="00E3511A"/>
    <w:rsid w:val="00E351DF"/>
    <w:rsid w:val="00E35490"/>
    <w:rsid w:val="00E35C9D"/>
    <w:rsid w:val="00E35E92"/>
    <w:rsid w:val="00E3636C"/>
    <w:rsid w:val="00E36B14"/>
    <w:rsid w:val="00E36EF6"/>
    <w:rsid w:val="00E37BF1"/>
    <w:rsid w:val="00E37DF0"/>
    <w:rsid w:val="00E37ECA"/>
    <w:rsid w:val="00E37F7F"/>
    <w:rsid w:val="00E4017E"/>
    <w:rsid w:val="00E403C4"/>
    <w:rsid w:val="00E4064C"/>
    <w:rsid w:val="00E40776"/>
    <w:rsid w:val="00E4078C"/>
    <w:rsid w:val="00E4098A"/>
    <w:rsid w:val="00E409DF"/>
    <w:rsid w:val="00E40C9C"/>
    <w:rsid w:val="00E414EC"/>
    <w:rsid w:val="00E41538"/>
    <w:rsid w:val="00E419C8"/>
    <w:rsid w:val="00E41C82"/>
    <w:rsid w:val="00E41E26"/>
    <w:rsid w:val="00E421A9"/>
    <w:rsid w:val="00E42AD6"/>
    <w:rsid w:val="00E42DCF"/>
    <w:rsid w:val="00E42EE6"/>
    <w:rsid w:val="00E43346"/>
    <w:rsid w:val="00E433A6"/>
    <w:rsid w:val="00E436D6"/>
    <w:rsid w:val="00E4387A"/>
    <w:rsid w:val="00E4388E"/>
    <w:rsid w:val="00E44039"/>
    <w:rsid w:val="00E44061"/>
    <w:rsid w:val="00E44184"/>
    <w:rsid w:val="00E441E1"/>
    <w:rsid w:val="00E44202"/>
    <w:rsid w:val="00E4424B"/>
    <w:rsid w:val="00E44B7A"/>
    <w:rsid w:val="00E44B9C"/>
    <w:rsid w:val="00E44F08"/>
    <w:rsid w:val="00E45034"/>
    <w:rsid w:val="00E4505E"/>
    <w:rsid w:val="00E451D0"/>
    <w:rsid w:val="00E452F1"/>
    <w:rsid w:val="00E45606"/>
    <w:rsid w:val="00E4564D"/>
    <w:rsid w:val="00E45685"/>
    <w:rsid w:val="00E45781"/>
    <w:rsid w:val="00E45C5A"/>
    <w:rsid w:val="00E45EFD"/>
    <w:rsid w:val="00E4615B"/>
    <w:rsid w:val="00E463F4"/>
    <w:rsid w:val="00E46EB4"/>
    <w:rsid w:val="00E506E7"/>
    <w:rsid w:val="00E50E1D"/>
    <w:rsid w:val="00E50E7F"/>
    <w:rsid w:val="00E50F5E"/>
    <w:rsid w:val="00E510C6"/>
    <w:rsid w:val="00E51782"/>
    <w:rsid w:val="00E51B7C"/>
    <w:rsid w:val="00E51F14"/>
    <w:rsid w:val="00E52427"/>
    <w:rsid w:val="00E5246B"/>
    <w:rsid w:val="00E525B8"/>
    <w:rsid w:val="00E5272A"/>
    <w:rsid w:val="00E527D4"/>
    <w:rsid w:val="00E52894"/>
    <w:rsid w:val="00E52B4C"/>
    <w:rsid w:val="00E52BC5"/>
    <w:rsid w:val="00E53244"/>
    <w:rsid w:val="00E536B5"/>
    <w:rsid w:val="00E53942"/>
    <w:rsid w:val="00E539F4"/>
    <w:rsid w:val="00E541F4"/>
    <w:rsid w:val="00E54446"/>
    <w:rsid w:val="00E54604"/>
    <w:rsid w:val="00E54CBB"/>
    <w:rsid w:val="00E54D63"/>
    <w:rsid w:val="00E55341"/>
    <w:rsid w:val="00E55394"/>
    <w:rsid w:val="00E55452"/>
    <w:rsid w:val="00E5550E"/>
    <w:rsid w:val="00E55599"/>
    <w:rsid w:val="00E5599E"/>
    <w:rsid w:val="00E55AC9"/>
    <w:rsid w:val="00E55F0E"/>
    <w:rsid w:val="00E56497"/>
    <w:rsid w:val="00E56775"/>
    <w:rsid w:val="00E56F1D"/>
    <w:rsid w:val="00E56F4C"/>
    <w:rsid w:val="00E56FB4"/>
    <w:rsid w:val="00E57276"/>
    <w:rsid w:val="00E57650"/>
    <w:rsid w:val="00E57D93"/>
    <w:rsid w:val="00E600C9"/>
    <w:rsid w:val="00E6013A"/>
    <w:rsid w:val="00E60437"/>
    <w:rsid w:val="00E60716"/>
    <w:rsid w:val="00E60980"/>
    <w:rsid w:val="00E60EBE"/>
    <w:rsid w:val="00E610AB"/>
    <w:rsid w:val="00E612EA"/>
    <w:rsid w:val="00E61434"/>
    <w:rsid w:val="00E61700"/>
    <w:rsid w:val="00E618DD"/>
    <w:rsid w:val="00E61AD6"/>
    <w:rsid w:val="00E61DE3"/>
    <w:rsid w:val="00E61E38"/>
    <w:rsid w:val="00E61FB7"/>
    <w:rsid w:val="00E62061"/>
    <w:rsid w:val="00E6214F"/>
    <w:rsid w:val="00E62173"/>
    <w:rsid w:val="00E6226C"/>
    <w:rsid w:val="00E62636"/>
    <w:rsid w:val="00E626AA"/>
    <w:rsid w:val="00E62AC9"/>
    <w:rsid w:val="00E62DCB"/>
    <w:rsid w:val="00E63004"/>
    <w:rsid w:val="00E631E7"/>
    <w:rsid w:val="00E634C8"/>
    <w:rsid w:val="00E634CC"/>
    <w:rsid w:val="00E6369E"/>
    <w:rsid w:val="00E63DB1"/>
    <w:rsid w:val="00E63DDB"/>
    <w:rsid w:val="00E63E7D"/>
    <w:rsid w:val="00E6432A"/>
    <w:rsid w:val="00E64A99"/>
    <w:rsid w:val="00E64CA4"/>
    <w:rsid w:val="00E64FDA"/>
    <w:rsid w:val="00E6541A"/>
    <w:rsid w:val="00E65740"/>
    <w:rsid w:val="00E65D3C"/>
    <w:rsid w:val="00E65EBC"/>
    <w:rsid w:val="00E66053"/>
    <w:rsid w:val="00E6620D"/>
    <w:rsid w:val="00E6634D"/>
    <w:rsid w:val="00E671BF"/>
    <w:rsid w:val="00E6751E"/>
    <w:rsid w:val="00E67652"/>
    <w:rsid w:val="00E679AE"/>
    <w:rsid w:val="00E67A1A"/>
    <w:rsid w:val="00E70062"/>
    <w:rsid w:val="00E7015F"/>
    <w:rsid w:val="00E70E07"/>
    <w:rsid w:val="00E714FE"/>
    <w:rsid w:val="00E71928"/>
    <w:rsid w:val="00E71DE3"/>
    <w:rsid w:val="00E71E01"/>
    <w:rsid w:val="00E72A4D"/>
    <w:rsid w:val="00E72B2D"/>
    <w:rsid w:val="00E72B4F"/>
    <w:rsid w:val="00E7316E"/>
    <w:rsid w:val="00E7371F"/>
    <w:rsid w:val="00E73994"/>
    <w:rsid w:val="00E73B64"/>
    <w:rsid w:val="00E74530"/>
    <w:rsid w:val="00E7467E"/>
    <w:rsid w:val="00E74BF9"/>
    <w:rsid w:val="00E74C29"/>
    <w:rsid w:val="00E74C59"/>
    <w:rsid w:val="00E75A38"/>
    <w:rsid w:val="00E75A96"/>
    <w:rsid w:val="00E75CFB"/>
    <w:rsid w:val="00E75E30"/>
    <w:rsid w:val="00E76346"/>
    <w:rsid w:val="00E763BE"/>
    <w:rsid w:val="00E76E0B"/>
    <w:rsid w:val="00E771B3"/>
    <w:rsid w:val="00E7728F"/>
    <w:rsid w:val="00E77590"/>
    <w:rsid w:val="00E77834"/>
    <w:rsid w:val="00E7797D"/>
    <w:rsid w:val="00E77F3E"/>
    <w:rsid w:val="00E80133"/>
    <w:rsid w:val="00E80170"/>
    <w:rsid w:val="00E8093B"/>
    <w:rsid w:val="00E809EE"/>
    <w:rsid w:val="00E80D1C"/>
    <w:rsid w:val="00E80F68"/>
    <w:rsid w:val="00E811F4"/>
    <w:rsid w:val="00E814FB"/>
    <w:rsid w:val="00E81B56"/>
    <w:rsid w:val="00E81D22"/>
    <w:rsid w:val="00E81DF0"/>
    <w:rsid w:val="00E81E8A"/>
    <w:rsid w:val="00E82026"/>
    <w:rsid w:val="00E8204B"/>
    <w:rsid w:val="00E82053"/>
    <w:rsid w:val="00E82056"/>
    <w:rsid w:val="00E8205D"/>
    <w:rsid w:val="00E82267"/>
    <w:rsid w:val="00E82E0A"/>
    <w:rsid w:val="00E831BD"/>
    <w:rsid w:val="00E831D4"/>
    <w:rsid w:val="00E8331B"/>
    <w:rsid w:val="00E83374"/>
    <w:rsid w:val="00E839EB"/>
    <w:rsid w:val="00E83BD8"/>
    <w:rsid w:val="00E844B0"/>
    <w:rsid w:val="00E84735"/>
    <w:rsid w:val="00E84A6B"/>
    <w:rsid w:val="00E84D63"/>
    <w:rsid w:val="00E84F35"/>
    <w:rsid w:val="00E8513A"/>
    <w:rsid w:val="00E85913"/>
    <w:rsid w:val="00E8650A"/>
    <w:rsid w:val="00E868C5"/>
    <w:rsid w:val="00E86E48"/>
    <w:rsid w:val="00E87295"/>
    <w:rsid w:val="00E87708"/>
    <w:rsid w:val="00E90035"/>
    <w:rsid w:val="00E90220"/>
    <w:rsid w:val="00E902C6"/>
    <w:rsid w:val="00E90423"/>
    <w:rsid w:val="00E90CE4"/>
    <w:rsid w:val="00E912DE"/>
    <w:rsid w:val="00E91383"/>
    <w:rsid w:val="00E9153D"/>
    <w:rsid w:val="00E91BAC"/>
    <w:rsid w:val="00E9200B"/>
    <w:rsid w:val="00E92234"/>
    <w:rsid w:val="00E922D9"/>
    <w:rsid w:val="00E92407"/>
    <w:rsid w:val="00E92421"/>
    <w:rsid w:val="00E92466"/>
    <w:rsid w:val="00E927A1"/>
    <w:rsid w:val="00E927DF"/>
    <w:rsid w:val="00E92BE2"/>
    <w:rsid w:val="00E92C81"/>
    <w:rsid w:val="00E92CB9"/>
    <w:rsid w:val="00E92D64"/>
    <w:rsid w:val="00E92E74"/>
    <w:rsid w:val="00E92F9A"/>
    <w:rsid w:val="00E93270"/>
    <w:rsid w:val="00E93524"/>
    <w:rsid w:val="00E93608"/>
    <w:rsid w:val="00E9365E"/>
    <w:rsid w:val="00E9369C"/>
    <w:rsid w:val="00E93B5E"/>
    <w:rsid w:val="00E93D89"/>
    <w:rsid w:val="00E94031"/>
    <w:rsid w:val="00E940F6"/>
    <w:rsid w:val="00E94226"/>
    <w:rsid w:val="00E94696"/>
    <w:rsid w:val="00E94A7F"/>
    <w:rsid w:val="00E94ED0"/>
    <w:rsid w:val="00E951D3"/>
    <w:rsid w:val="00E9545F"/>
    <w:rsid w:val="00E95B22"/>
    <w:rsid w:val="00E95BA2"/>
    <w:rsid w:val="00E95D39"/>
    <w:rsid w:val="00E95D67"/>
    <w:rsid w:val="00E95ECA"/>
    <w:rsid w:val="00E95F6D"/>
    <w:rsid w:val="00E95FCE"/>
    <w:rsid w:val="00E962A1"/>
    <w:rsid w:val="00E963E1"/>
    <w:rsid w:val="00E96515"/>
    <w:rsid w:val="00E9664F"/>
    <w:rsid w:val="00E969DB"/>
    <w:rsid w:val="00E96C74"/>
    <w:rsid w:val="00E96D32"/>
    <w:rsid w:val="00E96DF0"/>
    <w:rsid w:val="00E96DF5"/>
    <w:rsid w:val="00E96E64"/>
    <w:rsid w:val="00E96FC5"/>
    <w:rsid w:val="00E9724B"/>
    <w:rsid w:val="00E97302"/>
    <w:rsid w:val="00E97D8A"/>
    <w:rsid w:val="00E97E5E"/>
    <w:rsid w:val="00EA01BE"/>
    <w:rsid w:val="00EA077E"/>
    <w:rsid w:val="00EA07F6"/>
    <w:rsid w:val="00EA0A54"/>
    <w:rsid w:val="00EA0B29"/>
    <w:rsid w:val="00EA0B95"/>
    <w:rsid w:val="00EA0EDA"/>
    <w:rsid w:val="00EA1521"/>
    <w:rsid w:val="00EA175F"/>
    <w:rsid w:val="00EA17D4"/>
    <w:rsid w:val="00EA188A"/>
    <w:rsid w:val="00EA18F9"/>
    <w:rsid w:val="00EA1E92"/>
    <w:rsid w:val="00EA2150"/>
    <w:rsid w:val="00EA2960"/>
    <w:rsid w:val="00EA2B93"/>
    <w:rsid w:val="00EA2C8A"/>
    <w:rsid w:val="00EA34E6"/>
    <w:rsid w:val="00EA3BA0"/>
    <w:rsid w:val="00EA3F0A"/>
    <w:rsid w:val="00EA408E"/>
    <w:rsid w:val="00EA440E"/>
    <w:rsid w:val="00EA4577"/>
    <w:rsid w:val="00EA4753"/>
    <w:rsid w:val="00EA492B"/>
    <w:rsid w:val="00EA57EE"/>
    <w:rsid w:val="00EA5845"/>
    <w:rsid w:val="00EA5EDC"/>
    <w:rsid w:val="00EA6336"/>
    <w:rsid w:val="00EA68E4"/>
    <w:rsid w:val="00EA6B38"/>
    <w:rsid w:val="00EA7515"/>
    <w:rsid w:val="00EA7991"/>
    <w:rsid w:val="00EA7E1E"/>
    <w:rsid w:val="00EB00A1"/>
    <w:rsid w:val="00EB02EF"/>
    <w:rsid w:val="00EB055C"/>
    <w:rsid w:val="00EB0E2E"/>
    <w:rsid w:val="00EB0F2C"/>
    <w:rsid w:val="00EB1425"/>
    <w:rsid w:val="00EB1479"/>
    <w:rsid w:val="00EB14FB"/>
    <w:rsid w:val="00EB178F"/>
    <w:rsid w:val="00EB1D0E"/>
    <w:rsid w:val="00EB1F44"/>
    <w:rsid w:val="00EB2B12"/>
    <w:rsid w:val="00EB2C81"/>
    <w:rsid w:val="00EB2DFB"/>
    <w:rsid w:val="00EB2F89"/>
    <w:rsid w:val="00EB3382"/>
    <w:rsid w:val="00EB33C5"/>
    <w:rsid w:val="00EB373E"/>
    <w:rsid w:val="00EB379E"/>
    <w:rsid w:val="00EB3821"/>
    <w:rsid w:val="00EB3A64"/>
    <w:rsid w:val="00EB3C18"/>
    <w:rsid w:val="00EB3C94"/>
    <w:rsid w:val="00EB3F85"/>
    <w:rsid w:val="00EB4846"/>
    <w:rsid w:val="00EB4AA2"/>
    <w:rsid w:val="00EB4F79"/>
    <w:rsid w:val="00EB5616"/>
    <w:rsid w:val="00EB565B"/>
    <w:rsid w:val="00EB586D"/>
    <w:rsid w:val="00EB6485"/>
    <w:rsid w:val="00EB648D"/>
    <w:rsid w:val="00EB6593"/>
    <w:rsid w:val="00EB663E"/>
    <w:rsid w:val="00EB67BD"/>
    <w:rsid w:val="00EB6849"/>
    <w:rsid w:val="00EB6BB6"/>
    <w:rsid w:val="00EB6C62"/>
    <w:rsid w:val="00EB70C2"/>
    <w:rsid w:val="00EB74D3"/>
    <w:rsid w:val="00EB77FD"/>
    <w:rsid w:val="00EB7CD1"/>
    <w:rsid w:val="00EC00B5"/>
    <w:rsid w:val="00EC020D"/>
    <w:rsid w:val="00EC0B08"/>
    <w:rsid w:val="00EC0D12"/>
    <w:rsid w:val="00EC0FA7"/>
    <w:rsid w:val="00EC10F8"/>
    <w:rsid w:val="00EC156B"/>
    <w:rsid w:val="00EC1EEA"/>
    <w:rsid w:val="00EC1F10"/>
    <w:rsid w:val="00EC227E"/>
    <w:rsid w:val="00EC230F"/>
    <w:rsid w:val="00EC2532"/>
    <w:rsid w:val="00EC3EFF"/>
    <w:rsid w:val="00EC400C"/>
    <w:rsid w:val="00EC41A0"/>
    <w:rsid w:val="00EC439A"/>
    <w:rsid w:val="00EC449B"/>
    <w:rsid w:val="00EC45F6"/>
    <w:rsid w:val="00EC4B4D"/>
    <w:rsid w:val="00EC5554"/>
    <w:rsid w:val="00EC57F6"/>
    <w:rsid w:val="00EC5844"/>
    <w:rsid w:val="00EC5930"/>
    <w:rsid w:val="00EC5CE5"/>
    <w:rsid w:val="00EC6352"/>
    <w:rsid w:val="00EC657D"/>
    <w:rsid w:val="00EC66A9"/>
    <w:rsid w:val="00EC69B0"/>
    <w:rsid w:val="00EC69F7"/>
    <w:rsid w:val="00EC6A1C"/>
    <w:rsid w:val="00EC6AAC"/>
    <w:rsid w:val="00EC6CCC"/>
    <w:rsid w:val="00EC704A"/>
    <w:rsid w:val="00EC748F"/>
    <w:rsid w:val="00EC74BE"/>
    <w:rsid w:val="00EC7798"/>
    <w:rsid w:val="00ED03ED"/>
    <w:rsid w:val="00ED0916"/>
    <w:rsid w:val="00ED09D4"/>
    <w:rsid w:val="00ED0E5C"/>
    <w:rsid w:val="00ED14CA"/>
    <w:rsid w:val="00ED1988"/>
    <w:rsid w:val="00ED1FB6"/>
    <w:rsid w:val="00ED236E"/>
    <w:rsid w:val="00ED2520"/>
    <w:rsid w:val="00ED26D0"/>
    <w:rsid w:val="00ED28FA"/>
    <w:rsid w:val="00ED2913"/>
    <w:rsid w:val="00ED2ECB"/>
    <w:rsid w:val="00ED2EDE"/>
    <w:rsid w:val="00ED3353"/>
    <w:rsid w:val="00ED34A0"/>
    <w:rsid w:val="00ED3536"/>
    <w:rsid w:val="00ED367C"/>
    <w:rsid w:val="00ED36A8"/>
    <w:rsid w:val="00ED3724"/>
    <w:rsid w:val="00ED387F"/>
    <w:rsid w:val="00ED3C05"/>
    <w:rsid w:val="00ED4012"/>
    <w:rsid w:val="00ED451A"/>
    <w:rsid w:val="00ED4602"/>
    <w:rsid w:val="00ED554B"/>
    <w:rsid w:val="00ED5C0A"/>
    <w:rsid w:val="00ED5D32"/>
    <w:rsid w:val="00ED6059"/>
    <w:rsid w:val="00ED72CB"/>
    <w:rsid w:val="00ED7314"/>
    <w:rsid w:val="00ED7498"/>
    <w:rsid w:val="00ED75F1"/>
    <w:rsid w:val="00ED7A4C"/>
    <w:rsid w:val="00ED7EF0"/>
    <w:rsid w:val="00ED7F17"/>
    <w:rsid w:val="00EE0109"/>
    <w:rsid w:val="00EE053D"/>
    <w:rsid w:val="00EE0990"/>
    <w:rsid w:val="00EE0EA8"/>
    <w:rsid w:val="00EE1174"/>
    <w:rsid w:val="00EE1654"/>
    <w:rsid w:val="00EE1684"/>
    <w:rsid w:val="00EE1CB7"/>
    <w:rsid w:val="00EE1CF1"/>
    <w:rsid w:val="00EE1E95"/>
    <w:rsid w:val="00EE1F06"/>
    <w:rsid w:val="00EE233A"/>
    <w:rsid w:val="00EE233B"/>
    <w:rsid w:val="00EE2651"/>
    <w:rsid w:val="00EE2D31"/>
    <w:rsid w:val="00EE34F3"/>
    <w:rsid w:val="00EE357B"/>
    <w:rsid w:val="00EE3666"/>
    <w:rsid w:val="00EE3B38"/>
    <w:rsid w:val="00EE3DAC"/>
    <w:rsid w:val="00EE41D2"/>
    <w:rsid w:val="00EE43B9"/>
    <w:rsid w:val="00EE441C"/>
    <w:rsid w:val="00EE468D"/>
    <w:rsid w:val="00EE4AEC"/>
    <w:rsid w:val="00EE5505"/>
    <w:rsid w:val="00EE5825"/>
    <w:rsid w:val="00EE59E0"/>
    <w:rsid w:val="00EE5A7B"/>
    <w:rsid w:val="00EE5FAB"/>
    <w:rsid w:val="00EE5FB3"/>
    <w:rsid w:val="00EE6BC6"/>
    <w:rsid w:val="00EE6BC8"/>
    <w:rsid w:val="00EE6BDD"/>
    <w:rsid w:val="00EE6E22"/>
    <w:rsid w:val="00EE7586"/>
    <w:rsid w:val="00EE7661"/>
    <w:rsid w:val="00EE7AD4"/>
    <w:rsid w:val="00EE7C41"/>
    <w:rsid w:val="00EF041F"/>
    <w:rsid w:val="00EF05BA"/>
    <w:rsid w:val="00EF09EB"/>
    <w:rsid w:val="00EF0A67"/>
    <w:rsid w:val="00EF0CF2"/>
    <w:rsid w:val="00EF14CD"/>
    <w:rsid w:val="00EF14E5"/>
    <w:rsid w:val="00EF1599"/>
    <w:rsid w:val="00EF16C6"/>
    <w:rsid w:val="00EF17D5"/>
    <w:rsid w:val="00EF1823"/>
    <w:rsid w:val="00EF1AF5"/>
    <w:rsid w:val="00EF1B15"/>
    <w:rsid w:val="00EF23EB"/>
    <w:rsid w:val="00EF2554"/>
    <w:rsid w:val="00EF2739"/>
    <w:rsid w:val="00EF293E"/>
    <w:rsid w:val="00EF2AD3"/>
    <w:rsid w:val="00EF2AEC"/>
    <w:rsid w:val="00EF31A8"/>
    <w:rsid w:val="00EF37BA"/>
    <w:rsid w:val="00EF39DC"/>
    <w:rsid w:val="00EF39E3"/>
    <w:rsid w:val="00EF3A3B"/>
    <w:rsid w:val="00EF3A46"/>
    <w:rsid w:val="00EF3B92"/>
    <w:rsid w:val="00EF3D89"/>
    <w:rsid w:val="00EF3E1E"/>
    <w:rsid w:val="00EF408C"/>
    <w:rsid w:val="00EF427C"/>
    <w:rsid w:val="00EF49C1"/>
    <w:rsid w:val="00EF4B30"/>
    <w:rsid w:val="00EF4E91"/>
    <w:rsid w:val="00EF537C"/>
    <w:rsid w:val="00EF544F"/>
    <w:rsid w:val="00EF54BA"/>
    <w:rsid w:val="00EF5586"/>
    <w:rsid w:val="00EF5A41"/>
    <w:rsid w:val="00EF5D3E"/>
    <w:rsid w:val="00EF5D7F"/>
    <w:rsid w:val="00EF6069"/>
    <w:rsid w:val="00EF60C8"/>
    <w:rsid w:val="00EF61E9"/>
    <w:rsid w:val="00EF6750"/>
    <w:rsid w:val="00EF67CB"/>
    <w:rsid w:val="00EF6ACC"/>
    <w:rsid w:val="00EF6B60"/>
    <w:rsid w:val="00EF7165"/>
    <w:rsid w:val="00EF73B1"/>
    <w:rsid w:val="00EF7A72"/>
    <w:rsid w:val="00F005A5"/>
    <w:rsid w:val="00F007B1"/>
    <w:rsid w:val="00F00A8C"/>
    <w:rsid w:val="00F00BF7"/>
    <w:rsid w:val="00F00D24"/>
    <w:rsid w:val="00F0153A"/>
    <w:rsid w:val="00F0165A"/>
    <w:rsid w:val="00F01776"/>
    <w:rsid w:val="00F019AA"/>
    <w:rsid w:val="00F02056"/>
    <w:rsid w:val="00F02075"/>
    <w:rsid w:val="00F020B3"/>
    <w:rsid w:val="00F023FB"/>
    <w:rsid w:val="00F02533"/>
    <w:rsid w:val="00F02A36"/>
    <w:rsid w:val="00F02D22"/>
    <w:rsid w:val="00F02F7C"/>
    <w:rsid w:val="00F033A3"/>
    <w:rsid w:val="00F034C6"/>
    <w:rsid w:val="00F03585"/>
    <w:rsid w:val="00F03678"/>
    <w:rsid w:val="00F03796"/>
    <w:rsid w:val="00F0388D"/>
    <w:rsid w:val="00F041C1"/>
    <w:rsid w:val="00F041DC"/>
    <w:rsid w:val="00F04523"/>
    <w:rsid w:val="00F04655"/>
    <w:rsid w:val="00F04805"/>
    <w:rsid w:val="00F04987"/>
    <w:rsid w:val="00F04C24"/>
    <w:rsid w:val="00F050D0"/>
    <w:rsid w:val="00F0530D"/>
    <w:rsid w:val="00F05980"/>
    <w:rsid w:val="00F05DAB"/>
    <w:rsid w:val="00F05F4B"/>
    <w:rsid w:val="00F05F82"/>
    <w:rsid w:val="00F05FB4"/>
    <w:rsid w:val="00F06640"/>
    <w:rsid w:val="00F06A0F"/>
    <w:rsid w:val="00F06ED9"/>
    <w:rsid w:val="00F06F28"/>
    <w:rsid w:val="00F06F50"/>
    <w:rsid w:val="00F0718D"/>
    <w:rsid w:val="00F07194"/>
    <w:rsid w:val="00F0746C"/>
    <w:rsid w:val="00F07681"/>
    <w:rsid w:val="00F07AAB"/>
    <w:rsid w:val="00F07C32"/>
    <w:rsid w:val="00F07C9C"/>
    <w:rsid w:val="00F07E80"/>
    <w:rsid w:val="00F10501"/>
    <w:rsid w:val="00F105E5"/>
    <w:rsid w:val="00F1083A"/>
    <w:rsid w:val="00F10FFD"/>
    <w:rsid w:val="00F11118"/>
    <w:rsid w:val="00F11369"/>
    <w:rsid w:val="00F1175A"/>
    <w:rsid w:val="00F11916"/>
    <w:rsid w:val="00F1204B"/>
    <w:rsid w:val="00F12194"/>
    <w:rsid w:val="00F121F8"/>
    <w:rsid w:val="00F1242C"/>
    <w:rsid w:val="00F12490"/>
    <w:rsid w:val="00F12FCA"/>
    <w:rsid w:val="00F13A79"/>
    <w:rsid w:val="00F13D4D"/>
    <w:rsid w:val="00F140EE"/>
    <w:rsid w:val="00F14163"/>
    <w:rsid w:val="00F142EB"/>
    <w:rsid w:val="00F14374"/>
    <w:rsid w:val="00F144E2"/>
    <w:rsid w:val="00F144EF"/>
    <w:rsid w:val="00F1456A"/>
    <w:rsid w:val="00F15087"/>
    <w:rsid w:val="00F150A9"/>
    <w:rsid w:val="00F150DA"/>
    <w:rsid w:val="00F150DD"/>
    <w:rsid w:val="00F151A4"/>
    <w:rsid w:val="00F15860"/>
    <w:rsid w:val="00F15FCE"/>
    <w:rsid w:val="00F161B7"/>
    <w:rsid w:val="00F16418"/>
    <w:rsid w:val="00F16615"/>
    <w:rsid w:val="00F16847"/>
    <w:rsid w:val="00F16986"/>
    <w:rsid w:val="00F16C1E"/>
    <w:rsid w:val="00F16D59"/>
    <w:rsid w:val="00F17044"/>
    <w:rsid w:val="00F17065"/>
    <w:rsid w:val="00F17285"/>
    <w:rsid w:val="00F17368"/>
    <w:rsid w:val="00F17442"/>
    <w:rsid w:val="00F17C39"/>
    <w:rsid w:val="00F2026B"/>
    <w:rsid w:val="00F20405"/>
    <w:rsid w:val="00F2041D"/>
    <w:rsid w:val="00F204DA"/>
    <w:rsid w:val="00F207D1"/>
    <w:rsid w:val="00F209DF"/>
    <w:rsid w:val="00F209FD"/>
    <w:rsid w:val="00F20B84"/>
    <w:rsid w:val="00F2128A"/>
    <w:rsid w:val="00F21293"/>
    <w:rsid w:val="00F2149B"/>
    <w:rsid w:val="00F2192E"/>
    <w:rsid w:val="00F21B57"/>
    <w:rsid w:val="00F21BB8"/>
    <w:rsid w:val="00F21D25"/>
    <w:rsid w:val="00F21E0D"/>
    <w:rsid w:val="00F22D7C"/>
    <w:rsid w:val="00F22F5F"/>
    <w:rsid w:val="00F23228"/>
    <w:rsid w:val="00F23371"/>
    <w:rsid w:val="00F23611"/>
    <w:rsid w:val="00F2396F"/>
    <w:rsid w:val="00F23BA1"/>
    <w:rsid w:val="00F23DA2"/>
    <w:rsid w:val="00F23FCB"/>
    <w:rsid w:val="00F242AC"/>
    <w:rsid w:val="00F242E9"/>
    <w:rsid w:val="00F242F8"/>
    <w:rsid w:val="00F244AC"/>
    <w:rsid w:val="00F24AA9"/>
    <w:rsid w:val="00F24D45"/>
    <w:rsid w:val="00F24D8E"/>
    <w:rsid w:val="00F24F4D"/>
    <w:rsid w:val="00F2516F"/>
    <w:rsid w:val="00F25597"/>
    <w:rsid w:val="00F2565D"/>
    <w:rsid w:val="00F25A4D"/>
    <w:rsid w:val="00F25C64"/>
    <w:rsid w:val="00F25D3C"/>
    <w:rsid w:val="00F25D73"/>
    <w:rsid w:val="00F2622E"/>
    <w:rsid w:val="00F2638B"/>
    <w:rsid w:val="00F263AF"/>
    <w:rsid w:val="00F269AC"/>
    <w:rsid w:val="00F26AD5"/>
    <w:rsid w:val="00F26D06"/>
    <w:rsid w:val="00F26FA9"/>
    <w:rsid w:val="00F2716D"/>
    <w:rsid w:val="00F271E7"/>
    <w:rsid w:val="00F2720D"/>
    <w:rsid w:val="00F27613"/>
    <w:rsid w:val="00F277F1"/>
    <w:rsid w:val="00F2781F"/>
    <w:rsid w:val="00F2789C"/>
    <w:rsid w:val="00F27B63"/>
    <w:rsid w:val="00F27C57"/>
    <w:rsid w:val="00F27C94"/>
    <w:rsid w:val="00F27CAE"/>
    <w:rsid w:val="00F30219"/>
    <w:rsid w:val="00F303A5"/>
    <w:rsid w:val="00F30699"/>
    <w:rsid w:val="00F30CF7"/>
    <w:rsid w:val="00F313BC"/>
    <w:rsid w:val="00F315CA"/>
    <w:rsid w:val="00F3194A"/>
    <w:rsid w:val="00F31A22"/>
    <w:rsid w:val="00F31BF4"/>
    <w:rsid w:val="00F31C7D"/>
    <w:rsid w:val="00F31CAF"/>
    <w:rsid w:val="00F31FD5"/>
    <w:rsid w:val="00F329A7"/>
    <w:rsid w:val="00F32A86"/>
    <w:rsid w:val="00F32E21"/>
    <w:rsid w:val="00F334DB"/>
    <w:rsid w:val="00F335AF"/>
    <w:rsid w:val="00F337E5"/>
    <w:rsid w:val="00F3385B"/>
    <w:rsid w:val="00F3408A"/>
    <w:rsid w:val="00F345D5"/>
    <w:rsid w:val="00F3480B"/>
    <w:rsid w:val="00F348F9"/>
    <w:rsid w:val="00F34C80"/>
    <w:rsid w:val="00F34D0E"/>
    <w:rsid w:val="00F3562A"/>
    <w:rsid w:val="00F363A7"/>
    <w:rsid w:val="00F367FC"/>
    <w:rsid w:val="00F36966"/>
    <w:rsid w:val="00F37022"/>
    <w:rsid w:val="00F37387"/>
    <w:rsid w:val="00F37B69"/>
    <w:rsid w:val="00F37CA8"/>
    <w:rsid w:val="00F403C4"/>
    <w:rsid w:val="00F40587"/>
    <w:rsid w:val="00F40B44"/>
    <w:rsid w:val="00F40B85"/>
    <w:rsid w:val="00F41154"/>
    <w:rsid w:val="00F41638"/>
    <w:rsid w:val="00F41705"/>
    <w:rsid w:val="00F41B33"/>
    <w:rsid w:val="00F427CE"/>
    <w:rsid w:val="00F427E9"/>
    <w:rsid w:val="00F42C1A"/>
    <w:rsid w:val="00F430D9"/>
    <w:rsid w:val="00F431D6"/>
    <w:rsid w:val="00F43225"/>
    <w:rsid w:val="00F43344"/>
    <w:rsid w:val="00F436CF"/>
    <w:rsid w:val="00F43D9C"/>
    <w:rsid w:val="00F43F0D"/>
    <w:rsid w:val="00F4414F"/>
    <w:rsid w:val="00F44A9A"/>
    <w:rsid w:val="00F44C05"/>
    <w:rsid w:val="00F44F43"/>
    <w:rsid w:val="00F45158"/>
    <w:rsid w:val="00F45411"/>
    <w:rsid w:val="00F45C4F"/>
    <w:rsid w:val="00F466B8"/>
    <w:rsid w:val="00F46998"/>
    <w:rsid w:val="00F469BA"/>
    <w:rsid w:val="00F46AFE"/>
    <w:rsid w:val="00F46F24"/>
    <w:rsid w:val="00F4707A"/>
    <w:rsid w:val="00F47AAC"/>
    <w:rsid w:val="00F47BCD"/>
    <w:rsid w:val="00F47E14"/>
    <w:rsid w:val="00F47EEE"/>
    <w:rsid w:val="00F500AE"/>
    <w:rsid w:val="00F501E4"/>
    <w:rsid w:val="00F5048E"/>
    <w:rsid w:val="00F50B17"/>
    <w:rsid w:val="00F51078"/>
    <w:rsid w:val="00F51468"/>
    <w:rsid w:val="00F51635"/>
    <w:rsid w:val="00F51782"/>
    <w:rsid w:val="00F5193A"/>
    <w:rsid w:val="00F51A9D"/>
    <w:rsid w:val="00F51AD8"/>
    <w:rsid w:val="00F51DDF"/>
    <w:rsid w:val="00F51F51"/>
    <w:rsid w:val="00F52393"/>
    <w:rsid w:val="00F5269B"/>
    <w:rsid w:val="00F528F5"/>
    <w:rsid w:val="00F52E09"/>
    <w:rsid w:val="00F52EE5"/>
    <w:rsid w:val="00F52EFC"/>
    <w:rsid w:val="00F532DB"/>
    <w:rsid w:val="00F53504"/>
    <w:rsid w:val="00F53574"/>
    <w:rsid w:val="00F5360D"/>
    <w:rsid w:val="00F53AED"/>
    <w:rsid w:val="00F53E50"/>
    <w:rsid w:val="00F53F64"/>
    <w:rsid w:val="00F543BD"/>
    <w:rsid w:val="00F5447D"/>
    <w:rsid w:val="00F5485B"/>
    <w:rsid w:val="00F54A94"/>
    <w:rsid w:val="00F54E99"/>
    <w:rsid w:val="00F552C0"/>
    <w:rsid w:val="00F55505"/>
    <w:rsid w:val="00F55874"/>
    <w:rsid w:val="00F559ED"/>
    <w:rsid w:val="00F55E92"/>
    <w:rsid w:val="00F55F4F"/>
    <w:rsid w:val="00F55FB1"/>
    <w:rsid w:val="00F56264"/>
    <w:rsid w:val="00F564EE"/>
    <w:rsid w:val="00F56625"/>
    <w:rsid w:val="00F56A02"/>
    <w:rsid w:val="00F56BF1"/>
    <w:rsid w:val="00F56E54"/>
    <w:rsid w:val="00F57912"/>
    <w:rsid w:val="00F6047F"/>
    <w:rsid w:val="00F60B82"/>
    <w:rsid w:val="00F61701"/>
    <w:rsid w:val="00F61799"/>
    <w:rsid w:val="00F617FE"/>
    <w:rsid w:val="00F619AD"/>
    <w:rsid w:val="00F61E4A"/>
    <w:rsid w:val="00F62C0C"/>
    <w:rsid w:val="00F62C34"/>
    <w:rsid w:val="00F63957"/>
    <w:rsid w:val="00F63EC4"/>
    <w:rsid w:val="00F63F7F"/>
    <w:rsid w:val="00F640D7"/>
    <w:rsid w:val="00F64281"/>
    <w:rsid w:val="00F646B6"/>
    <w:rsid w:val="00F64E4C"/>
    <w:rsid w:val="00F65020"/>
    <w:rsid w:val="00F650CD"/>
    <w:rsid w:val="00F65153"/>
    <w:rsid w:val="00F6519D"/>
    <w:rsid w:val="00F65C68"/>
    <w:rsid w:val="00F65F76"/>
    <w:rsid w:val="00F6666F"/>
    <w:rsid w:val="00F6681D"/>
    <w:rsid w:val="00F6685D"/>
    <w:rsid w:val="00F66890"/>
    <w:rsid w:val="00F669E2"/>
    <w:rsid w:val="00F66B84"/>
    <w:rsid w:val="00F66F55"/>
    <w:rsid w:val="00F675A4"/>
    <w:rsid w:val="00F67C0E"/>
    <w:rsid w:val="00F701B9"/>
    <w:rsid w:val="00F70243"/>
    <w:rsid w:val="00F70953"/>
    <w:rsid w:val="00F70A48"/>
    <w:rsid w:val="00F70B49"/>
    <w:rsid w:val="00F70C90"/>
    <w:rsid w:val="00F70CBB"/>
    <w:rsid w:val="00F70DA9"/>
    <w:rsid w:val="00F70E57"/>
    <w:rsid w:val="00F71048"/>
    <w:rsid w:val="00F71088"/>
    <w:rsid w:val="00F71290"/>
    <w:rsid w:val="00F713E5"/>
    <w:rsid w:val="00F715B1"/>
    <w:rsid w:val="00F71627"/>
    <w:rsid w:val="00F718D7"/>
    <w:rsid w:val="00F71EA1"/>
    <w:rsid w:val="00F7241B"/>
    <w:rsid w:val="00F72569"/>
    <w:rsid w:val="00F72CAF"/>
    <w:rsid w:val="00F72EA4"/>
    <w:rsid w:val="00F72F36"/>
    <w:rsid w:val="00F72F92"/>
    <w:rsid w:val="00F734AB"/>
    <w:rsid w:val="00F735DE"/>
    <w:rsid w:val="00F7368A"/>
    <w:rsid w:val="00F73947"/>
    <w:rsid w:val="00F73E08"/>
    <w:rsid w:val="00F74343"/>
    <w:rsid w:val="00F7477E"/>
    <w:rsid w:val="00F74B32"/>
    <w:rsid w:val="00F74F91"/>
    <w:rsid w:val="00F75079"/>
    <w:rsid w:val="00F7511B"/>
    <w:rsid w:val="00F752F6"/>
    <w:rsid w:val="00F753D3"/>
    <w:rsid w:val="00F755EF"/>
    <w:rsid w:val="00F75A48"/>
    <w:rsid w:val="00F75ACE"/>
    <w:rsid w:val="00F75B82"/>
    <w:rsid w:val="00F75C1B"/>
    <w:rsid w:val="00F75C67"/>
    <w:rsid w:val="00F75F3B"/>
    <w:rsid w:val="00F76409"/>
    <w:rsid w:val="00F7717F"/>
    <w:rsid w:val="00F77645"/>
    <w:rsid w:val="00F77827"/>
    <w:rsid w:val="00F779E0"/>
    <w:rsid w:val="00F77B80"/>
    <w:rsid w:val="00F77EEA"/>
    <w:rsid w:val="00F80446"/>
    <w:rsid w:val="00F80832"/>
    <w:rsid w:val="00F80A7C"/>
    <w:rsid w:val="00F81154"/>
    <w:rsid w:val="00F8138F"/>
    <w:rsid w:val="00F814FD"/>
    <w:rsid w:val="00F81809"/>
    <w:rsid w:val="00F81A2F"/>
    <w:rsid w:val="00F81A66"/>
    <w:rsid w:val="00F81B71"/>
    <w:rsid w:val="00F81D56"/>
    <w:rsid w:val="00F81DAE"/>
    <w:rsid w:val="00F81DBB"/>
    <w:rsid w:val="00F82416"/>
    <w:rsid w:val="00F82448"/>
    <w:rsid w:val="00F82659"/>
    <w:rsid w:val="00F82A0F"/>
    <w:rsid w:val="00F82F66"/>
    <w:rsid w:val="00F8331E"/>
    <w:rsid w:val="00F839FB"/>
    <w:rsid w:val="00F83C5A"/>
    <w:rsid w:val="00F846F8"/>
    <w:rsid w:val="00F84741"/>
    <w:rsid w:val="00F8495E"/>
    <w:rsid w:val="00F849C9"/>
    <w:rsid w:val="00F84B56"/>
    <w:rsid w:val="00F84DB9"/>
    <w:rsid w:val="00F85A2F"/>
    <w:rsid w:val="00F85BB9"/>
    <w:rsid w:val="00F86309"/>
    <w:rsid w:val="00F86655"/>
    <w:rsid w:val="00F869BF"/>
    <w:rsid w:val="00F86B71"/>
    <w:rsid w:val="00F871FA"/>
    <w:rsid w:val="00F87220"/>
    <w:rsid w:val="00F8752E"/>
    <w:rsid w:val="00F87857"/>
    <w:rsid w:val="00F879F5"/>
    <w:rsid w:val="00F87C29"/>
    <w:rsid w:val="00F87CDF"/>
    <w:rsid w:val="00F87D0B"/>
    <w:rsid w:val="00F90454"/>
    <w:rsid w:val="00F905D4"/>
    <w:rsid w:val="00F9062A"/>
    <w:rsid w:val="00F90ADE"/>
    <w:rsid w:val="00F90BEA"/>
    <w:rsid w:val="00F90E33"/>
    <w:rsid w:val="00F90F34"/>
    <w:rsid w:val="00F9152C"/>
    <w:rsid w:val="00F91962"/>
    <w:rsid w:val="00F91C05"/>
    <w:rsid w:val="00F92185"/>
    <w:rsid w:val="00F927B1"/>
    <w:rsid w:val="00F9286E"/>
    <w:rsid w:val="00F928C8"/>
    <w:rsid w:val="00F92C7A"/>
    <w:rsid w:val="00F92F4A"/>
    <w:rsid w:val="00F9361E"/>
    <w:rsid w:val="00F93891"/>
    <w:rsid w:val="00F93BD6"/>
    <w:rsid w:val="00F93CFF"/>
    <w:rsid w:val="00F93D6F"/>
    <w:rsid w:val="00F93E81"/>
    <w:rsid w:val="00F9431D"/>
    <w:rsid w:val="00F94572"/>
    <w:rsid w:val="00F94C05"/>
    <w:rsid w:val="00F94D66"/>
    <w:rsid w:val="00F952EC"/>
    <w:rsid w:val="00F953A1"/>
    <w:rsid w:val="00F9578D"/>
    <w:rsid w:val="00F9592A"/>
    <w:rsid w:val="00F95B1C"/>
    <w:rsid w:val="00F95BD6"/>
    <w:rsid w:val="00F95D8E"/>
    <w:rsid w:val="00F95F3F"/>
    <w:rsid w:val="00F95F82"/>
    <w:rsid w:val="00F960CC"/>
    <w:rsid w:val="00F963AE"/>
    <w:rsid w:val="00F967C8"/>
    <w:rsid w:val="00F96B47"/>
    <w:rsid w:val="00F96C13"/>
    <w:rsid w:val="00F96D87"/>
    <w:rsid w:val="00F97406"/>
    <w:rsid w:val="00F976BD"/>
    <w:rsid w:val="00F97886"/>
    <w:rsid w:val="00F9788E"/>
    <w:rsid w:val="00F97C78"/>
    <w:rsid w:val="00F97D55"/>
    <w:rsid w:val="00F97E5A"/>
    <w:rsid w:val="00FA00F7"/>
    <w:rsid w:val="00FA040C"/>
    <w:rsid w:val="00FA05B3"/>
    <w:rsid w:val="00FA05C1"/>
    <w:rsid w:val="00FA0831"/>
    <w:rsid w:val="00FA1020"/>
    <w:rsid w:val="00FA127E"/>
    <w:rsid w:val="00FA1856"/>
    <w:rsid w:val="00FA1DB2"/>
    <w:rsid w:val="00FA2794"/>
    <w:rsid w:val="00FA2A48"/>
    <w:rsid w:val="00FA2B3D"/>
    <w:rsid w:val="00FA30CC"/>
    <w:rsid w:val="00FA3863"/>
    <w:rsid w:val="00FA3EE2"/>
    <w:rsid w:val="00FA4030"/>
    <w:rsid w:val="00FA43B4"/>
    <w:rsid w:val="00FA443A"/>
    <w:rsid w:val="00FA45E8"/>
    <w:rsid w:val="00FA4A71"/>
    <w:rsid w:val="00FA4DE1"/>
    <w:rsid w:val="00FA5445"/>
    <w:rsid w:val="00FA594A"/>
    <w:rsid w:val="00FA6017"/>
    <w:rsid w:val="00FA626A"/>
    <w:rsid w:val="00FA6633"/>
    <w:rsid w:val="00FA6878"/>
    <w:rsid w:val="00FA6A04"/>
    <w:rsid w:val="00FA6A72"/>
    <w:rsid w:val="00FA6C37"/>
    <w:rsid w:val="00FA6F78"/>
    <w:rsid w:val="00FA7390"/>
    <w:rsid w:val="00FA7424"/>
    <w:rsid w:val="00FA7747"/>
    <w:rsid w:val="00FA7C4C"/>
    <w:rsid w:val="00FA7C62"/>
    <w:rsid w:val="00FA7F9F"/>
    <w:rsid w:val="00FB00C4"/>
    <w:rsid w:val="00FB02F3"/>
    <w:rsid w:val="00FB0F15"/>
    <w:rsid w:val="00FB0FB4"/>
    <w:rsid w:val="00FB176D"/>
    <w:rsid w:val="00FB1AA2"/>
    <w:rsid w:val="00FB1B12"/>
    <w:rsid w:val="00FB1B3A"/>
    <w:rsid w:val="00FB1E31"/>
    <w:rsid w:val="00FB20FB"/>
    <w:rsid w:val="00FB3137"/>
    <w:rsid w:val="00FB319B"/>
    <w:rsid w:val="00FB327D"/>
    <w:rsid w:val="00FB336A"/>
    <w:rsid w:val="00FB365F"/>
    <w:rsid w:val="00FB39FE"/>
    <w:rsid w:val="00FB3D7D"/>
    <w:rsid w:val="00FB410A"/>
    <w:rsid w:val="00FB43EF"/>
    <w:rsid w:val="00FB4B52"/>
    <w:rsid w:val="00FB4C28"/>
    <w:rsid w:val="00FB53C0"/>
    <w:rsid w:val="00FB553B"/>
    <w:rsid w:val="00FB57B8"/>
    <w:rsid w:val="00FB58D5"/>
    <w:rsid w:val="00FB5A06"/>
    <w:rsid w:val="00FB5B75"/>
    <w:rsid w:val="00FB5D51"/>
    <w:rsid w:val="00FB5F87"/>
    <w:rsid w:val="00FB6245"/>
    <w:rsid w:val="00FB6307"/>
    <w:rsid w:val="00FB63F8"/>
    <w:rsid w:val="00FB6576"/>
    <w:rsid w:val="00FB6955"/>
    <w:rsid w:val="00FB6BB9"/>
    <w:rsid w:val="00FB6E62"/>
    <w:rsid w:val="00FB6F51"/>
    <w:rsid w:val="00FB70D0"/>
    <w:rsid w:val="00FB7211"/>
    <w:rsid w:val="00FB7257"/>
    <w:rsid w:val="00FB7407"/>
    <w:rsid w:val="00FC0A80"/>
    <w:rsid w:val="00FC0D69"/>
    <w:rsid w:val="00FC14E9"/>
    <w:rsid w:val="00FC15A0"/>
    <w:rsid w:val="00FC1D73"/>
    <w:rsid w:val="00FC1EEA"/>
    <w:rsid w:val="00FC2029"/>
    <w:rsid w:val="00FC2172"/>
    <w:rsid w:val="00FC2266"/>
    <w:rsid w:val="00FC2BCD"/>
    <w:rsid w:val="00FC2D09"/>
    <w:rsid w:val="00FC2E6F"/>
    <w:rsid w:val="00FC3347"/>
    <w:rsid w:val="00FC33BA"/>
    <w:rsid w:val="00FC34C0"/>
    <w:rsid w:val="00FC381E"/>
    <w:rsid w:val="00FC4434"/>
    <w:rsid w:val="00FC4529"/>
    <w:rsid w:val="00FC4C20"/>
    <w:rsid w:val="00FC4ED6"/>
    <w:rsid w:val="00FC50FE"/>
    <w:rsid w:val="00FC5465"/>
    <w:rsid w:val="00FC56DF"/>
    <w:rsid w:val="00FC5729"/>
    <w:rsid w:val="00FC57C3"/>
    <w:rsid w:val="00FC59B6"/>
    <w:rsid w:val="00FC5BEF"/>
    <w:rsid w:val="00FC5C8F"/>
    <w:rsid w:val="00FC6244"/>
    <w:rsid w:val="00FC62E5"/>
    <w:rsid w:val="00FC6378"/>
    <w:rsid w:val="00FC63AD"/>
    <w:rsid w:val="00FC659E"/>
    <w:rsid w:val="00FC68AB"/>
    <w:rsid w:val="00FC71C7"/>
    <w:rsid w:val="00FC72CA"/>
    <w:rsid w:val="00FC7329"/>
    <w:rsid w:val="00FC74D8"/>
    <w:rsid w:val="00FC75B4"/>
    <w:rsid w:val="00FC7958"/>
    <w:rsid w:val="00FC7B9C"/>
    <w:rsid w:val="00FC7C50"/>
    <w:rsid w:val="00FC7FD4"/>
    <w:rsid w:val="00FD007E"/>
    <w:rsid w:val="00FD041B"/>
    <w:rsid w:val="00FD09D0"/>
    <w:rsid w:val="00FD0A20"/>
    <w:rsid w:val="00FD1008"/>
    <w:rsid w:val="00FD14FD"/>
    <w:rsid w:val="00FD1DB7"/>
    <w:rsid w:val="00FD1E18"/>
    <w:rsid w:val="00FD2199"/>
    <w:rsid w:val="00FD236A"/>
    <w:rsid w:val="00FD243A"/>
    <w:rsid w:val="00FD2D60"/>
    <w:rsid w:val="00FD3001"/>
    <w:rsid w:val="00FD33FF"/>
    <w:rsid w:val="00FD3622"/>
    <w:rsid w:val="00FD373D"/>
    <w:rsid w:val="00FD3967"/>
    <w:rsid w:val="00FD3A0B"/>
    <w:rsid w:val="00FD3B7A"/>
    <w:rsid w:val="00FD3D56"/>
    <w:rsid w:val="00FD3E7F"/>
    <w:rsid w:val="00FD4936"/>
    <w:rsid w:val="00FD4A20"/>
    <w:rsid w:val="00FD4B8D"/>
    <w:rsid w:val="00FD4E81"/>
    <w:rsid w:val="00FD52CA"/>
    <w:rsid w:val="00FD5403"/>
    <w:rsid w:val="00FD5B81"/>
    <w:rsid w:val="00FD65BE"/>
    <w:rsid w:val="00FD668F"/>
    <w:rsid w:val="00FD6E12"/>
    <w:rsid w:val="00FD7168"/>
    <w:rsid w:val="00FD73F3"/>
    <w:rsid w:val="00FD77ED"/>
    <w:rsid w:val="00FD7DD4"/>
    <w:rsid w:val="00FD7E1F"/>
    <w:rsid w:val="00FE0221"/>
    <w:rsid w:val="00FE0435"/>
    <w:rsid w:val="00FE0990"/>
    <w:rsid w:val="00FE09C8"/>
    <w:rsid w:val="00FE0CA9"/>
    <w:rsid w:val="00FE0D93"/>
    <w:rsid w:val="00FE0F9E"/>
    <w:rsid w:val="00FE0FB4"/>
    <w:rsid w:val="00FE142C"/>
    <w:rsid w:val="00FE1750"/>
    <w:rsid w:val="00FE1A4E"/>
    <w:rsid w:val="00FE1EB5"/>
    <w:rsid w:val="00FE2105"/>
    <w:rsid w:val="00FE240F"/>
    <w:rsid w:val="00FE298B"/>
    <w:rsid w:val="00FE3004"/>
    <w:rsid w:val="00FE3273"/>
    <w:rsid w:val="00FE34CB"/>
    <w:rsid w:val="00FE3AB9"/>
    <w:rsid w:val="00FE3C20"/>
    <w:rsid w:val="00FE416E"/>
    <w:rsid w:val="00FE4248"/>
    <w:rsid w:val="00FE452A"/>
    <w:rsid w:val="00FE4615"/>
    <w:rsid w:val="00FE47D3"/>
    <w:rsid w:val="00FE49A3"/>
    <w:rsid w:val="00FE4D56"/>
    <w:rsid w:val="00FE4FA0"/>
    <w:rsid w:val="00FE523A"/>
    <w:rsid w:val="00FE53B3"/>
    <w:rsid w:val="00FE542B"/>
    <w:rsid w:val="00FE6634"/>
    <w:rsid w:val="00FE6D68"/>
    <w:rsid w:val="00FE73EE"/>
    <w:rsid w:val="00FE75E4"/>
    <w:rsid w:val="00FE7B85"/>
    <w:rsid w:val="00FE7D8E"/>
    <w:rsid w:val="00FF0214"/>
    <w:rsid w:val="00FF07C2"/>
    <w:rsid w:val="00FF0921"/>
    <w:rsid w:val="00FF0B0A"/>
    <w:rsid w:val="00FF0CB3"/>
    <w:rsid w:val="00FF14BA"/>
    <w:rsid w:val="00FF17FC"/>
    <w:rsid w:val="00FF1814"/>
    <w:rsid w:val="00FF209A"/>
    <w:rsid w:val="00FF21B8"/>
    <w:rsid w:val="00FF27A2"/>
    <w:rsid w:val="00FF2BC4"/>
    <w:rsid w:val="00FF2CE5"/>
    <w:rsid w:val="00FF2CF2"/>
    <w:rsid w:val="00FF2E85"/>
    <w:rsid w:val="00FF3541"/>
    <w:rsid w:val="00FF3658"/>
    <w:rsid w:val="00FF3771"/>
    <w:rsid w:val="00FF39E1"/>
    <w:rsid w:val="00FF3BC8"/>
    <w:rsid w:val="00FF4A62"/>
    <w:rsid w:val="00FF4CB2"/>
    <w:rsid w:val="00FF4EE5"/>
    <w:rsid w:val="00FF4F0F"/>
    <w:rsid w:val="00FF50A1"/>
    <w:rsid w:val="00FF50ED"/>
    <w:rsid w:val="00FF56E6"/>
    <w:rsid w:val="00FF5714"/>
    <w:rsid w:val="00FF5C6C"/>
    <w:rsid w:val="00FF5F1F"/>
    <w:rsid w:val="00FF6500"/>
    <w:rsid w:val="00FF6684"/>
    <w:rsid w:val="00FF6F12"/>
    <w:rsid w:val="00FF70CA"/>
    <w:rsid w:val="00FF7477"/>
    <w:rsid w:val="00FF7E7E"/>
    <w:rsid w:val="00FF7F65"/>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16C"/>
    <w:pPr>
      <w:spacing w:before="120" w:line="276" w:lineRule="auto"/>
      <w:jc w:val="both"/>
    </w:pPr>
    <w:rPr>
      <w:rFonts w:ascii="Calibri" w:hAnsi="Calibri"/>
      <w:sz w:val="24"/>
      <w:szCs w:val="24"/>
      <w:lang w:val="en-GB"/>
    </w:rPr>
  </w:style>
  <w:style w:type="paragraph" w:styleId="Heading1">
    <w:name w:val="heading 1"/>
    <w:aliases w:val="Section,HEADING 1,Section Heading,MainHeader,1 ghost,g,Main heading,App1,1,h1,L1,Outline1,Chapter Heading,Text Heading 18pt,Full Page Heading 1,toc1a,AAR Level 1 Heading,Article Heading,EASI 1,Hoofdstuk,Heading 1-nonum,Headline,Chapter"/>
    <w:basedOn w:val="Normal"/>
    <w:next w:val="Heading2"/>
    <w:link w:val="Heading1Char"/>
    <w:qFormat/>
    <w:rsid w:val="0084346E"/>
    <w:pPr>
      <w:keepNext/>
      <w:numPr>
        <w:numId w:val="24"/>
      </w:numPr>
      <w:spacing w:after="60" w:line="360" w:lineRule="auto"/>
      <w:outlineLvl w:val="0"/>
    </w:pPr>
    <w:rPr>
      <w:rFonts w:cs="Arial"/>
      <w:b/>
      <w:bCs/>
      <w:caps/>
      <w:kern w:val="32"/>
      <w:szCs w:val="32"/>
    </w:rPr>
  </w:style>
  <w:style w:type="paragraph" w:styleId="Heading2">
    <w:name w:val="heading 2"/>
    <w:aliases w:val="Major,h2,2,Titre 2,l2,list + change bar,???,h21,heading 2,LetHead2,MisHead2,Normalhead2,Normal Heading 2,1.1 HEADING 2,Z_hanging_2,Subchapter 1.1,Reset numbering,2/1,A,level 2,2 headline,h2 main heading,B Heading,H2,Centerhead,A.B.C.,PARA2,b1"/>
    <w:basedOn w:val="ListParagraph"/>
    <w:link w:val="Heading2Char1"/>
    <w:qFormat/>
    <w:rsid w:val="0076423D"/>
    <w:pPr>
      <w:numPr>
        <w:ilvl w:val="1"/>
        <w:numId w:val="24"/>
      </w:numPr>
      <w:autoSpaceDE w:val="0"/>
      <w:autoSpaceDN w:val="0"/>
      <w:adjustRightInd w:val="0"/>
      <w:spacing w:line="240" w:lineRule="auto"/>
      <w:contextualSpacing/>
      <w:outlineLvl w:val="1"/>
    </w:pPr>
    <w:rPr>
      <w:rFonts w:asciiTheme="minorHAnsi" w:hAnsiTheme="minorHAnsi" w:cstheme="minorHAnsi"/>
      <w:b/>
      <w:bCs/>
      <w:color w:val="000000"/>
    </w:rPr>
  </w:style>
  <w:style w:type="paragraph" w:styleId="Heading3">
    <w:name w:val="heading 3"/>
    <w:aliases w:val="3,h3,No Indent,Newshead1,C Heading,Half Space,Minor,Título 3_PDAPM_3,h31,Titre 3,l3,CT,LetHead3,Normal Heading 3,MisHead3,Normalhead3,Z_hanging_3,H3,H31,H32,H33,H34,H35,H36,H37,H38,H311,H321,H331,H341,H351,H361,H371,H39,H312,H322,Bu,heading 3"/>
    <w:basedOn w:val="Normal"/>
    <w:link w:val="Heading3Char"/>
    <w:qFormat/>
    <w:rsid w:val="002E0732"/>
    <w:pPr>
      <w:numPr>
        <w:ilvl w:val="2"/>
        <w:numId w:val="24"/>
      </w:numPr>
      <w:tabs>
        <w:tab w:val="left" w:pos="720"/>
      </w:tabs>
      <w:outlineLvl w:val="2"/>
    </w:pPr>
    <w:rPr>
      <w:rFonts w:cs="Arial"/>
      <w:bCs/>
      <w:szCs w:val="26"/>
    </w:rPr>
  </w:style>
  <w:style w:type="paragraph" w:styleId="Heading4">
    <w:name w:val="heading 4"/>
    <w:aliases w:val="( i ),o"/>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DD1983"/>
    <w:pPr>
      <w:numPr>
        <w:ilvl w:val="6"/>
        <w:numId w:val="1"/>
      </w:numPr>
      <w:spacing w:before="240" w:after="60"/>
      <w:outlineLvl w:val="6"/>
    </w:pPr>
  </w:style>
  <w:style w:type="paragraph" w:styleId="Heading8">
    <w:name w:val="heading 8"/>
    <w:basedOn w:val="Normal"/>
    <w:next w:val="Normal"/>
    <w:link w:val="Heading8Char"/>
    <w:qFormat/>
    <w:rsid w:val="00DD1983"/>
    <w:pPr>
      <w:numPr>
        <w:ilvl w:val="7"/>
        <w:numId w:val="1"/>
      </w:numPr>
      <w:spacing w:before="240" w:after="60"/>
      <w:outlineLvl w:val="7"/>
    </w:pPr>
    <w:rPr>
      <w:i/>
      <w:iCs/>
    </w:rPr>
  </w:style>
  <w:style w:type="paragraph" w:styleId="Heading9">
    <w:name w:val="heading 9"/>
    <w:basedOn w:val="Normal"/>
    <w:next w:val="Normal"/>
    <w:link w:val="Heading9Char"/>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ection 1 para"/>
    <w:basedOn w:val="Normal"/>
    <w:link w:val="ListParagraphChar"/>
    <w:uiPriority w:val="34"/>
    <w:qFormat/>
    <w:rsid w:val="00B81524"/>
    <w:pPr>
      <w:ind w:left="720"/>
    </w:pPr>
  </w:style>
  <w:style w:type="character" w:customStyle="1" w:styleId="Heading2Char1">
    <w:name w:val="Heading 2 Char1"/>
    <w:aliases w:val="Major Char1,h2 Char1,2 Char1,Titre 2 Char1,l2 Char1,list + change bar Char1,??? Char1,h21 Char1,heading 2 Char1,LetHead2 Char1,MisHead2 Char1,Normalhead2 Char1,Normal Heading 2 Char1,1.1 HEADING 2 Char1,Z_hanging_2 Char1,2/1 Char1,A Char"/>
    <w:link w:val="Heading2"/>
    <w:rsid w:val="0076423D"/>
    <w:rPr>
      <w:rFonts w:asciiTheme="minorHAnsi" w:hAnsiTheme="minorHAnsi" w:cstheme="minorHAnsi"/>
      <w:b/>
      <w:bCs/>
      <w:color w:val="000000"/>
      <w:sz w:val="24"/>
      <w:szCs w:val="24"/>
      <w:lang w:val="en-GB"/>
    </w:rPr>
  </w:style>
  <w:style w:type="character" w:customStyle="1" w:styleId="Heading1Char">
    <w:name w:val="Heading 1 Char"/>
    <w:aliases w:val="Section Char,HEADING 1 Char,Section Heading Char,MainHeader Char,1 ghost Char,g Char,Main heading Char,App1 Char,1 Char,h1 Char,L1 Char,Outline1 Char,Chapter Heading Char,Text Heading 18pt Char,Full Page Heading 1 Char,toc1a Char"/>
    <w:basedOn w:val="DefaultParagraphFont"/>
    <w:link w:val="Heading1"/>
    <w:rsid w:val="0084346E"/>
    <w:rPr>
      <w:rFonts w:ascii="Calibri" w:hAnsi="Calibri" w:cs="Arial"/>
      <w:b/>
      <w:bCs/>
      <w:caps/>
      <w:kern w:val="32"/>
      <w:sz w:val="24"/>
      <w:szCs w:val="32"/>
      <w:lang w:val="en-GB"/>
    </w:rPr>
  </w:style>
  <w:style w:type="character" w:customStyle="1" w:styleId="Heading3Char">
    <w:name w:val="Heading 3 Char"/>
    <w:aliases w:val="3 Char,h3 Char,No Indent Char,Newshead1 Char,C Heading Char,Half Space Char,Minor Char,Título 3_PDAPM_3 Char,h31 Char,Titre 3 Char,l3 Char,CT Char,LetHead3 Char,Normal Heading 3 Char,MisHead3 Char,Normalhead3 Char,Z_hanging_3 Char,H3 Char"/>
    <w:link w:val="Heading3"/>
    <w:rsid w:val="002E0732"/>
    <w:rPr>
      <w:rFonts w:ascii="Calibri" w:hAnsi="Calibri" w:cs="Arial"/>
      <w:bCs/>
      <w:sz w:val="24"/>
      <w:szCs w:val="26"/>
      <w:lang w:val="en-GB"/>
    </w:rPr>
  </w:style>
  <w:style w:type="character" w:customStyle="1" w:styleId="Heading4Char">
    <w:name w:val="Heading 4 Char"/>
    <w:aliases w:val="( i ) Char,o Char"/>
    <w:link w:val="Heading4"/>
    <w:rsid w:val="0008110B"/>
    <w:rPr>
      <w:rFonts w:ascii="Calibri" w:hAnsi="Calibri"/>
      <w:bCs/>
      <w:sz w:val="24"/>
      <w:szCs w:val="28"/>
      <w:lang w:val="en-GB"/>
    </w:rPr>
  </w:style>
  <w:style w:type="character" w:customStyle="1" w:styleId="Heading5Char">
    <w:name w:val="Heading 5 Char"/>
    <w:link w:val="Heading5"/>
    <w:rsid w:val="0008110B"/>
    <w:rPr>
      <w:rFonts w:ascii="Calibri" w:hAnsi="Calibri"/>
      <w:b/>
      <w:bCs/>
      <w:i/>
      <w:iCs/>
      <w:sz w:val="24"/>
      <w:szCs w:val="26"/>
      <w:lang w:val="en-GB"/>
    </w:rPr>
  </w:style>
  <w:style w:type="character" w:customStyle="1" w:styleId="Heading6Char">
    <w:name w:val="Heading 6 Char"/>
    <w:link w:val="Heading6"/>
    <w:rsid w:val="0008110B"/>
    <w:rPr>
      <w:rFonts w:ascii="Calibri" w:hAnsi="Calibri"/>
      <w:b/>
      <w:bCs/>
      <w:sz w:val="22"/>
      <w:szCs w:val="22"/>
      <w:lang w:val="en-GB"/>
    </w:rPr>
  </w:style>
  <w:style w:type="character" w:customStyle="1" w:styleId="Heading7Char">
    <w:name w:val="Heading 7 Char"/>
    <w:link w:val="Heading7"/>
    <w:rsid w:val="0008110B"/>
    <w:rPr>
      <w:rFonts w:ascii="Calibri" w:hAnsi="Calibri"/>
      <w:sz w:val="24"/>
      <w:szCs w:val="24"/>
      <w:lang w:val="en-GB"/>
    </w:rPr>
  </w:style>
  <w:style w:type="character" w:customStyle="1" w:styleId="Heading8Char">
    <w:name w:val="Heading 8 Char"/>
    <w:link w:val="Heading8"/>
    <w:rsid w:val="0008110B"/>
    <w:rPr>
      <w:rFonts w:ascii="Calibri" w:hAnsi="Calibri"/>
      <w:i/>
      <w:iCs/>
      <w:sz w:val="24"/>
      <w:szCs w:val="24"/>
      <w:lang w:val="en-GB"/>
    </w:rPr>
  </w:style>
  <w:style w:type="character" w:customStyle="1" w:styleId="Heading9Char">
    <w:name w:val="Heading 9 Char"/>
    <w:link w:val="Heading9"/>
    <w:rsid w:val="0008110B"/>
    <w:rPr>
      <w:rFonts w:ascii="Arial" w:hAnsi="Arial" w:cs="Arial"/>
      <w:sz w:val="22"/>
      <w:szCs w:val="22"/>
      <w:lang w:val="en-GB"/>
    </w:rPr>
  </w:style>
  <w:style w:type="paragraph" w:styleId="Header">
    <w:name w:val="header"/>
    <w:aliases w:val="heading 3 after h2,h,h3+,ContentsHeader,hd,*Header,Section Header,page-header,ph,Header 2,Name,Tab Title,H-PDID,h6,h22,h7,h8,Chapter Name"/>
    <w:basedOn w:val="Normal"/>
    <w:link w:val="HeaderChar"/>
    <w:uiPriority w:val="99"/>
    <w:rsid w:val="009B5DA3"/>
    <w:pPr>
      <w:tabs>
        <w:tab w:val="center" w:pos="4320"/>
        <w:tab w:val="right" w:pos="8640"/>
      </w:tabs>
    </w:pPr>
  </w:style>
  <w:style w:type="character" w:customStyle="1" w:styleId="HeaderChar">
    <w:name w:val="Header Char"/>
    <w:aliases w:val="heading 3 after h2 Char,h Char,h3+ Char,ContentsHeader Char,hd Char,*Header Char,Section Header Char,page-header Char,ph Char,Header 2 Char,Name Char,Tab Title Char,H-PDID Char,h6 Char,h22 Char,h7 Char,h8 Char,Chapter Name Char"/>
    <w:link w:val="Header"/>
    <w:uiPriority w:val="99"/>
    <w:rsid w:val="00331ACB"/>
    <w:rPr>
      <w:rFonts w:ascii="Calibri" w:hAnsi="Calibri"/>
      <w:sz w:val="24"/>
      <w:szCs w:val="24"/>
      <w:lang w:val="en-GB"/>
    </w:rPr>
  </w:style>
  <w:style w:type="paragraph" w:styleId="TableofFigures">
    <w:name w:val="table of figures"/>
    <w:basedOn w:val="Normal"/>
    <w:next w:val="Normal"/>
    <w:uiPriority w:val="99"/>
    <w:rsid w:val="001D22FE"/>
    <w:pPr>
      <w:ind w:left="480" w:hanging="480"/>
      <w:jc w:val="left"/>
    </w:pPr>
    <w:rPr>
      <w:rFonts w:asciiTheme="minorHAnsi" w:hAnsiTheme="minorHAnsi" w:cstheme="minorHAnsi"/>
      <w:smallCaps/>
      <w:sz w:val="20"/>
      <w:szCs w:val="20"/>
    </w:rPr>
  </w:style>
  <w:style w:type="paragraph" w:styleId="TOC1">
    <w:name w:val="toc 1"/>
    <w:basedOn w:val="Normal"/>
    <w:next w:val="Normal"/>
    <w:autoRedefine/>
    <w:uiPriority w:val="39"/>
    <w:qFormat/>
    <w:rsid w:val="007824BA"/>
    <w:pPr>
      <w:tabs>
        <w:tab w:val="right" w:leader="dot" w:pos="9270"/>
      </w:tabs>
      <w:spacing w:after="120"/>
      <w:ind w:left="90" w:hanging="270"/>
      <w:jc w:val="center"/>
    </w:pPr>
    <w:rPr>
      <w:rFonts w:asciiTheme="minorHAnsi" w:hAnsiTheme="minorHAnsi" w:cstheme="minorHAnsi"/>
      <w:bCs/>
      <w:caps/>
      <w:sz w:val="20"/>
      <w:szCs w:val="20"/>
    </w:rPr>
  </w:style>
  <w:style w:type="paragraph" w:styleId="Footer">
    <w:name w:val="footer"/>
    <w:aliases w:val="eersteregel"/>
    <w:basedOn w:val="Normal"/>
    <w:link w:val="FooterChar"/>
    <w:rsid w:val="009B5DA3"/>
    <w:pPr>
      <w:tabs>
        <w:tab w:val="center" w:pos="4320"/>
        <w:tab w:val="right" w:pos="8640"/>
      </w:tabs>
    </w:pPr>
  </w:style>
  <w:style w:type="character" w:customStyle="1" w:styleId="FooterChar">
    <w:name w:val="Footer Char"/>
    <w:aliases w:val="eersteregel Char"/>
    <w:basedOn w:val="DefaultParagraphFont"/>
    <w:link w:val="Footer"/>
    <w:rsid w:val="004C5FC7"/>
    <w:rPr>
      <w:rFonts w:ascii="Calibri" w:hAnsi="Calibri"/>
      <w:sz w:val="24"/>
      <w:szCs w:val="24"/>
      <w:lang w:val="en-GB"/>
    </w:rPr>
  </w:style>
  <w:style w:type="paragraph" w:styleId="TOC2">
    <w:name w:val="toc 2"/>
    <w:basedOn w:val="Normal"/>
    <w:next w:val="Normal"/>
    <w:autoRedefine/>
    <w:uiPriority w:val="39"/>
    <w:qFormat/>
    <w:rsid w:val="00744F4C"/>
    <w:pPr>
      <w:ind w:left="240"/>
      <w:jc w:val="left"/>
    </w:pPr>
    <w:rPr>
      <w:rFonts w:asciiTheme="minorHAnsi" w:hAnsiTheme="minorHAnsi" w:cstheme="minorHAns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asciiTheme="minorHAnsi" w:hAnsiTheme="minorHAnsi" w:cstheme="minorHAnsi"/>
      <w:i/>
      <w:iCs/>
      <w:sz w:val="20"/>
      <w:szCs w:val="20"/>
    </w:rPr>
  </w:style>
  <w:style w:type="paragraph" w:styleId="Caption">
    <w:name w:val="caption"/>
    <w:aliases w:val="Caption Char1"/>
    <w:basedOn w:val="Normal"/>
    <w:next w:val="Normal"/>
    <w:qFormat/>
    <w:rsid w:val="00500459"/>
    <w:pPr>
      <w:spacing w:after="120" w:line="240" w:lineRule="auto"/>
      <w:jc w:val="center"/>
    </w:pPr>
    <w:rPr>
      <w:b/>
      <w:bCs/>
      <w:szCs w:val="20"/>
    </w:rPr>
  </w:style>
  <w:style w:type="character" w:styleId="CommentReference">
    <w:name w:val="annotation reference"/>
    <w:uiPriority w:val="99"/>
    <w:rsid w:val="00E22B10"/>
    <w:rPr>
      <w:sz w:val="16"/>
      <w:szCs w:val="16"/>
    </w:rPr>
  </w:style>
  <w:style w:type="paragraph" w:styleId="CommentText">
    <w:name w:val="annotation text"/>
    <w:basedOn w:val="Normal"/>
    <w:link w:val="CommentTextChar"/>
    <w:uiPriority w:val="99"/>
    <w:rsid w:val="00E22B10"/>
    <w:rPr>
      <w:sz w:val="20"/>
      <w:szCs w:val="20"/>
    </w:rPr>
  </w:style>
  <w:style w:type="character" w:customStyle="1" w:styleId="CommentTextChar">
    <w:name w:val="Comment Text Char"/>
    <w:link w:val="CommentText"/>
    <w:uiPriority w:val="99"/>
    <w:rsid w:val="0008110B"/>
    <w:rPr>
      <w:rFonts w:ascii="Calibri" w:hAnsi="Calibri"/>
      <w:lang w:val="en-GB"/>
    </w:rPr>
  </w:style>
  <w:style w:type="paragraph" w:styleId="CommentSubject">
    <w:name w:val="annotation subject"/>
    <w:basedOn w:val="CommentText"/>
    <w:next w:val="CommentText"/>
    <w:link w:val="CommentSubjectChar"/>
    <w:rsid w:val="00E22B10"/>
    <w:rPr>
      <w:b/>
      <w:bCs/>
    </w:rPr>
  </w:style>
  <w:style w:type="character" w:customStyle="1" w:styleId="CommentSubjectChar">
    <w:name w:val="Comment Subject Char"/>
    <w:link w:val="CommentSubject"/>
    <w:rsid w:val="0008110B"/>
    <w:rPr>
      <w:rFonts w:ascii="Calibri" w:hAnsi="Calibri"/>
      <w:b/>
      <w:bCs/>
      <w:lang w:val="en-GB"/>
    </w:rPr>
  </w:style>
  <w:style w:type="paragraph" w:styleId="BalloonText">
    <w:name w:val="Balloon Text"/>
    <w:basedOn w:val="Normal"/>
    <w:link w:val="BalloonTextChar"/>
    <w:rsid w:val="00E22B10"/>
    <w:rPr>
      <w:rFonts w:ascii="Tahoma" w:hAnsi="Tahoma" w:cs="Tahoma"/>
      <w:sz w:val="16"/>
      <w:szCs w:val="16"/>
    </w:rPr>
  </w:style>
  <w:style w:type="character" w:customStyle="1" w:styleId="BalloonTextChar">
    <w:name w:val="Balloon Text Char"/>
    <w:link w:val="BalloonText"/>
    <w:rsid w:val="0008110B"/>
    <w:rPr>
      <w:rFonts w:ascii="Tahoma" w:hAnsi="Tahoma" w:cs="Tahoma"/>
      <w:sz w:val="16"/>
      <w:szCs w:val="16"/>
      <w:lang w:val="en-GB"/>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tabs>
        <w:tab w:val="num" w:pos="576"/>
      </w:tabs>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asciiTheme="minorHAnsi" w:hAnsiTheme="minorHAnsi" w:cstheme="minorHAnsi"/>
      <w:sz w:val="18"/>
      <w:szCs w:val="18"/>
    </w:rPr>
  </w:style>
  <w:style w:type="paragraph" w:styleId="TOC5">
    <w:name w:val="toc 5"/>
    <w:basedOn w:val="Normal"/>
    <w:next w:val="Normal"/>
    <w:autoRedefine/>
    <w:uiPriority w:val="39"/>
    <w:rsid w:val="00C77A08"/>
    <w:pPr>
      <w:ind w:left="960"/>
      <w:jc w:val="left"/>
    </w:pPr>
    <w:rPr>
      <w:rFonts w:asciiTheme="minorHAnsi" w:hAnsiTheme="minorHAnsi" w:cstheme="minorHAnsi"/>
      <w:sz w:val="18"/>
      <w:szCs w:val="18"/>
    </w:rPr>
  </w:style>
  <w:style w:type="paragraph" w:styleId="TOC6">
    <w:name w:val="toc 6"/>
    <w:basedOn w:val="Normal"/>
    <w:next w:val="Normal"/>
    <w:autoRedefine/>
    <w:uiPriority w:val="39"/>
    <w:rsid w:val="00C77A08"/>
    <w:pPr>
      <w:ind w:left="1200"/>
      <w:jc w:val="left"/>
    </w:pPr>
    <w:rPr>
      <w:rFonts w:asciiTheme="minorHAnsi" w:hAnsiTheme="minorHAnsi" w:cstheme="minorHAnsi"/>
      <w:sz w:val="18"/>
      <w:szCs w:val="18"/>
    </w:rPr>
  </w:style>
  <w:style w:type="paragraph" w:styleId="TOC7">
    <w:name w:val="toc 7"/>
    <w:basedOn w:val="Normal"/>
    <w:next w:val="Normal"/>
    <w:autoRedefine/>
    <w:uiPriority w:val="39"/>
    <w:rsid w:val="00C77A08"/>
    <w:pPr>
      <w:ind w:left="1440"/>
      <w:jc w:val="left"/>
    </w:pPr>
    <w:rPr>
      <w:rFonts w:asciiTheme="minorHAnsi" w:hAnsiTheme="minorHAnsi" w:cstheme="minorHAnsi"/>
      <w:sz w:val="18"/>
      <w:szCs w:val="18"/>
    </w:rPr>
  </w:style>
  <w:style w:type="paragraph" w:styleId="TOC8">
    <w:name w:val="toc 8"/>
    <w:basedOn w:val="Normal"/>
    <w:next w:val="Normal"/>
    <w:autoRedefine/>
    <w:uiPriority w:val="39"/>
    <w:rsid w:val="00C77A08"/>
    <w:pPr>
      <w:ind w:left="1680"/>
      <w:jc w:val="left"/>
    </w:pPr>
    <w:rPr>
      <w:rFonts w:asciiTheme="minorHAnsi" w:hAnsiTheme="minorHAnsi" w:cstheme="minorHAnsi"/>
      <w:sz w:val="18"/>
      <w:szCs w:val="18"/>
    </w:rPr>
  </w:style>
  <w:style w:type="paragraph" w:styleId="TOC9">
    <w:name w:val="toc 9"/>
    <w:basedOn w:val="Normal"/>
    <w:next w:val="Normal"/>
    <w:autoRedefine/>
    <w:uiPriority w:val="39"/>
    <w:rsid w:val="00C77A08"/>
    <w:pPr>
      <w:ind w:left="1920"/>
      <w:jc w:val="left"/>
    </w:pPr>
    <w:rPr>
      <w:rFonts w:asciiTheme="minorHAnsi" w:hAnsiTheme="minorHAnsi" w:cstheme="minorHAnsi"/>
      <w:sz w:val="18"/>
      <w:szCs w:val="18"/>
    </w:rPr>
  </w:style>
  <w:style w:type="table" w:styleId="TableGrid">
    <w:name w:val="Table Grid"/>
    <w:basedOn w:val="TableNormal"/>
    <w:uiPriority w:val="59"/>
    <w:rsid w:val="006F5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NotBold">
    <w:name w:val="Style Heading 2 + Not Bold"/>
    <w:basedOn w:val="Heading2"/>
    <w:link w:val="StyleHeading2NotBoldChar"/>
    <w:rsid w:val="00FC2172"/>
    <w:rPr>
      <w:b w:val="0"/>
      <w:bCs w:val="0"/>
      <w:iCs/>
    </w:rPr>
  </w:style>
  <w:style w:type="character" w:customStyle="1" w:styleId="StyleHeading2NotBoldChar">
    <w:name w:val="Style Heading 2 + Not Bold Char"/>
    <w:basedOn w:val="Heading2Char1"/>
    <w:link w:val="StyleHeading2NotBold"/>
    <w:rsid w:val="0008110B"/>
    <w:rPr>
      <w:iCs/>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nhideWhenUsed/>
    <w:rsid w:val="00F303A5"/>
    <w:pPr>
      <w:spacing w:before="100" w:beforeAutospacing="1" w:after="100" w:afterAutospacing="1" w:line="240" w:lineRule="auto"/>
      <w:jc w:val="left"/>
    </w:pPr>
    <w:rPr>
      <w:rFonts w:ascii="Times New Roman" w:hAnsi="Times New Roman"/>
      <w:lang w:val="en-IN" w:eastAsia="en-IN"/>
    </w:rPr>
  </w:style>
  <w:style w:type="table" w:customStyle="1" w:styleId="MediumShading2-Accent12">
    <w:name w:val="Medium Shading 2 - Accent 12"/>
    <w:basedOn w:val="TableNormal"/>
    <w:uiPriority w:val="64"/>
    <w:rsid w:val="00DA70F3"/>
    <w:rPr>
      <w:rFonts w:asciiTheme="minorHAnsi" w:eastAsiaTheme="minorHAnsi"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Index1">
    <w:name w:val="index 1"/>
    <w:basedOn w:val="Normal"/>
    <w:next w:val="Normal"/>
    <w:autoRedefine/>
    <w:rsid w:val="00D37337"/>
    <w:pPr>
      <w:ind w:left="240" w:hanging="240"/>
      <w:jc w:val="left"/>
    </w:pPr>
    <w:rPr>
      <w:rFonts w:asciiTheme="minorHAnsi" w:hAnsiTheme="minorHAnsi" w:cstheme="minorHAnsi"/>
      <w:sz w:val="20"/>
      <w:szCs w:val="20"/>
    </w:rPr>
  </w:style>
  <w:style w:type="paragraph" w:styleId="Index2">
    <w:name w:val="index 2"/>
    <w:basedOn w:val="Normal"/>
    <w:next w:val="Normal"/>
    <w:autoRedefine/>
    <w:rsid w:val="00D37337"/>
    <w:pPr>
      <w:ind w:left="480" w:hanging="240"/>
      <w:jc w:val="left"/>
    </w:pPr>
    <w:rPr>
      <w:rFonts w:asciiTheme="minorHAnsi" w:hAnsiTheme="minorHAnsi" w:cstheme="minorHAnsi"/>
      <w:sz w:val="20"/>
      <w:szCs w:val="20"/>
    </w:rPr>
  </w:style>
  <w:style w:type="paragraph" w:styleId="Index3">
    <w:name w:val="index 3"/>
    <w:basedOn w:val="Normal"/>
    <w:next w:val="Normal"/>
    <w:autoRedefine/>
    <w:rsid w:val="00D37337"/>
    <w:pPr>
      <w:ind w:left="720" w:hanging="240"/>
      <w:jc w:val="left"/>
    </w:pPr>
    <w:rPr>
      <w:rFonts w:asciiTheme="minorHAnsi" w:hAnsiTheme="minorHAnsi" w:cstheme="minorHAnsi"/>
      <w:sz w:val="20"/>
      <w:szCs w:val="20"/>
    </w:rPr>
  </w:style>
  <w:style w:type="paragraph" w:styleId="Index4">
    <w:name w:val="index 4"/>
    <w:basedOn w:val="Normal"/>
    <w:next w:val="Normal"/>
    <w:autoRedefine/>
    <w:rsid w:val="00D37337"/>
    <w:pPr>
      <w:ind w:left="960" w:hanging="240"/>
      <w:jc w:val="left"/>
    </w:pPr>
    <w:rPr>
      <w:rFonts w:asciiTheme="minorHAnsi" w:hAnsiTheme="minorHAnsi" w:cstheme="minorHAnsi"/>
      <w:sz w:val="20"/>
      <w:szCs w:val="20"/>
    </w:rPr>
  </w:style>
  <w:style w:type="paragraph" w:styleId="Index5">
    <w:name w:val="index 5"/>
    <w:basedOn w:val="Normal"/>
    <w:next w:val="Normal"/>
    <w:autoRedefine/>
    <w:rsid w:val="00D37337"/>
    <w:pPr>
      <w:ind w:left="1200" w:hanging="240"/>
      <w:jc w:val="left"/>
    </w:pPr>
    <w:rPr>
      <w:rFonts w:asciiTheme="minorHAnsi" w:hAnsiTheme="minorHAnsi" w:cstheme="minorHAnsi"/>
      <w:sz w:val="20"/>
      <w:szCs w:val="20"/>
    </w:rPr>
  </w:style>
  <w:style w:type="paragraph" w:styleId="Index6">
    <w:name w:val="index 6"/>
    <w:basedOn w:val="Normal"/>
    <w:next w:val="Normal"/>
    <w:autoRedefine/>
    <w:rsid w:val="00D37337"/>
    <w:pPr>
      <w:ind w:left="1440" w:hanging="240"/>
      <w:jc w:val="left"/>
    </w:pPr>
    <w:rPr>
      <w:rFonts w:asciiTheme="minorHAnsi" w:hAnsiTheme="minorHAnsi" w:cstheme="minorHAnsi"/>
      <w:sz w:val="20"/>
      <w:szCs w:val="20"/>
    </w:rPr>
  </w:style>
  <w:style w:type="paragraph" w:styleId="Index7">
    <w:name w:val="index 7"/>
    <w:basedOn w:val="Normal"/>
    <w:next w:val="Normal"/>
    <w:autoRedefine/>
    <w:rsid w:val="00D37337"/>
    <w:pPr>
      <w:ind w:left="1680" w:hanging="240"/>
      <w:jc w:val="left"/>
    </w:pPr>
    <w:rPr>
      <w:rFonts w:asciiTheme="minorHAnsi" w:hAnsiTheme="minorHAnsi" w:cstheme="minorHAnsi"/>
      <w:sz w:val="20"/>
      <w:szCs w:val="20"/>
    </w:rPr>
  </w:style>
  <w:style w:type="paragraph" w:styleId="Index8">
    <w:name w:val="index 8"/>
    <w:basedOn w:val="Normal"/>
    <w:next w:val="Normal"/>
    <w:autoRedefine/>
    <w:rsid w:val="00D37337"/>
    <w:pPr>
      <w:ind w:left="1920" w:hanging="240"/>
      <w:jc w:val="left"/>
    </w:pPr>
    <w:rPr>
      <w:rFonts w:asciiTheme="minorHAnsi" w:hAnsiTheme="minorHAnsi" w:cstheme="minorHAnsi"/>
      <w:sz w:val="20"/>
      <w:szCs w:val="20"/>
    </w:rPr>
  </w:style>
  <w:style w:type="paragraph" w:styleId="Index9">
    <w:name w:val="index 9"/>
    <w:basedOn w:val="Normal"/>
    <w:next w:val="Normal"/>
    <w:autoRedefine/>
    <w:rsid w:val="00D37337"/>
    <w:pPr>
      <w:ind w:left="2160" w:hanging="240"/>
      <w:jc w:val="left"/>
    </w:pPr>
    <w:rPr>
      <w:rFonts w:asciiTheme="minorHAnsi" w:hAnsiTheme="minorHAnsi" w:cstheme="minorHAnsi"/>
      <w:sz w:val="20"/>
      <w:szCs w:val="20"/>
    </w:rPr>
  </w:style>
  <w:style w:type="paragraph" w:styleId="IndexHeading">
    <w:name w:val="index heading"/>
    <w:basedOn w:val="Normal"/>
    <w:next w:val="Index1"/>
    <w:rsid w:val="00D37337"/>
    <w:pPr>
      <w:spacing w:after="120"/>
      <w:jc w:val="left"/>
    </w:pPr>
    <w:rPr>
      <w:rFonts w:asciiTheme="minorHAnsi" w:hAnsiTheme="minorHAnsi" w:cstheme="minorHAnsi"/>
      <w:b/>
      <w:bCs/>
      <w:i/>
      <w:iCs/>
      <w:sz w:val="20"/>
      <w:szCs w:val="20"/>
    </w:rPr>
  </w:style>
  <w:style w:type="paragraph" w:styleId="TOCHeading">
    <w:name w:val="TOC Heading"/>
    <w:basedOn w:val="Heading1"/>
    <w:next w:val="Normal"/>
    <w:uiPriority w:val="39"/>
    <w:unhideWhenUsed/>
    <w:qFormat/>
    <w:rsid w:val="00D37337"/>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character" w:styleId="FollowedHyperlink">
    <w:name w:val="FollowedHyperlink"/>
    <w:basedOn w:val="DefaultParagraphFont"/>
    <w:uiPriority w:val="99"/>
    <w:rsid w:val="009B4F60"/>
    <w:rPr>
      <w:color w:val="800080" w:themeColor="followedHyperlink"/>
      <w:u w:val="single"/>
    </w:rPr>
  </w:style>
  <w:style w:type="paragraph" w:styleId="FootnoteText">
    <w:name w:val="footnote text"/>
    <w:basedOn w:val="Normal"/>
    <w:link w:val="FootnoteTextChar"/>
    <w:unhideWhenUsed/>
    <w:rsid w:val="0024510F"/>
    <w:pPr>
      <w:tabs>
        <w:tab w:val="left" w:pos="720"/>
      </w:tabs>
      <w:spacing w:line="240" w:lineRule="auto"/>
      <w:ind w:left="432"/>
      <w:jc w:val="left"/>
    </w:pPr>
    <w:rPr>
      <w:rFonts w:ascii="Arial" w:hAnsi="Arial" w:cs="Arial"/>
      <w:sz w:val="22"/>
      <w:szCs w:val="22"/>
    </w:rPr>
  </w:style>
  <w:style w:type="character" w:customStyle="1" w:styleId="FootnoteTextChar">
    <w:name w:val="Footnote Text Char"/>
    <w:basedOn w:val="DefaultParagraphFont"/>
    <w:link w:val="FootnoteText"/>
    <w:rsid w:val="0024510F"/>
    <w:rPr>
      <w:rFonts w:ascii="Arial" w:hAnsi="Arial" w:cs="Arial"/>
      <w:sz w:val="22"/>
      <w:szCs w:val="22"/>
      <w:lang w:val="en-GB"/>
    </w:rPr>
  </w:style>
  <w:style w:type="character" w:styleId="FootnoteReference">
    <w:name w:val="footnote reference"/>
    <w:uiPriority w:val="99"/>
    <w:unhideWhenUsed/>
    <w:rsid w:val="0024510F"/>
    <w:rPr>
      <w:rFonts w:ascii="Times New Roman" w:hAnsi="Times New Roman" w:cs="Times New Roman" w:hint="default"/>
      <w:vertAlign w:val="superscript"/>
    </w:rPr>
  </w:style>
  <w:style w:type="paragraph" w:styleId="BodyText">
    <w:name w:val="Body Text"/>
    <w:aliases w:val="Body"/>
    <w:basedOn w:val="Normal"/>
    <w:link w:val="BodyTextChar"/>
    <w:rsid w:val="0008110B"/>
    <w:pPr>
      <w:spacing w:after="120"/>
    </w:pPr>
  </w:style>
  <w:style w:type="character" w:customStyle="1" w:styleId="BodyTextChar">
    <w:name w:val="Body Text Char"/>
    <w:aliases w:val="Body Char"/>
    <w:basedOn w:val="DefaultParagraphFont"/>
    <w:link w:val="BodyText"/>
    <w:rsid w:val="0008110B"/>
    <w:rPr>
      <w:rFonts w:ascii="Calibri" w:hAnsi="Calibri"/>
      <w:sz w:val="24"/>
      <w:szCs w:val="24"/>
      <w:lang w:val="en-GB"/>
    </w:rPr>
  </w:style>
  <w:style w:type="character" w:customStyle="1" w:styleId="Heading2Char">
    <w:name w:val="Heading 2 Char"/>
    <w:uiPriority w:val="9"/>
    <w:rsid w:val="0008110B"/>
    <w:rPr>
      <w:rFonts w:ascii="Book Antiqua" w:hAnsi="Book Antiqua" w:cs="Arial"/>
      <w:b/>
      <w:bCs/>
      <w:iCs/>
      <w:sz w:val="22"/>
      <w:szCs w:val="28"/>
      <w:lang w:val="en-GB" w:eastAsia="en-US" w:bidi="ar-SA"/>
    </w:rPr>
  </w:style>
  <w:style w:type="paragraph" w:styleId="BlockText">
    <w:name w:val="Block Text"/>
    <w:basedOn w:val="Normal"/>
    <w:rsid w:val="0008110B"/>
    <w:pPr>
      <w:spacing w:before="0" w:line="360" w:lineRule="auto"/>
      <w:ind w:left="-720" w:right="29" w:firstLine="720"/>
    </w:pPr>
    <w:rPr>
      <w:rFonts w:ascii="Arial" w:hAnsi="Arial"/>
      <w:szCs w:val="20"/>
      <w:lang w:val="en-US"/>
    </w:rPr>
  </w:style>
  <w:style w:type="paragraph" w:customStyle="1" w:styleId="xl25">
    <w:name w:val="xl25"/>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26">
    <w:name w:val="xl26"/>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7">
    <w:name w:val="xl2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28">
    <w:name w:val="xl28"/>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29">
    <w:name w:val="xl29"/>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0">
    <w:name w:val="xl30"/>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1">
    <w:name w:val="xl31"/>
    <w:basedOn w:val="Normal"/>
    <w:rsid w:val="0008110B"/>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32">
    <w:name w:val="xl32"/>
    <w:basedOn w:val="Normal"/>
    <w:rsid w:val="0008110B"/>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3">
    <w:name w:val="xl33"/>
    <w:basedOn w:val="Normal"/>
    <w:rsid w:val="0008110B"/>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34">
    <w:name w:val="xl34"/>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5">
    <w:name w:val="xl3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6">
    <w:name w:val="xl3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7">
    <w:name w:val="xl37"/>
    <w:basedOn w:val="Normal"/>
    <w:rsid w:val="0008110B"/>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sz w:val="20"/>
      <w:szCs w:val="20"/>
      <w:lang w:val="en-US"/>
    </w:rPr>
  </w:style>
  <w:style w:type="paragraph" w:customStyle="1" w:styleId="xl38">
    <w:name w:val="xl38"/>
    <w:basedOn w:val="Normal"/>
    <w:rsid w:val="0008110B"/>
    <w:pPr>
      <w:pBdr>
        <w:top w:val="single" w:sz="8" w:space="0" w:color="auto"/>
        <w:bottom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39">
    <w:name w:val="xl39"/>
    <w:basedOn w:val="Normal"/>
    <w:rsid w:val="0008110B"/>
    <w:pPr>
      <w:pBdr>
        <w:top w:val="single" w:sz="8" w:space="0" w:color="auto"/>
        <w:bottom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0">
    <w:name w:val="xl40"/>
    <w:basedOn w:val="Normal"/>
    <w:rsid w:val="0008110B"/>
    <w:pPr>
      <w:pBdr>
        <w:top w:val="single" w:sz="8" w:space="0" w:color="auto"/>
        <w:left w:val="single" w:sz="8" w:space="0" w:color="auto"/>
        <w:bottom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1">
    <w:name w:val="xl41"/>
    <w:basedOn w:val="Normal"/>
    <w:rsid w:val="0008110B"/>
    <w:pPr>
      <w:pBdr>
        <w:top w:val="single" w:sz="8" w:space="0" w:color="auto"/>
        <w:lef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2">
    <w:name w:val="xl42"/>
    <w:basedOn w:val="Normal"/>
    <w:rsid w:val="0008110B"/>
    <w:pPr>
      <w:pBdr>
        <w:top w:val="single" w:sz="8"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3">
    <w:name w:val="xl43"/>
    <w:basedOn w:val="Normal"/>
    <w:rsid w:val="0008110B"/>
    <w:pPr>
      <w:pBdr>
        <w:top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4">
    <w:name w:val="xl44"/>
    <w:basedOn w:val="Normal"/>
    <w:rsid w:val="0008110B"/>
    <w:pPr>
      <w:pBdr>
        <w:top w:val="single" w:sz="8" w:space="0" w:color="auto"/>
        <w:right w:val="single" w:sz="8" w:space="0" w:color="auto"/>
      </w:pBdr>
      <w:spacing w:before="100" w:beforeAutospacing="1" w:after="100" w:afterAutospacing="1" w:line="360" w:lineRule="auto"/>
      <w:jc w:val="left"/>
    </w:pPr>
    <w:rPr>
      <w:rFonts w:ascii="Arial Unicode MS" w:eastAsia="Arial Unicode MS" w:hAnsi="Arial Unicode MS" w:cs="Arial Unicode MS"/>
      <w:lang w:val="en-US"/>
    </w:rPr>
  </w:style>
  <w:style w:type="paragraph" w:customStyle="1" w:styleId="xl45">
    <w:name w:val="xl45"/>
    <w:basedOn w:val="Normal"/>
    <w:rsid w:val="0008110B"/>
    <w:pPr>
      <w:pBdr>
        <w:top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b/>
      <w:bCs/>
      <w:lang w:val="en-US"/>
    </w:rPr>
  </w:style>
  <w:style w:type="paragraph" w:customStyle="1" w:styleId="xl46">
    <w:name w:val="xl46"/>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left"/>
    </w:pPr>
    <w:rPr>
      <w:rFonts w:ascii="Arial" w:eastAsia="Arial Unicode MS" w:hAnsi="Arial" w:cs="Arial"/>
      <w:b/>
      <w:bCs/>
      <w:lang w:val="en-US"/>
    </w:rPr>
  </w:style>
  <w:style w:type="paragraph" w:customStyle="1" w:styleId="xl47">
    <w:name w:val="xl47"/>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48">
    <w:name w:val="xl48"/>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sz w:val="20"/>
      <w:szCs w:val="20"/>
      <w:lang w:val="en-US"/>
    </w:rPr>
  </w:style>
  <w:style w:type="paragraph" w:customStyle="1" w:styleId="xl49">
    <w:name w:val="xl49"/>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lang w:val="en-US"/>
    </w:rPr>
  </w:style>
  <w:style w:type="paragraph" w:customStyle="1" w:styleId="xl50">
    <w:name w:val="xl50"/>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1">
    <w:name w:val="xl51"/>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2">
    <w:name w:val="xl52"/>
    <w:basedOn w:val="Normal"/>
    <w:rsid w:val="0008110B"/>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3">
    <w:name w:val="xl53"/>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54">
    <w:name w:val="xl54"/>
    <w:basedOn w:val="Normal"/>
    <w:rsid w:val="0008110B"/>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5">
    <w:name w:val="xl55"/>
    <w:basedOn w:val="Normal"/>
    <w:rsid w:val="0008110B"/>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6">
    <w:name w:val="xl56"/>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7">
    <w:name w:val="xl57"/>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58">
    <w:name w:val="xl58"/>
    <w:basedOn w:val="Normal"/>
    <w:rsid w:val="0008110B"/>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sz w:val="18"/>
      <w:szCs w:val="18"/>
      <w:lang w:val="en-US"/>
    </w:rPr>
  </w:style>
  <w:style w:type="paragraph" w:customStyle="1" w:styleId="xl59">
    <w:name w:val="xl59"/>
    <w:basedOn w:val="Normal"/>
    <w:rsid w:val="0008110B"/>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18"/>
      <w:szCs w:val="18"/>
      <w:lang w:val="en-US"/>
    </w:rPr>
  </w:style>
  <w:style w:type="paragraph" w:customStyle="1" w:styleId="xl60">
    <w:name w:val="xl60"/>
    <w:basedOn w:val="Normal"/>
    <w:rsid w:val="0008110B"/>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61">
    <w:name w:val="xl61"/>
    <w:basedOn w:val="Normal"/>
    <w:rsid w:val="0008110B"/>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left"/>
    </w:pPr>
    <w:rPr>
      <w:rFonts w:ascii="Arial" w:eastAsia="Arial Unicode MS" w:hAnsi="Arial" w:cs="Arial"/>
      <w:b/>
      <w:bCs/>
      <w:sz w:val="18"/>
      <w:szCs w:val="18"/>
      <w:lang w:val="en-US"/>
    </w:rPr>
  </w:style>
  <w:style w:type="paragraph" w:customStyle="1" w:styleId="NormalBold">
    <w:name w:val="Normal + Bold"/>
    <w:basedOn w:val="Normal"/>
    <w:link w:val="NormalBoldChar"/>
    <w:rsid w:val="0008110B"/>
    <w:pPr>
      <w:tabs>
        <w:tab w:val="left" w:pos="720"/>
      </w:tabs>
      <w:spacing w:before="240" w:after="120" w:line="360" w:lineRule="auto"/>
      <w:ind w:right="29"/>
      <w:jc w:val="left"/>
    </w:pPr>
    <w:rPr>
      <w:rFonts w:ascii="Arial" w:hAnsi="Arial"/>
      <w:b/>
      <w:sz w:val="20"/>
      <w:szCs w:val="20"/>
      <w:lang w:val="en-US"/>
    </w:rPr>
  </w:style>
  <w:style w:type="character" w:customStyle="1" w:styleId="NormalBoldChar">
    <w:name w:val="Normal + Bold Char"/>
    <w:link w:val="NormalBold"/>
    <w:rsid w:val="0008110B"/>
    <w:rPr>
      <w:rFonts w:ascii="Arial" w:hAnsi="Arial"/>
      <w:b/>
    </w:rPr>
  </w:style>
  <w:style w:type="paragraph" w:styleId="BodyText2">
    <w:name w:val="Body Text 2"/>
    <w:basedOn w:val="Normal"/>
    <w:link w:val="BodyText2Char"/>
    <w:rsid w:val="0008110B"/>
    <w:pPr>
      <w:spacing w:before="0" w:after="120" w:line="480" w:lineRule="auto"/>
    </w:pPr>
    <w:rPr>
      <w:rFonts w:cs="Mangal"/>
      <w:lang w:bidi="hi-IN"/>
    </w:rPr>
  </w:style>
  <w:style w:type="character" w:customStyle="1" w:styleId="BodyText2Char">
    <w:name w:val="Body Text 2 Char"/>
    <w:basedOn w:val="DefaultParagraphFont"/>
    <w:link w:val="BodyText2"/>
    <w:rsid w:val="0008110B"/>
    <w:rPr>
      <w:rFonts w:ascii="Calibri" w:hAnsi="Calibri" w:cs="Mangal"/>
      <w:sz w:val="24"/>
      <w:szCs w:val="24"/>
      <w:lang w:val="en-GB" w:bidi="hi-IN"/>
    </w:rPr>
  </w:style>
  <w:style w:type="character" w:customStyle="1" w:styleId="CharChar">
    <w:name w:val="Char Char"/>
    <w:rsid w:val="0008110B"/>
    <w:rPr>
      <w:rFonts w:ascii="Book Antiqua" w:hAnsi="Book Antiqua" w:cs="Arial"/>
      <w:b/>
      <w:bCs/>
      <w:iCs/>
      <w:sz w:val="22"/>
      <w:szCs w:val="28"/>
      <w:lang w:val="en-GB" w:eastAsia="en-US" w:bidi="ar-SA"/>
    </w:rPr>
  </w:style>
  <w:style w:type="paragraph" w:styleId="List3">
    <w:name w:val="List 3"/>
    <w:basedOn w:val="Normal"/>
    <w:rsid w:val="0008110B"/>
    <w:pPr>
      <w:spacing w:after="120" w:line="240" w:lineRule="auto"/>
      <w:ind w:left="1080" w:hanging="360"/>
      <w:jc w:val="left"/>
    </w:pPr>
    <w:rPr>
      <w:rFonts w:ascii="Arial" w:hAnsi="Arial"/>
      <w:sz w:val="20"/>
      <w:szCs w:val="20"/>
    </w:rPr>
  </w:style>
  <w:style w:type="table" w:styleId="ColorfulList-Accent4">
    <w:name w:val="Colorful List Accent 4"/>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3">
    <w:name w:val="Colorful List Accent 3"/>
    <w:basedOn w:val="TableNormal"/>
    <w:uiPriority w:val="72"/>
    <w:rsid w:val="0008110B"/>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MediumShading1-Accent11">
    <w:name w:val="Medium Shading 1 - Accent 11"/>
    <w:basedOn w:val="TableNormal"/>
    <w:uiPriority w:val="63"/>
    <w:rsid w:val="0008110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08110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Char1">
    <w:name w:val="Char Char1"/>
    <w:rsid w:val="0008110B"/>
    <w:rPr>
      <w:rFonts w:ascii="Book Antiqua" w:hAnsi="Book Antiqua" w:cs="Arial"/>
      <w:b/>
      <w:bCs/>
      <w:iCs/>
      <w:sz w:val="22"/>
      <w:szCs w:val="28"/>
      <w:lang w:val="en-GB" w:eastAsia="en-US" w:bidi="ar-SA"/>
    </w:rPr>
  </w:style>
  <w:style w:type="paragraph" w:styleId="Title">
    <w:name w:val="Title"/>
    <w:basedOn w:val="Normal"/>
    <w:next w:val="Normal"/>
    <w:link w:val="TitleChar"/>
    <w:qFormat/>
    <w:rsid w:val="0008110B"/>
    <w:pPr>
      <w:spacing w:before="240" w:after="60"/>
      <w:jc w:val="center"/>
      <w:outlineLvl w:val="0"/>
    </w:pPr>
    <w:rPr>
      <w:rFonts w:ascii="Cambria" w:hAnsi="Cambria" w:cs="Mangal"/>
      <w:b/>
      <w:bCs/>
      <w:kern w:val="28"/>
      <w:sz w:val="32"/>
      <w:szCs w:val="32"/>
      <w:lang w:bidi="hi-IN"/>
    </w:rPr>
  </w:style>
  <w:style w:type="character" w:customStyle="1" w:styleId="TitleChar">
    <w:name w:val="Title Char"/>
    <w:basedOn w:val="DefaultParagraphFont"/>
    <w:link w:val="Title"/>
    <w:rsid w:val="0008110B"/>
    <w:rPr>
      <w:rFonts w:ascii="Cambria" w:hAnsi="Cambria" w:cs="Mangal"/>
      <w:b/>
      <w:bCs/>
      <w:kern w:val="28"/>
      <w:sz w:val="32"/>
      <w:szCs w:val="32"/>
      <w:lang w:val="en-GB" w:bidi="hi-IN"/>
    </w:rPr>
  </w:style>
  <w:style w:type="character" w:styleId="Emphasis">
    <w:name w:val="Emphasis"/>
    <w:qFormat/>
    <w:rsid w:val="0008110B"/>
    <w:rPr>
      <w:i/>
      <w:iCs/>
    </w:rPr>
  </w:style>
  <w:style w:type="table" w:styleId="Table3Deffects3">
    <w:name w:val="Table 3D effects 3"/>
    <w:basedOn w:val="TableNormal"/>
    <w:rsid w:val="0008110B"/>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08110B"/>
    <w:rPr>
      <w:rFonts w:ascii="Calibri" w:hAnsi="Calibri"/>
      <w:sz w:val="24"/>
      <w:szCs w:val="24"/>
      <w:lang w:val="en-GB"/>
    </w:rPr>
  </w:style>
  <w:style w:type="table" w:styleId="TableGrid8">
    <w:name w:val="Table Grid 8"/>
    <w:basedOn w:val="TableNormal"/>
    <w:rsid w:val="0008110B"/>
    <w:pPr>
      <w:spacing w:line="276"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3524C8"/>
    <w:rPr>
      <w:rFonts w:ascii="Calibri" w:eastAsia="Calibri" w:hAnsi="Calibri"/>
      <w:sz w:val="22"/>
      <w:szCs w:val="22"/>
    </w:rPr>
  </w:style>
  <w:style w:type="character" w:customStyle="1" w:styleId="Caption1">
    <w:name w:val="Caption1"/>
    <w:aliases w:val="Caption Char1 Char"/>
    <w:qFormat/>
    <w:rsid w:val="0017480F"/>
    <w:rPr>
      <w:rFonts w:ascii="Arial" w:hAnsi="Arial"/>
      <w:b/>
      <w:lang w:val="en-GB" w:eastAsia="en-US" w:bidi="ar-SA"/>
    </w:rPr>
  </w:style>
  <w:style w:type="paragraph" w:styleId="BodyTextIndent2">
    <w:name w:val="Body Text Indent 2"/>
    <w:basedOn w:val="Normal"/>
    <w:link w:val="BodyTextIndent2Char"/>
    <w:uiPriority w:val="99"/>
    <w:unhideWhenUsed/>
    <w:rsid w:val="0017480F"/>
    <w:pPr>
      <w:spacing w:before="0" w:after="120" w:line="480" w:lineRule="auto"/>
      <w:ind w:left="360"/>
    </w:pPr>
  </w:style>
  <w:style w:type="character" w:customStyle="1" w:styleId="BodyTextIndent2Char">
    <w:name w:val="Body Text Indent 2 Char"/>
    <w:basedOn w:val="DefaultParagraphFont"/>
    <w:link w:val="BodyTextIndent2"/>
    <w:uiPriority w:val="99"/>
    <w:rsid w:val="0017480F"/>
    <w:rPr>
      <w:rFonts w:ascii="Calibri" w:hAnsi="Calibri"/>
      <w:sz w:val="24"/>
      <w:szCs w:val="24"/>
      <w:lang w:val="en-GB"/>
    </w:rPr>
  </w:style>
  <w:style w:type="paragraph" w:customStyle="1" w:styleId="TariffScheduleList">
    <w:name w:val="Tariff Schedule List"/>
    <w:basedOn w:val="ListParagraph"/>
    <w:link w:val="TariffScheduleListChar"/>
    <w:qFormat/>
    <w:rsid w:val="00A83AAB"/>
    <w:pPr>
      <w:numPr>
        <w:numId w:val="2"/>
      </w:numPr>
    </w:pPr>
    <w:rPr>
      <w:b/>
    </w:rPr>
  </w:style>
  <w:style w:type="paragraph" w:customStyle="1" w:styleId="TariffRateSchedulelevel2">
    <w:name w:val="Tariff Rate Schedule level 2"/>
    <w:basedOn w:val="ListParagraph"/>
    <w:link w:val="TariffRateSchedulelevel2Char"/>
    <w:qFormat/>
    <w:rsid w:val="004B0DF2"/>
    <w:pPr>
      <w:numPr>
        <w:ilvl w:val="1"/>
        <w:numId w:val="3"/>
      </w:numPr>
    </w:pPr>
  </w:style>
  <w:style w:type="character" w:customStyle="1" w:styleId="ListParagraphChar">
    <w:name w:val="List Paragraph Char"/>
    <w:aliases w:val="section 1 para Char"/>
    <w:basedOn w:val="DefaultParagraphFont"/>
    <w:link w:val="ListParagraph"/>
    <w:uiPriority w:val="34"/>
    <w:rsid w:val="00A83AAB"/>
    <w:rPr>
      <w:rFonts w:ascii="Calibri" w:hAnsi="Calibri"/>
      <w:sz w:val="24"/>
      <w:szCs w:val="24"/>
      <w:lang w:val="en-GB"/>
    </w:rPr>
  </w:style>
  <w:style w:type="character" w:customStyle="1" w:styleId="TariffScheduleListChar">
    <w:name w:val="Tariff Schedule List Char"/>
    <w:basedOn w:val="ListParagraphChar"/>
    <w:link w:val="TariffScheduleList"/>
    <w:rsid w:val="00A83AAB"/>
    <w:rPr>
      <w:b/>
    </w:rPr>
  </w:style>
  <w:style w:type="character" w:customStyle="1" w:styleId="TariffRateSchedulelevel2Char">
    <w:name w:val="Tariff Rate Schedule level 2 Char"/>
    <w:basedOn w:val="ListParagraphChar"/>
    <w:link w:val="TariffRateSchedulelevel2"/>
    <w:rsid w:val="004B0DF2"/>
  </w:style>
  <w:style w:type="paragraph" w:customStyle="1" w:styleId="Heading21">
    <w:name w:val="Heading 21"/>
    <w:basedOn w:val="ListParagraph"/>
    <w:next w:val="Heading2"/>
    <w:qFormat/>
    <w:rsid w:val="00913FFE"/>
    <w:pPr>
      <w:autoSpaceDE w:val="0"/>
      <w:autoSpaceDN w:val="0"/>
      <w:adjustRightInd w:val="0"/>
      <w:spacing w:before="240" w:after="240" w:line="240" w:lineRule="auto"/>
      <w:ind w:left="780" w:hanging="780"/>
      <w:contextualSpacing/>
      <w:outlineLvl w:val="1"/>
    </w:pPr>
    <w:rPr>
      <w:rFonts w:eastAsiaTheme="minorEastAsia" w:cs="Calibri"/>
      <w:b/>
      <w:bCs/>
      <w:color w:val="000000"/>
    </w:rPr>
  </w:style>
  <w:style w:type="numbering" w:customStyle="1" w:styleId="NoList1">
    <w:name w:val="No List1"/>
    <w:next w:val="NoList"/>
    <w:uiPriority w:val="99"/>
    <w:semiHidden/>
    <w:unhideWhenUsed/>
    <w:rsid w:val="003147B8"/>
  </w:style>
  <w:style w:type="numbering" w:customStyle="1" w:styleId="NoList11">
    <w:name w:val="No List11"/>
    <w:next w:val="NoList"/>
    <w:uiPriority w:val="99"/>
    <w:semiHidden/>
    <w:unhideWhenUsed/>
    <w:rsid w:val="003147B8"/>
  </w:style>
  <w:style w:type="paragraph" w:customStyle="1" w:styleId="TableofFigures1">
    <w:name w:val="Table of Figures1"/>
    <w:basedOn w:val="Normal"/>
    <w:next w:val="Normal"/>
    <w:uiPriority w:val="99"/>
    <w:rsid w:val="003147B8"/>
    <w:pPr>
      <w:ind w:left="480" w:hanging="480"/>
      <w:jc w:val="left"/>
    </w:pPr>
    <w:rPr>
      <w:rFonts w:cs="Calibri"/>
      <w:smallCaps/>
      <w:sz w:val="20"/>
      <w:szCs w:val="20"/>
    </w:rPr>
  </w:style>
  <w:style w:type="paragraph" w:customStyle="1" w:styleId="TOC11">
    <w:name w:val="TOC 11"/>
    <w:basedOn w:val="Normal"/>
    <w:next w:val="Normal"/>
    <w:autoRedefine/>
    <w:uiPriority w:val="39"/>
    <w:qFormat/>
    <w:rsid w:val="003147B8"/>
    <w:pPr>
      <w:tabs>
        <w:tab w:val="left" w:pos="480"/>
        <w:tab w:val="right" w:leader="dot" w:pos="8659"/>
      </w:tabs>
      <w:spacing w:after="120"/>
      <w:jc w:val="center"/>
    </w:pPr>
    <w:rPr>
      <w:rFonts w:cs="Calibri"/>
      <w:bCs/>
      <w:caps/>
      <w:sz w:val="20"/>
      <w:szCs w:val="20"/>
    </w:rPr>
  </w:style>
  <w:style w:type="paragraph" w:customStyle="1" w:styleId="TOC21">
    <w:name w:val="TOC 21"/>
    <w:basedOn w:val="Normal"/>
    <w:next w:val="Normal"/>
    <w:autoRedefine/>
    <w:uiPriority w:val="39"/>
    <w:qFormat/>
    <w:rsid w:val="003147B8"/>
    <w:pPr>
      <w:ind w:left="240"/>
      <w:jc w:val="left"/>
    </w:pPr>
    <w:rPr>
      <w:rFonts w:cs="Calibri"/>
      <w:smallCaps/>
      <w:sz w:val="20"/>
      <w:szCs w:val="20"/>
    </w:rPr>
  </w:style>
  <w:style w:type="paragraph" w:customStyle="1" w:styleId="TOC31">
    <w:name w:val="TOC 31"/>
    <w:basedOn w:val="Normal"/>
    <w:next w:val="Normal"/>
    <w:autoRedefine/>
    <w:uiPriority w:val="39"/>
    <w:qFormat/>
    <w:rsid w:val="003147B8"/>
    <w:pPr>
      <w:ind w:left="480"/>
      <w:jc w:val="left"/>
    </w:pPr>
    <w:rPr>
      <w:rFonts w:cs="Calibri"/>
      <w:i/>
      <w:iCs/>
      <w:sz w:val="20"/>
      <w:szCs w:val="20"/>
    </w:rPr>
  </w:style>
  <w:style w:type="paragraph" w:customStyle="1" w:styleId="TOC41">
    <w:name w:val="TOC 41"/>
    <w:basedOn w:val="Normal"/>
    <w:next w:val="Normal"/>
    <w:autoRedefine/>
    <w:uiPriority w:val="39"/>
    <w:rsid w:val="003147B8"/>
    <w:pPr>
      <w:ind w:left="720"/>
      <w:jc w:val="left"/>
    </w:pPr>
    <w:rPr>
      <w:rFonts w:cs="Calibri"/>
      <w:sz w:val="18"/>
      <w:szCs w:val="18"/>
    </w:rPr>
  </w:style>
  <w:style w:type="paragraph" w:customStyle="1" w:styleId="TOC51">
    <w:name w:val="TOC 51"/>
    <w:basedOn w:val="Normal"/>
    <w:next w:val="Normal"/>
    <w:autoRedefine/>
    <w:uiPriority w:val="39"/>
    <w:rsid w:val="003147B8"/>
    <w:pPr>
      <w:ind w:left="960"/>
      <w:jc w:val="left"/>
    </w:pPr>
    <w:rPr>
      <w:rFonts w:cs="Calibri"/>
      <w:sz w:val="18"/>
      <w:szCs w:val="18"/>
    </w:rPr>
  </w:style>
  <w:style w:type="paragraph" w:customStyle="1" w:styleId="TOC61">
    <w:name w:val="TOC 61"/>
    <w:basedOn w:val="Normal"/>
    <w:next w:val="Normal"/>
    <w:autoRedefine/>
    <w:uiPriority w:val="39"/>
    <w:rsid w:val="003147B8"/>
    <w:pPr>
      <w:ind w:left="1200"/>
      <w:jc w:val="left"/>
    </w:pPr>
    <w:rPr>
      <w:rFonts w:cs="Calibri"/>
      <w:sz w:val="18"/>
      <w:szCs w:val="18"/>
    </w:rPr>
  </w:style>
  <w:style w:type="paragraph" w:customStyle="1" w:styleId="TOC71">
    <w:name w:val="TOC 71"/>
    <w:basedOn w:val="Normal"/>
    <w:next w:val="Normal"/>
    <w:autoRedefine/>
    <w:uiPriority w:val="39"/>
    <w:rsid w:val="003147B8"/>
    <w:pPr>
      <w:ind w:left="1440"/>
      <w:jc w:val="left"/>
    </w:pPr>
    <w:rPr>
      <w:rFonts w:cs="Calibri"/>
      <w:sz w:val="18"/>
      <w:szCs w:val="18"/>
    </w:rPr>
  </w:style>
  <w:style w:type="paragraph" w:customStyle="1" w:styleId="TOC81">
    <w:name w:val="TOC 81"/>
    <w:basedOn w:val="Normal"/>
    <w:next w:val="Normal"/>
    <w:autoRedefine/>
    <w:uiPriority w:val="39"/>
    <w:rsid w:val="003147B8"/>
    <w:pPr>
      <w:ind w:left="1680"/>
      <w:jc w:val="left"/>
    </w:pPr>
    <w:rPr>
      <w:rFonts w:cs="Calibri"/>
      <w:sz w:val="18"/>
      <w:szCs w:val="18"/>
    </w:rPr>
  </w:style>
  <w:style w:type="paragraph" w:customStyle="1" w:styleId="TOC91">
    <w:name w:val="TOC 91"/>
    <w:basedOn w:val="Normal"/>
    <w:next w:val="Normal"/>
    <w:autoRedefine/>
    <w:uiPriority w:val="39"/>
    <w:rsid w:val="003147B8"/>
    <w:pPr>
      <w:ind w:left="1920"/>
      <w:jc w:val="left"/>
    </w:pPr>
    <w:rPr>
      <w:rFonts w:cs="Calibri"/>
      <w:sz w:val="18"/>
      <w:szCs w:val="18"/>
    </w:rPr>
  </w:style>
  <w:style w:type="table" w:customStyle="1" w:styleId="MediumShading2-Accent121">
    <w:name w:val="Medium Shading 2 - Accent 121"/>
    <w:basedOn w:val="TableNormal"/>
    <w:uiPriority w:val="64"/>
    <w:rsid w:val="003147B8"/>
    <w:rPr>
      <w:rFonts w:ascii="Calibri" w:eastAsia="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Index11">
    <w:name w:val="Index 11"/>
    <w:basedOn w:val="Normal"/>
    <w:next w:val="Normal"/>
    <w:autoRedefine/>
    <w:rsid w:val="003147B8"/>
    <w:pPr>
      <w:ind w:left="240" w:hanging="240"/>
      <w:jc w:val="left"/>
    </w:pPr>
    <w:rPr>
      <w:rFonts w:cs="Calibri"/>
      <w:sz w:val="20"/>
      <w:szCs w:val="20"/>
    </w:rPr>
  </w:style>
  <w:style w:type="paragraph" w:customStyle="1" w:styleId="Index21">
    <w:name w:val="Index 21"/>
    <w:basedOn w:val="Normal"/>
    <w:next w:val="Normal"/>
    <w:autoRedefine/>
    <w:rsid w:val="003147B8"/>
    <w:pPr>
      <w:ind w:left="480" w:hanging="240"/>
      <w:jc w:val="left"/>
    </w:pPr>
    <w:rPr>
      <w:rFonts w:cs="Calibri"/>
      <w:sz w:val="20"/>
      <w:szCs w:val="20"/>
    </w:rPr>
  </w:style>
  <w:style w:type="paragraph" w:customStyle="1" w:styleId="Index31">
    <w:name w:val="Index 31"/>
    <w:basedOn w:val="Normal"/>
    <w:next w:val="Normal"/>
    <w:autoRedefine/>
    <w:rsid w:val="003147B8"/>
    <w:pPr>
      <w:ind w:left="720" w:hanging="240"/>
      <w:jc w:val="left"/>
    </w:pPr>
    <w:rPr>
      <w:rFonts w:cs="Calibri"/>
      <w:sz w:val="20"/>
      <w:szCs w:val="20"/>
    </w:rPr>
  </w:style>
  <w:style w:type="paragraph" w:customStyle="1" w:styleId="Index41">
    <w:name w:val="Index 41"/>
    <w:basedOn w:val="Normal"/>
    <w:next w:val="Normal"/>
    <w:autoRedefine/>
    <w:rsid w:val="003147B8"/>
    <w:pPr>
      <w:ind w:left="960" w:hanging="240"/>
      <w:jc w:val="left"/>
    </w:pPr>
    <w:rPr>
      <w:rFonts w:cs="Calibri"/>
      <w:sz w:val="20"/>
      <w:szCs w:val="20"/>
    </w:rPr>
  </w:style>
  <w:style w:type="paragraph" w:customStyle="1" w:styleId="Index51">
    <w:name w:val="Index 51"/>
    <w:basedOn w:val="Normal"/>
    <w:next w:val="Normal"/>
    <w:autoRedefine/>
    <w:rsid w:val="003147B8"/>
    <w:pPr>
      <w:ind w:left="1200" w:hanging="240"/>
      <w:jc w:val="left"/>
    </w:pPr>
    <w:rPr>
      <w:rFonts w:cs="Calibri"/>
      <w:sz w:val="20"/>
      <w:szCs w:val="20"/>
    </w:rPr>
  </w:style>
  <w:style w:type="paragraph" w:customStyle="1" w:styleId="Index61">
    <w:name w:val="Index 61"/>
    <w:basedOn w:val="Normal"/>
    <w:next w:val="Normal"/>
    <w:autoRedefine/>
    <w:rsid w:val="003147B8"/>
    <w:pPr>
      <w:ind w:left="1440" w:hanging="240"/>
      <w:jc w:val="left"/>
    </w:pPr>
    <w:rPr>
      <w:rFonts w:cs="Calibri"/>
      <w:sz w:val="20"/>
      <w:szCs w:val="20"/>
    </w:rPr>
  </w:style>
  <w:style w:type="paragraph" w:customStyle="1" w:styleId="Index71">
    <w:name w:val="Index 71"/>
    <w:basedOn w:val="Normal"/>
    <w:next w:val="Normal"/>
    <w:autoRedefine/>
    <w:rsid w:val="003147B8"/>
    <w:pPr>
      <w:ind w:left="1680" w:hanging="240"/>
      <w:jc w:val="left"/>
    </w:pPr>
    <w:rPr>
      <w:rFonts w:cs="Calibri"/>
      <w:sz w:val="20"/>
      <w:szCs w:val="20"/>
    </w:rPr>
  </w:style>
  <w:style w:type="paragraph" w:customStyle="1" w:styleId="Index81">
    <w:name w:val="Index 81"/>
    <w:basedOn w:val="Normal"/>
    <w:next w:val="Normal"/>
    <w:autoRedefine/>
    <w:rsid w:val="003147B8"/>
    <w:pPr>
      <w:ind w:left="1920" w:hanging="240"/>
      <w:jc w:val="left"/>
    </w:pPr>
    <w:rPr>
      <w:rFonts w:cs="Calibri"/>
      <w:sz w:val="20"/>
      <w:szCs w:val="20"/>
    </w:rPr>
  </w:style>
  <w:style w:type="paragraph" w:customStyle="1" w:styleId="Index91">
    <w:name w:val="Index 91"/>
    <w:basedOn w:val="Normal"/>
    <w:next w:val="Normal"/>
    <w:autoRedefine/>
    <w:rsid w:val="003147B8"/>
    <w:pPr>
      <w:ind w:left="2160" w:hanging="240"/>
      <w:jc w:val="left"/>
    </w:pPr>
    <w:rPr>
      <w:rFonts w:cs="Calibri"/>
      <w:sz w:val="20"/>
      <w:szCs w:val="20"/>
    </w:rPr>
  </w:style>
  <w:style w:type="paragraph" w:customStyle="1" w:styleId="IndexHeading1">
    <w:name w:val="Index Heading1"/>
    <w:basedOn w:val="Normal"/>
    <w:next w:val="Index1"/>
    <w:rsid w:val="003147B8"/>
    <w:pPr>
      <w:spacing w:after="120"/>
      <w:jc w:val="left"/>
    </w:pPr>
    <w:rPr>
      <w:rFonts w:cs="Calibri"/>
      <w:b/>
      <w:bCs/>
      <w:i/>
      <w:iCs/>
      <w:sz w:val="20"/>
      <w:szCs w:val="20"/>
    </w:rPr>
  </w:style>
  <w:style w:type="paragraph" w:customStyle="1" w:styleId="TOCHeading1">
    <w:name w:val="TOC Heading1"/>
    <w:basedOn w:val="Heading1"/>
    <w:next w:val="Normal"/>
    <w:uiPriority w:val="39"/>
    <w:semiHidden/>
    <w:unhideWhenUsed/>
    <w:qFormat/>
    <w:rsid w:val="003147B8"/>
    <w:pPr>
      <w:keepLines/>
      <w:spacing w:before="480" w:after="0" w:line="276" w:lineRule="auto"/>
      <w:ind w:left="-360" w:firstLine="360"/>
      <w:jc w:val="left"/>
      <w:outlineLvl w:val="9"/>
    </w:pPr>
    <w:rPr>
      <w:rFonts w:ascii="Cambria" w:hAnsi="Cambria" w:cs="Times New Roman"/>
      <w:caps w:val="0"/>
      <w:color w:val="365F91"/>
      <w:kern w:val="0"/>
      <w:szCs w:val="28"/>
      <w:lang w:val="en-US" w:eastAsia="ja-JP"/>
    </w:rPr>
  </w:style>
  <w:style w:type="character" w:customStyle="1" w:styleId="FollowedHyperlink1">
    <w:name w:val="FollowedHyperlink1"/>
    <w:basedOn w:val="DefaultParagraphFont"/>
    <w:uiPriority w:val="99"/>
    <w:rsid w:val="003147B8"/>
    <w:rPr>
      <w:color w:val="800080"/>
      <w:u w:val="single"/>
    </w:rPr>
  </w:style>
  <w:style w:type="table" w:customStyle="1" w:styleId="MediumShading1-Accent111">
    <w:name w:val="Medium Shading 1 - Accent 111"/>
    <w:basedOn w:val="TableNormal"/>
    <w:uiPriority w:val="63"/>
    <w:rsid w:val="003147B8"/>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1">
    <w:name w:val="Light List - Accent 111"/>
    <w:basedOn w:val="TableNormal"/>
    <w:uiPriority w:val="61"/>
    <w:rsid w:val="003147B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Heading1Char1">
    <w:name w:val="Heading 1 Char1"/>
    <w:aliases w:val="Section Char1,HEADING 1 Char1,Section Heading Char1,MainHeader Char1,1 ghost Char1,g Char1,Main heading Char1,App1 Char1,1 Char1,h1 Char1,L1 Char1,Outline1 Char1,Chapter Heading Char1,Text Heading 18pt Char1,Full Page Heading 1 Char1"/>
    <w:basedOn w:val="DefaultParagraphFont"/>
    <w:rsid w:val="003147B8"/>
    <w:rPr>
      <w:rFonts w:ascii="Cambria" w:eastAsia="Times New Roman" w:hAnsi="Cambria" w:cs="Times New Roman"/>
      <w:b/>
      <w:bCs/>
      <w:color w:val="365F91"/>
      <w:sz w:val="28"/>
      <w:szCs w:val="28"/>
      <w:lang w:val="en-GB"/>
    </w:rPr>
  </w:style>
  <w:style w:type="character" w:customStyle="1" w:styleId="Heading4Char1">
    <w:name w:val="Heading 4 Char1"/>
    <w:aliases w:val="( i ) Char1,o Char1"/>
    <w:basedOn w:val="DefaultParagraphFont"/>
    <w:semiHidden/>
    <w:rsid w:val="003147B8"/>
    <w:rPr>
      <w:rFonts w:ascii="Cambria" w:eastAsia="Times New Roman" w:hAnsi="Cambria" w:cs="Times New Roman"/>
      <w:b/>
      <w:bCs/>
      <w:i/>
      <w:iCs/>
      <w:color w:val="4F81BD"/>
      <w:sz w:val="24"/>
      <w:szCs w:val="24"/>
      <w:lang w:val="en-GB"/>
    </w:rPr>
  </w:style>
  <w:style w:type="character" w:customStyle="1" w:styleId="BodyTextChar1">
    <w:name w:val="Body Text Char1"/>
    <w:aliases w:val="Body Char1"/>
    <w:basedOn w:val="DefaultParagraphFont"/>
    <w:rsid w:val="003147B8"/>
    <w:rPr>
      <w:rFonts w:ascii="Calibri" w:hAnsi="Calibri"/>
      <w:sz w:val="24"/>
      <w:szCs w:val="24"/>
      <w:lang w:val="en-GB"/>
    </w:rPr>
  </w:style>
  <w:style w:type="paragraph" w:customStyle="1" w:styleId="xl89">
    <w:name w:val="xl8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IN" w:eastAsia="en-IN"/>
    </w:rPr>
  </w:style>
  <w:style w:type="paragraph" w:customStyle="1" w:styleId="xl90">
    <w:name w:val="xl9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paragraph" w:customStyle="1" w:styleId="xl91">
    <w:name w:val="xl91"/>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lang w:val="en-IN" w:eastAsia="en-IN"/>
    </w:rPr>
  </w:style>
  <w:style w:type="paragraph" w:customStyle="1" w:styleId="xl92">
    <w:name w:val="xl92"/>
    <w:basedOn w:val="Normal"/>
    <w:rsid w:val="003147B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lang w:val="en-IN" w:eastAsia="en-IN"/>
    </w:rPr>
  </w:style>
  <w:style w:type="paragraph" w:customStyle="1" w:styleId="xl93">
    <w:name w:val="xl9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4">
    <w:name w:val="xl9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95">
    <w:name w:val="xl95"/>
    <w:basedOn w:val="Normal"/>
    <w:rsid w:val="003147B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imes New Roman" w:hAnsi="Times New Roman"/>
      <w:i/>
      <w:iCs/>
      <w:lang w:val="en-IN" w:eastAsia="en-IN"/>
    </w:rPr>
  </w:style>
  <w:style w:type="paragraph" w:customStyle="1" w:styleId="xl96">
    <w:name w:val="xl9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lang w:val="en-IN" w:eastAsia="en-IN"/>
    </w:rPr>
  </w:style>
  <w:style w:type="paragraph" w:customStyle="1" w:styleId="xl97">
    <w:name w:val="xl9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lang w:val="en-IN" w:eastAsia="en-IN"/>
    </w:rPr>
  </w:style>
  <w:style w:type="character" w:customStyle="1" w:styleId="Heading2Char2">
    <w:name w:val="Heading 2 Char2"/>
    <w:aliases w:val="Major Char,h2 Char,2 Char,Titre 2 Char,l2 Char,list + change bar Char,??? Char,h21 Char,heading 2 Char,LetHead2 Char,MisHead2 Char,Normalhead2 Char,Normal Heading 2 Char,1.1 HEADING 2 Char,Z_hanging_2 Char,Subchapter 1.1 Char,2/1 Char"/>
    <w:basedOn w:val="DefaultParagraphFont"/>
    <w:rsid w:val="003147B8"/>
    <w:rPr>
      <w:rFonts w:eastAsia="Times New Roman" w:cs="Calibri"/>
      <w:b/>
      <w:bCs/>
      <w:sz w:val="24"/>
      <w:szCs w:val="26"/>
    </w:rPr>
  </w:style>
  <w:style w:type="paragraph" w:customStyle="1" w:styleId="xl128">
    <w:name w:val="xl128"/>
    <w:basedOn w:val="Normal"/>
    <w:rsid w:val="003147B8"/>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29">
    <w:name w:val="xl12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0">
    <w:name w:val="xl13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1">
    <w:name w:val="xl13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2">
    <w:name w:val="xl132"/>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33">
    <w:name w:val="xl133"/>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34">
    <w:name w:val="xl13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35">
    <w:name w:val="xl135"/>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136">
    <w:name w:val="xl13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37">
    <w:name w:val="xl137"/>
    <w:basedOn w:val="Normal"/>
    <w:rsid w:val="003147B8"/>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8">
    <w:name w:val="xl138"/>
    <w:basedOn w:val="Normal"/>
    <w:rsid w:val="003147B8"/>
    <w:pPr>
      <w:pBdr>
        <w:top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39">
    <w:name w:val="xl139"/>
    <w:basedOn w:val="Normal"/>
    <w:rsid w:val="003147B8"/>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140">
    <w:name w:val="xl140"/>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1">
    <w:name w:val="xl141"/>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2">
    <w:name w:val="xl14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lang w:val="en-US"/>
    </w:rPr>
  </w:style>
  <w:style w:type="paragraph" w:customStyle="1" w:styleId="xl143">
    <w:name w:val="xl14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4">
    <w:name w:val="xl144"/>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5">
    <w:name w:val="xl145"/>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146">
    <w:name w:val="xl14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147">
    <w:name w:val="xl147"/>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148">
    <w:name w:val="xl148"/>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49">
    <w:name w:val="xl14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lang w:val="en-US"/>
    </w:rPr>
  </w:style>
  <w:style w:type="paragraph" w:customStyle="1" w:styleId="xl150">
    <w:name w:val="xl150"/>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rPr>
  </w:style>
  <w:style w:type="paragraph" w:customStyle="1" w:styleId="xl151">
    <w:name w:val="xl15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lang w:val="en-US"/>
    </w:rPr>
  </w:style>
  <w:style w:type="character" w:customStyle="1" w:styleId="NoSpacingChar">
    <w:name w:val="No Spacing Char"/>
    <w:basedOn w:val="DefaultParagraphFont"/>
    <w:link w:val="NoSpacing"/>
    <w:uiPriority w:val="1"/>
    <w:rsid w:val="003147B8"/>
    <w:rPr>
      <w:rFonts w:ascii="Calibri" w:eastAsia="Calibri" w:hAnsi="Calibri"/>
      <w:sz w:val="22"/>
      <w:szCs w:val="22"/>
    </w:rPr>
  </w:style>
  <w:style w:type="table" w:styleId="LightShading-Accent6">
    <w:name w:val="Light Shading Accent 6"/>
    <w:basedOn w:val="TableNormal"/>
    <w:uiPriority w:val="60"/>
    <w:rsid w:val="003147B8"/>
    <w:rPr>
      <w:rFonts w:ascii="Calibri" w:eastAsia="Calibri" w:hAnsi="Calibri"/>
      <w:color w:val="E36C0A"/>
      <w:sz w:val="22"/>
      <w:szCs w:val="22"/>
      <w:lang w:val="en-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DocumentMap">
    <w:name w:val="Document Map"/>
    <w:basedOn w:val="Normal"/>
    <w:link w:val="DocumentMapChar"/>
    <w:unhideWhenUsed/>
    <w:rsid w:val="003147B8"/>
    <w:pPr>
      <w:spacing w:before="0" w:line="240" w:lineRule="auto"/>
      <w:jc w:val="right"/>
    </w:pPr>
    <w:rPr>
      <w:rFonts w:ascii="Tahoma" w:eastAsia="Calibri" w:hAnsi="Tahoma" w:cs="Tahoma"/>
      <w:sz w:val="16"/>
      <w:szCs w:val="16"/>
      <w:lang w:val="en-US"/>
    </w:rPr>
  </w:style>
  <w:style w:type="character" w:customStyle="1" w:styleId="DocumentMapChar">
    <w:name w:val="Document Map Char"/>
    <w:basedOn w:val="DefaultParagraphFont"/>
    <w:link w:val="DocumentMap"/>
    <w:rsid w:val="003147B8"/>
    <w:rPr>
      <w:rFonts w:ascii="Tahoma" w:eastAsia="Calibri" w:hAnsi="Tahoma" w:cs="Tahoma"/>
      <w:sz w:val="16"/>
      <w:szCs w:val="16"/>
    </w:rPr>
  </w:style>
  <w:style w:type="paragraph" w:customStyle="1" w:styleId="xl83">
    <w:name w:val="xl83"/>
    <w:basedOn w:val="Normal"/>
    <w:rsid w:val="003147B8"/>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lang w:val="en-US"/>
    </w:rPr>
  </w:style>
  <w:style w:type="paragraph" w:customStyle="1" w:styleId="xl84">
    <w:name w:val="xl84"/>
    <w:basedOn w:val="Normal"/>
    <w:rsid w:val="003147B8"/>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85">
    <w:name w:val="xl85"/>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hAnsi="Times New Roman"/>
      <w:b/>
      <w:bCs/>
      <w:lang w:val="en-US"/>
    </w:rPr>
  </w:style>
  <w:style w:type="paragraph" w:customStyle="1" w:styleId="xl86">
    <w:name w:val="xl86"/>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right"/>
      <w:textAlignment w:val="center"/>
    </w:pPr>
    <w:rPr>
      <w:rFonts w:ascii="Times New Roman" w:hAnsi="Times New Roman"/>
      <w:b/>
      <w:bCs/>
      <w:lang w:val="en-US"/>
    </w:rPr>
  </w:style>
  <w:style w:type="paragraph" w:customStyle="1" w:styleId="xl87">
    <w:name w:val="xl87"/>
    <w:basedOn w:val="Normal"/>
    <w:rsid w:val="003147B8"/>
    <w:pPr>
      <w:pBdr>
        <w:top w:val="single" w:sz="4" w:space="0" w:color="auto"/>
        <w:bottom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88">
    <w:name w:val="xl88"/>
    <w:basedOn w:val="Normal"/>
    <w:rsid w:val="003147B8"/>
    <w:pPr>
      <w:pBdr>
        <w:top w:val="single" w:sz="12" w:space="0" w:color="auto"/>
      </w:pBdr>
      <w:shd w:val="clear" w:color="000000" w:fill="FCD5B4"/>
      <w:spacing w:before="100" w:beforeAutospacing="1" w:after="100" w:afterAutospacing="1" w:line="240" w:lineRule="auto"/>
      <w:jc w:val="center"/>
      <w:textAlignment w:val="top"/>
    </w:pPr>
    <w:rPr>
      <w:rFonts w:ascii="Times New Roman" w:hAnsi="Times New Roman"/>
      <w:b/>
      <w:bCs/>
      <w:lang w:val="en-US"/>
    </w:rPr>
  </w:style>
  <w:style w:type="paragraph" w:customStyle="1" w:styleId="xl98">
    <w:name w:val="xl98"/>
    <w:basedOn w:val="Normal"/>
    <w:rsid w:val="003147B8"/>
    <w:pPr>
      <w:pBdr>
        <w:top w:val="single" w:sz="4" w:space="0" w:color="auto"/>
        <w:bottom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99">
    <w:name w:val="xl99"/>
    <w:basedOn w:val="Normal"/>
    <w:rsid w:val="003147B8"/>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hAnsi="Times New Roman"/>
      <w:b/>
      <w:bCs/>
      <w:lang w:val="en-US"/>
    </w:rPr>
  </w:style>
  <w:style w:type="paragraph" w:styleId="EndnoteText">
    <w:name w:val="endnote text"/>
    <w:basedOn w:val="Normal"/>
    <w:link w:val="EndnoteTextChar"/>
    <w:unhideWhenUsed/>
    <w:rsid w:val="003147B8"/>
    <w:pPr>
      <w:spacing w:before="0" w:line="240" w:lineRule="auto"/>
      <w:jc w:val="right"/>
    </w:pPr>
    <w:rPr>
      <w:rFonts w:eastAsia="Calibri"/>
      <w:sz w:val="20"/>
      <w:szCs w:val="20"/>
      <w:lang w:val="en-US"/>
    </w:rPr>
  </w:style>
  <w:style w:type="character" w:customStyle="1" w:styleId="EndnoteTextChar">
    <w:name w:val="Endnote Text Char"/>
    <w:basedOn w:val="DefaultParagraphFont"/>
    <w:link w:val="EndnoteText"/>
    <w:rsid w:val="003147B8"/>
    <w:rPr>
      <w:rFonts w:ascii="Calibri" w:eastAsia="Calibri" w:hAnsi="Calibri"/>
    </w:rPr>
  </w:style>
  <w:style w:type="character" w:styleId="EndnoteReference">
    <w:name w:val="endnote reference"/>
    <w:basedOn w:val="DefaultParagraphFont"/>
    <w:unhideWhenUsed/>
    <w:rsid w:val="003147B8"/>
    <w:rPr>
      <w:vertAlign w:val="superscript"/>
    </w:rPr>
  </w:style>
  <w:style w:type="table" w:customStyle="1" w:styleId="MediumShading2-Accent11">
    <w:name w:val="Medium Shading 2 - Accent 11"/>
    <w:basedOn w:val="TableNormal"/>
    <w:uiPriority w:val="64"/>
    <w:rsid w:val="003147B8"/>
    <w:rPr>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ont5">
    <w:name w:val="font5"/>
    <w:basedOn w:val="Normal"/>
    <w:rsid w:val="003147B8"/>
    <w:pPr>
      <w:spacing w:before="100" w:beforeAutospacing="1" w:after="100" w:afterAutospacing="1" w:line="240" w:lineRule="auto"/>
      <w:jc w:val="left"/>
    </w:pPr>
    <w:rPr>
      <w:rFonts w:ascii="Tahoma" w:hAnsi="Tahoma" w:cs="Tahoma"/>
      <w:color w:val="000000"/>
      <w:sz w:val="20"/>
      <w:szCs w:val="20"/>
      <w:lang w:val="en-US"/>
    </w:rPr>
  </w:style>
  <w:style w:type="paragraph" w:customStyle="1" w:styleId="font6">
    <w:name w:val="font6"/>
    <w:basedOn w:val="Normal"/>
    <w:rsid w:val="003147B8"/>
    <w:pPr>
      <w:spacing w:before="100" w:beforeAutospacing="1" w:after="100" w:afterAutospacing="1" w:line="240" w:lineRule="auto"/>
      <w:jc w:val="left"/>
    </w:pPr>
    <w:rPr>
      <w:rFonts w:ascii="Tahoma" w:hAnsi="Tahoma" w:cs="Tahoma"/>
      <w:b/>
      <w:bCs/>
      <w:color w:val="000000"/>
      <w:sz w:val="20"/>
      <w:szCs w:val="20"/>
      <w:lang w:val="en-US"/>
    </w:rPr>
  </w:style>
  <w:style w:type="paragraph" w:customStyle="1" w:styleId="xl64">
    <w:name w:val="xl64"/>
    <w:basedOn w:val="Normal"/>
    <w:rsid w:val="003147B8"/>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b/>
      <w:bCs/>
      <w:sz w:val="18"/>
      <w:szCs w:val="18"/>
      <w:lang w:val="en-US"/>
    </w:rPr>
  </w:style>
  <w:style w:type="paragraph" w:customStyle="1" w:styleId="xl65">
    <w:name w:val="xl65"/>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6">
    <w:name w:val="xl66"/>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67">
    <w:name w:val="xl67"/>
    <w:basedOn w:val="Normal"/>
    <w:rsid w:val="003147B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68">
    <w:name w:val="xl68"/>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69">
    <w:name w:val="xl69"/>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0">
    <w:name w:val="xl70"/>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71">
    <w:name w:val="xl71"/>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2">
    <w:name w:val="xl72"/>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73">
    <w:name w:val="xl73"/>
    <w:basedOn w:val="Normal"/>
    <w:rsid w:val="003147B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b/>
      <w:bCs/>
      <w:sz w:val="18"/>
      <w:szCs w:val="18"/>
      <w:lang w:val="en-US"/>
    </w:rPr>
  </w:style>
  <w:style w:type="paragraph" w:customStyle="1" w:styleId="xl74">
    <w:name w:val="xl74"/>
    <w:basedOn w:val="Normal"/>
    <w:rsid w:val="003147B8"/>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b/>
      <w:bCs/>
      <w:sz w:val="18"/>
      <w:szCs w:val="18"/>
      <w:lang w:val="en-US"/>
    </w:rPr>
  </w:style>
  <w:style w:type="paragraph" w:customStyle="1" w:styleId="xl75">
    <w:name w:val="xl75"/>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6">
    <w:name w:val="xl7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7">
    <w:name w:val="xl77"/>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78">
    <w:name w:val="xl78"/>
    <w:basedOn w:val="Normal"/>
    <w:rsid w:val="003147B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79">
    <w:name w:val="xl79"/>
    <w:basedOn w:val="Normal"/>
    <w:rsid w:val="003147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0">
    <w:name w:val="xl80"/>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81">
    <w:name w:val="xl81"/>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82">
    <w:name w:val="xl8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0">
    <w:name w:val="xl100"/>
    <w:basedOn w:val="Normal"/>
    <w:rsid w:val="003147B8"/>
    <w:pPr>
      <w:spacing w:before="100" w:beforeAutospacing="1" w:after="100" w:afterAutospacing="1" w:line="240" w:lineRule="auto"/>
      <w:jc w:val="left"/>
    </w:pPr>
    <w:rPr>
      <w:sz w:val="18"/>
      <w:szCs w:val="18"/>
      <w:lang w:val="en-US"/>
    </w:rPr>
  </w:style>
  <w:style w:type="paragraph" w:customStyle="1" w:styleId="xl101">
    <w:name w:val="xl101"/>
    <w:basedOn w:val="Normal"/>
    <w:rsid w:val="003147B8"/>
    <w:pPr>
      <w:pBdr>
        <w:top w:val="single" w:sz="8" w:space="0" w:color="auto"/>
        <w:left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2">
    <w:name w:val="xl102"/>
    <w:basedOn w:val="Normal"/>
    <w:rsid w:val="003147B8"/>
    <w:pPr>
      <w:pBdr>
        <w:top w:val="single" w:sz="8" w:space="0" w:color="auto"/>
        <w:left w:val="single" w:sz="4"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3">
    <w:name w:val="xl103"/>
    <w:basedOn w:val="Normal"/>
    <w:rsid w:val="003147B8"/>
    <w:pP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04">
    <w:name w:val="xl10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5">
    <w:name w:val="xl105"/>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6">
    <w:name w:val="xl106"/>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07">
    <w:name w:val="xl107"/>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08">
    <w:name w:val="xl108"/>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09">
    <w:name w:val="xl109"/>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003366"/>
      <w:sz w:val="18"/>
      <w:szCs w:val="18"/>
      <w:lang w:val="en-US"/>
    </w:rPr>
  </w:style>
  <w:style w:type="paragraph" w:customStyle="1" w:styleId="xl110">
    <w:name w:val="xl110"/>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11">
    <w:name w:val="xl111"/>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12">
    <w:name w:val="xl11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3">
    <w:name w:val="xl113"/>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sz w:val="18"/>
      <w:szCs w:val="18"/>
      <w:lang w:val="en-US"/>
    </w:rPr>
  </w:style>
  <w:style w:type="paragraph" w:customStyle="1" w:styleId="xl114">
    <w:name w:val="xl114"/>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15">
    <w:name w:val="xl115"/>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16">
    <w:name w:val="xl11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17">
    <w:name w:val="xl11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pPr>
    <w:rPr>
      <w:sz w:val="18"/>
      <w:szCs w:val="18"/>
      <w:lang w:val="en-US"/>
    </w:rPr>
  </w:style>
  <w:style w:type="paragraph" w:customStyle="1" w:styleId="xl118">
    <w:name w:val="xl118"/>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19">
    <w:name w:val="xl119"/>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20">
    <w:name w:val="xl12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1">
    <w:name w:val="xl121"/>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22">
    <w:name w:val="xl122"/>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123">
    <w:name w:val="xl123"/>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24">
    <w:name w:val="xl124"/>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25">
    <w:name w:val="xl125"/>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126">
    <w:name w:val="xl126"/>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27">
    <w:name w:val="xl127"/>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52">
    <w:name w:val="xl152"/>
    <w:basedOn w:val="Normal"/>
    <w:rsid w:val="003147B8"/>
    <w:pPr>
      <w:pBdr>
        <w:top w:val="single" w:sz="4" w:space="0" w:color="auto"/>
        <w:bottom w:val="single" w:sz="4" w:space="0" w:color="auto"/>
        <w:right w:val="single" w:sz="4"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53">
    <w:name w:val="xl153"/>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4">
    <w:name w:val="xl154"/>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5">
    <w:name w:val="xl155"/>
    <w:basedOn w:val="Normal"/>
    <w:rsid w:val="003147B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56">
    <w:name w:val="xl156"/>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7">
    <w:name w:val="xl15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58">
    <w:name w:val="xl158"/>
    <w:basedOn w:val="Normal"/>
    <w:rsid w:val="003147B8"/>
    <w:pPr>
      <w:pBdr>
        <w:top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sz w:val="18"/>
      <w:szCs w:val="18"/>
      <w:lang w:val="en-US"/>
    </w:rPr>
  </w:style>
  <w:style w:type="paragraph" w:customStyle="1" w:styleId="xl159">
    <w:name w:val="xl159"/>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0">
    <w:name w:val="xl160"/>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18"/>
      <w:szCs w:val="18"/>
      <w:lang w:val="en-US"/>
    </w:rPr>
  </w:style>
  <w:style w:type="paragraph" w:customStyle="1" w:styleId="xl161">
    <w:name w:val="xl161"/>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2">
    <w:name w:val="xl162"/>
    <w:basedOn w:val="Normal"/>
    <w:rsid w:val="003147B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sz w:val="18"/>
      <w:szCs w:val="18"/>
      <w:lang w:val="en-US"/>
    </w:rPr>
  </w:style>
  <w:style w:type="paragraph" w:customStyle="1" w:styleId="xl163">
    <w:name w:val="xl16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sz w:val="18"/>
      <w:szCs w:val="18"/>
      <w:lang w:val="en-US"/>
    </w:rPr>
  </w:style>
  <w:style w:type="paragraph" w:customStyle="1" w:styleId="xl164">
    <w:name w:val="xl164"/>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5">
    <w:name w:val="xl165"/>
    <w:basedOn w:val="Normal"/>
    <w:rsid w:val="003147B8"/>
    <w:pPr>
      <w:pBdr>
        <w:top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166">
    <w:name w:val="xl166"/>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FFFFFF"/>
      <w:sz w:val="18"/>
      <w:szCs w:val="18"/>
      <w:lang w:val="en-US"/>
    </w:rPr>
  </w:style>
  <w:style w:type="paragraph" w:customStyle="1" w:styleId="xl167">
    <w:name w:val="xl16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b/>
      <w:bCs/>
      <w:color w:val="FFFFFF"/>
      <w:sz w:val="18"/>
      <w:szCs w:val="18"/>
      <w:lang w:val="en-US"/>
    </w:rPr>
  </w:style>
  <w:style w:type="paragraph" w:customStyle="1" w:styleId="xl168">
    <w:name w:val="xl168"/>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69">
    <w:name w:val="xl169"/>
    <w:basedOn w:val="Normal"/>
    <w:rsid w:val="003147B8"/>
    <w:pPr>
      <w:pBdr>
        <w:top w:val="single" w:sz="4" w:space="0" w:color="auto"/>
        <w:bottom w:val="single" w:sz="8" w:space="0" w:color="auto"/>
        <w:right w:val="single" w:sz="4"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70">
    <w:name w:val="xl170"/>
    <w:basedOn w:val="Normal"/>
    <w:rsid w:val="003147B8"/>
    <w:pPr>
      <w:pBdr>
        <w:top w:val="single" w:sz="4" w:space="0" w:color="auto"/>
        <w:bottom w:val="single" w:sz="8" w:space="0" w:color="auto"/>
        <w:right w:val="single" w:sz="4" w:space="0" w:color="auto"/>
      </w:pBdr>
      <w:shd w:val="clear" w:color="000000" w:fill="CCC0DA"/>
      <w:spacing w:before="100" w:beforeAutospacing="1" w:after="100" w:afterAutospacing="1" w:line="240" w:lineRule="auto"/>
      <w:jc w:val="right"/>
      <w:textAlignment w:val="center"/>
    </w:pPr>
    <w:rPr>
      <w:b/>
      <w:bCs/>
      <w:color w:val="FFFFFF"/>
      <w:sz w:val="18"/>
      <w:szCs w:val="18"/>
      <w:lang w:val="en-US"/>
    </w:rPr>
  </w:style>
  <w:style w:type="paragraph" w:customStyle="1" w:styleId="xl171">
    <w:name w:val="xl171"/>
    <w:basedOn w:val="Normal"/>
    <w:rsid w:val="003147B8"/>
    <w:pPr>
      <w:shd w:val="clear" w:color="000000" w:fill="CCC0DA"/>
      <w:spacing w:before="100" w:beforeAutospacing="1" w:after="100" w:afterAutospacing="1" w:line="240" w:lineRule="auto"/>
      <w:jc w:val="left"/>
    </w:pPr>
    <w:rPr>
      <w:sz w:val="18"/>
      <w:szCs w:val="18"/>
      <w:lang w:val="en-US"/>
    </w:rPr>
  </w:style>
  <w:style w:type="paragraph" w:customStyle="1" w:styleId="xl172">
    <w:name w:val="xl172"/>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 w:val="18"/>
      <w:szCs w:val="18"/>
      <w:lang w:val="en-US"/>
    </w:rPr>
  </w:style>
  <w:style w:type="paragraph" w:customStyle="1" w:styleId="xl173">
    <w:name w:val="xl173"/>
    <w:basedOn w:val="Normal"/>
    <w:rsid w:val="003147B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4">
    <w:name w:val="xl174"/>
    <w:basedOn w:val="Normal"/>
    <w:rsid w:val="003147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175">
    <w:name w:val="xl175"/>
    <w:basedOn w:val="Normal"/>
    <w:rsid w:val="003147B8"/>
    <w:pPr>
      <w:spacing w:before="100" w:beforeAutospacing="1" w:after="100" w:afterAutospacing="1" w:line="240" w:lineRule="auto"/>
      <w:jc w:val="center"/>
      <w:textAlignment w:val="center"/>
    </w:pPr>
    <w:rPr>
      <w:sz w:val="18"/>
      <w:szCs w:val="18"/>
      <w:lang w:val="en-US"/>
    </w:rPr>
  </w:style>
  <w:style w:type="paragraph" w:customStyle="1" w:styleId="xl176">
    <w:name w:val="xl176"/>
    <w:basedOn w:val="Normal"/>
    <w:rsid w:val="003147B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7">
    <w:name w:val="xl177"/>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78">
    <w:name w:val="xl178"/>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79">
    <w:name w:val="xl179"/>
    <w:basedOn w:val="Normal"/>
    <w:rsid w:val="003147B8"/>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180">
    <w:name w:val="xl180"/>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1">
    <w:name w:val="xl181"/>
    <w:basedOn w:val="Normal"/>
    <w:rsid w:val="003147B8"/>
    <w:pPr>
      <w:pBdr>
        <w:top w:val="single" w:sz="4" w:space="0" w:color="auto"/>
        <w:left w:val="single" w:sz="8" w:space="0" w:color="auto"/>
        <w:bottom w:val="single" w:sz="4" w:space="0" w:color="auto"/>
        <w:right w:val="single" w:sz="8" w:space="0" w:color="auto"/>
      </w:pBdr>
      <w:shd w:val="clear" w:color="000000" w:fill="CC99FF"/>
      <w:spacing w:before="100" w:beforeAutospacing="1" w:after="100" w:afterAutospacing="1" w:line="240" w:lineRule="auto"/>
      <w:jc w:val="right"/>
      <w:textAlignment w:val="center"/>
    </w:pPr>
    <w:rPr>
      <w:b/>
      <w:bCs/>
      <w:sz w:val="18"/>
      <w:szCs w:val="18"/>
      <w:lang w:val="en-US"/>
    </w:rPr>
  </w:style>
  <w:style w:type="paragraph" w:customStyle="1" w:styleId="xl182">
    <w:name w:val="xl182"/>
    <w:basedOn w:val="Normal"/>
    <w:rsid w:val="003147B8"/>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183">
    <w:name w:val="xl183"/>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textAlignment w:val="center"/>
    </w:pPr>
    <w:rPr>
      <w:sz w:val="18"/>
      <w:szCs w:val="18"/>
      <w:lang w:val="en-US"/>
    </w:rPr>
  </w:style>
  <w:style w:type="paragraph" w:customStyle="1" w:styleId="xl184">
    <w:name w:val="xl184"/>
    <w:basedOn w:val="Normal"/>
    <w:rsid w:val="003147B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sz w:val="18"/>
      <w:szCs w:val="18"/>
      <w:lang w:val="en-US"/>
    </w:rPr>
  </w:style>
  <w:style w:type="paragraph" w:customStyle="1" w:styleId="xl185">
    <w:name w:val="xl185"/>
    <w:basedOn w:val="Normal"/>
    <w:rsid w:val="003147B8"/>
    <w:pPr>
      <w:pBdr>
        <w:top w:val="single" w:sz="4" w:space="0" w:color="auto"/>
        <w:left w:val="single" w:sz="8" w:space="0" w:color="auto"/>
        <w:bottom w:val="single" w:sz="8" w:space="0" w:color="auto"/>
        <w:right w:val="single" w:sz="8" w:space="0" w:color="auto"/>
      </w:pBdr>
      <w:shd w:val="clear" w:color="000000" w:fill="3366FF"/>
      <w:spacing w:before="100" w:beforeAutospacing="1" w:after="100" w:afterAutospacing="1" w:line="240" w:lineRule="auto"/>
      <w:jc w:val="right"/>
      <w:textAlignment w:val="center"/>
    </w:pPr>
    <w:rPr>
      <w:b/>
      <w:bCs/>
      <w:color w:val="FFFFFF"/>
      <w:sz w:val="18"/>
      <w:szCs w:val="18"/>
      <w:lang w:val="en-US"/>
    </w:rPr>
  </w:style>
  <w:style w:type="paragraph" w:customStyle="1" w:styleId="xl186">
    <w:name w:val="xl186"/>
    <w:basedOn w:val="Normal"/>
    <w:rsid w:val="003147B8"/>
    <w:pPr>
      <w:pBdr>
        <w:bottom w:val="single" w:sz="8" w:space="0" w:color="auto"/>
      </w:pBdr>
      <w:spacing w:before="100" w:beforeAutospacing="1" w:after="100" w:afterAutospacing="1" w:line="240" w:lineRule="auto"/>
      <w:jc w:val="center"/>
      <w:textAlignment w:val="center"/>
    </w:pPr>
    <w:rPr>
      <w:b/>
      <w:bCs/>
      <w:sz w:val="18"/>
      <w:szCs w:val="18"/>
      <w:lang w:val="en-US"/>
    </w:rPr>
  </w:style>
  <w:style w:type="paragraph" w:customStyle="1" w:styleId="xl187">
    <w:name w:val="xl187"/>
    <w:basedOn w:val="Normal"/>
    <w:rsid w:val="003147B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188">
    <w:name w:val="xl188"/>
    <w:basedOn w:val="Normal"/>
    <w:rsid w:val="003147B8"/>
    <w:pPr>
      <w:pBdr>
        <w:left w:val="single" w:sz="4" w:space="0" w:color="auto"/>
      </w:pBdr>
      <w:spacing w:before="100" w:beforeAutospacing="1" w:after="100" w:afterAutospacing="1" w:line="240" w:lineRule="auto"/>
      <w:jc w:val="center"/>
      <w:textAlignment w:val="center"/>
    </w:pPr>
    <w:rPr>
      <w:sz w:val="18"/>
      <w:szCs w:val="18"/>
      <w:lang w:val="en-US"/>
    </w:rPr>
  </w:style>
  <w:style w:type="paragraph" w:customStyle="1" w:styleId="xl189">
    <w:name w:val="xl189"/>
    <w:basedOn w:val="Normal"/>
    <w:rsid w:val="003147B8"/>
    <w:pPr>
      <w:shd w:val="clear" w:color="000000" w:fill="CCC0DA"/>
      <w:spacing w:before="100" w:beforeAutospacing="1" w:after="100" w:afterAutospacing="1" w:line="240" w:lineRule="auto"/>
      <w:jc w:val="center"/>
      <w:textAlignment w:val="center"/>
    </w:pPr>
    <w:rPr>
      <w:b/>
      <w:bCs/>
      <w:color w:val="FFFFFF"/>
      <w:sz w:val="18"/>
      <w:szCs w:val="18"/>
      <w:lang w:val="en-US"/>
    </w:rPr>
  </w:style>
  <w:style w:type="paragraph" w:customStyle="1" w:styleId="xl190">
    <w:name w:val="xl190"/>
    <w:basedOn w:val="Normal"/>
    <w:rsid w:val="003147B8"/>
    <w:pPr>
      <w:shd w:val="clear" w:color="000000" w:fill="538ED5"/>
      <w:spacing w:before="100" w:beforeAutospacing="1" w:after="100" w:afterAutospacing="1" w:line="240" w:lineRule="auto"/>
      <w:jc w:val="center"/>
      <w:textAlignment w:val="center"/>
    </w:pPr>
    <w:rPr>
      <w:b/>
      <w:bCs/>
      <w:color w:val="FFFFFF"/>
      <w:sz w:val="18"/>
      <w:szCs w:val="18"/>
      <w:lang w:val="en-US"/>
    </w:rPr>
  </w:style>
  <w:style w:type="paragraph" w:customStyle="1" w:styleId="xl191">
    <w:name w:val="xl191"/>
    <w:basedOn w:val="Normal"/>
    <w:rsid w:val="003147B8"/>
    <w:pPr>
      <w:shd w:val="clear" w:color="000000" w:fill="CCC0DA"/>
      <w:spacing w:before="100" w:beforeAutospacing="1" w:after="100" w:afterAutospacing="1" w:line="240" w:lineRule="auto"/>
      <w:jc w:val="center"/>
      <w:textAlignment w:val="center"/>
    </w:pPr>
    <w:rPr>
      <w:sz w:val="18"/>
      <w:szCs w:val="18"/>
      <w:lang w:val="en-US"/>
    </w:rPr>
  </w:style>
  <w:style w:type="paragraph" w:customStyle="1" w:styleId="xl192">
    <w:name w:val="xl192"/>
    <w:basedOn w:val="Normal"/>
    <w:rsid w:val="003147B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color w:val="FF0000"/>
      <w:sz w:val="18"/>
      <w:szCs w:val="18"/>
      <w:lang w:val="en-US"/>
    </w:rPr>
  </w:style>
  <w:style w:type="paragraph" w:customStyle="1" w:styleId="xl193">
    <w:name w:val="xl193"/>
    <w:basedOn w:val="Normal"/>
    <w:rsid w:val="003147B8"/>
    <w:pPr>
      <w:pBdr>
        <w:top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b/>
      <w:bCs/>
      <w:sz w:val="16"/>
      <w:szCs w:val="16"/>
      <w:lang w:val="en-US"/>
    </w:rPr>
  </w:style>
  <w:style w:type="paragraph" w:customStyle="1" w:styleId="xl194">
    <w:name w:val="xl194"/>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5">
    <w:name w:val="xl195"/>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6">
    <w:name w:val="xl196"/>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color w:val="FF0000"/>
      <w:sz w:val="18"/>
      <w:szCs w:val="18"/>
      <w:lang w:val="en-US"/>
    </w:rPr>
  </w:style>
  <w:style w:type="paragraph" w:customStyle="1" w:styleId="xl197">
    <w:name w:val="xl197"/>
    <w:basedOn w:val="Normal"/>
    <w:rsid w:val="003147B8"/>
    <w:pPr>
      <w:shd w:val="clear" w:color="000000" w:fill="FF0000"/>
      <w:spacing w:before="100" w:beforeAutospacing="1" w:after="100" w:afterAutospacing="1" w:line="240" w:lineRule="auto"/>
      <w:jc w:val="left"/>
    </w:pPr>
    <w:rPr>
      <w:sz w:val="18"/>
      <w:szCs w:val="18"/>
      <w:lang w:val="en-US"/>
    </w:rPr>
  </w:style>
  <w:style w:type="paragraph" w:customStyle="1" w:styleId="xl198">
    <w:name w:val="xl198"/>
    <w:basedOn w:val="Normal"/>
    <w:rsid w:val="003147B8"/>
    <w:pPr>
      <w:shd w:val="clear" w:color="000000" w:fill="FF0000"/>
      <w:spacing w:before="100" w:beforeAutospacing="1" w:after="100" w:afterAutospacing="1" w:line="240" w:lineRule="auto"/>
      <w:jc w:val="left"/>
    </w:pPr>
    <w:rPr>
      <w:color w:val="FF0000"/>
      <w:sz w:val="18"/>
      <w:szCs w:val="18"/>
      <w:lang w:val="en-US"/>
    </w:rPr>
  </w:style>
  <w:style w:type="paragraph" w:customStyle="1" w:styleId="xl199">
    <w:name w:val="xl199"/>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b/>
      <w:bCs/>
      <w:color w:val="FF0000"/>
      <w:sz w:val="18"/>
      <w:szCs w:val="18"/>
      <w:lang w:val="en-US"/>
    </w:rPr>
  </w:style>
  <w:style w:type="paragraph" w:customStyle="1" w:styleId="xl200">
    <w:name w:val="xl200"/>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1">
    <w:name w:val="xl201"/>
    <w:basedOn w:val="Normal"/>
    <w:rsid w:val="003147B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2">
    <w:name w:val="xl202"/>
    <w:basedOn w:val="Normal"/>
    <w:rsid w:val="003147B8"/>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jc w:val="left"/>
      <w:textAlignment w:val="center"/>
    </w:pPr>
    <w:rPr>
      <w:sz w:val="18"/>
      <w:szCs w:val="18"/>
      <w:lang w:val="en-US"/>
    </w:rPr>
  </w:style>
  <w:style w:type="paragraph" w:customStyle="1" w:styleId="xl203">
    <w:name w:val="xl203"/>
    <w:basedOn w:val="Normal"/>
    <w:rsid w:val="003147B8"/>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sz w:val="18"/>
      <w:szCs w:val="18"/>
      <w:lang w:val="en-US"/>
    </w:rPr>
  </w:style>
  <w:style w:type="paragraph" w:customStyle="1" w:styleId="xl204">
    <w:name w:val="xl204"/>
    <w:basedOn w:val="Normal"/>
    <w:rsid w:val="003147B8"/>
    <w:pPr>
      <w:pBdr>
        <w:top w:val="single" w:sz="4" w:space="0" w:color="auto"/>
        <w:left w:val="single" w:sz="4" w:space="0" w:color="auto"/>
        <w:bottom w:val="single" w:sz="4" w:space="0" w:color="auto"/>
      </w:pBdr>
      <w:shd w:val="clear" w:color="000000" w:fill="CC99FF"/>
      <w:spacing w:before="100" w:beforeAutospacing="1" w:after="100" w:afterAutospacing="1" w:line="240" w:lineRule="auto"/>
      <w:jc w:val="center"/>
      <w:textAlignment w:val="center"/>
    </w:pPr>
    <w:rPr>
      <w:b/>
      <w:bCs/>
      <w:color w:val="003366"/>
      <w:sz w:val="18"/>
      <w:szCs w:val="18"/>
      <w:lang w:val="en-US"/>
    </w:rPr>
  </w:style>
  <w:style w:type="paragraph" w:customStyle="1" w:styleId="xl205">
    <w:name w:val="xl205"/>
    <w:basedOn w:val="Normal"/>
    <w:rsid w:val="003147B8"/>
    <w:pPr>
      <w:pBdr>
        <w:top w:val="single" w:sz="4" w:space="0" w:color="auto"/>
        <w:left w:val="single" w:sz="4" w:space="0" w:color="auto"/>
        <w:bottom w:val="single" w:sz="4" w:space="0" w:color="auto"/>
      </w:pBdr>
      <w:shd w:val="clear" w:color="000000" w:fill="CCFFFF"/>
      <w:spacing w:before="100" w:beforeAutospacing="1" w:after="100" w:afterAutospacing="1" w:line="240" w:lineRule="auto"/>
      <w:jc w:val="left"/>
      <w:textAlignment w:val="center"/>
    </w:pPr>
    <w:rPr>
      <w:sz w:val="18"/>
      <w:szCs w:val="18"/>
      <w:lang w:val="en-US"/>
    </w:rPr>
  </w:style>
  <w:style w:type="paragraph" w:customStyle="1" w:styleId="xl206">
    <w:name w:val="xl206"/>
    <w:basedOn w:val="Normal"/>
    <w:rsid w:val="003147B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sz w:val="18"/>
      <w:szCs w:val="18"/>
      <w:lang w:val="en-US"/>
    </w:rPr>
  </w:style>
  <w:style w:type="paragraph" w:customStyle="1" w:styleId="xl207">
    <w:name w:val="xl207"/>
    <w:basedOn w:val="Normal"/>
    <w:rsid w:val="003147B8"/>
    <w:pPr>
      <w:pBdr>
        <w:top w:val="single" w:sz="4" w:space="0" w:color="auto"/>
        <w:left w:val="single" w:sz="4" w:space="0" w:color="auto"/>
        <w:bottom w:val="single" w:sz="8" w:space="0" w:color="auto"/>
      </w:pBdr>
      <w:shd w:val="clear" w:color="000000" w:fill="3366FF"/>
      <w:spacing w:before="100" w:beforeAutospacing="1" w:after="100" w:afterAutospacing="1" w:line="240" w:lineRule="auto"/>
      <w:jc w:val="center"/>
      <w:textAlignment w:val="center"/>
    </w:pPr>
    <w:rPr>
      <w:b/>
      <w:bCs/>
      <w:color w:val="FFFFFF"/>
      <w:sz w:val="18"/>
      <w:szCs w:val="18"/>
      <w:lang w:val="en-US"/>
    </w:rPr>
  </w:style>
  <w:style w:type="paragraph" w:customStyle="1" w:styleId="xl208">
    <w:name w:val="xl208"/>
    <w:basedOn w:val="Normal"/>
    <w:rsid w:val="003147B8"/>
    <w:pPr>
      <w:pBdr>
        <w:top w:val="single" w:sz="8" w:space="0" w:color="auto"/>
        <w:left w:val="single" w:sz="4" w:space="0" w:color="auto"/>
        <w:bottom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09">
    <w:name w:val="xl209"/>
    <w:basedOn w:val="Normal"/>
    <w:rsid w:val="003147B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0">
    <w:name w:val="xl210"/>
    <w:basedOn w:val="Normal"/>
    <w:rsid w:val="003147B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18"/>
      <w:szCs w:val="18"/>
      <w:lang w:val="en-US"/>
    </w:rPr>
  </w:style>
  <w:style w:type="paragraph" w:customStyle="1" w:styleId="xl211">
    <w:name w:val="xl211"/>
    <w:basedOn w:val="Normal"/>
    <w:rsid w:val="003147B8"/>
    <w:pPr>
      <w:pBdr>
        <w:top w:val="single" w:sz="8" w:space="0" w:color="auto"/>
        <w:bottom w:val="single" w:sz="4" w:space="0" w:color="auto"/>
        <w:righ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customStyle="1" w:styleId="xl212">
    <w:name w:val="xl212"/>
    <w:basedOn w:val="Normal"/>
    <w:rsid w:val="003147B8"/>
    <w:pPr>
      <w:pBdr>
        <w:left w:val="single" w:sz="4" w:space="0" w:color="auto"/>
      </w:pBdr>
      <w:shd w:val="clear" w:color="000000" w:fill="0066CC"/>
      <w:spacing w:before="100" w:beforeAutospacing="1" w:after="100" w:afterAutospacing="1" w:line="240" w:lineRule="auto"/>
      <w:jc w:val="center"/>
      <w:textAlignment w:val="center"/>
    </w:pPr>
    <w:rPr>
      <w:b/>
      <w:bCs/>
      <w:color w:val="FFFFFF"/>
      <w:sz w:val="18"/>
      <w:szCs w:val="18"/>
      <w:lang w:val="en-US"/>
    </w:rPr>
  </w:style>
  <w:style w:type="paragraph" w:styleId="List2">
    <w:name w:val="List 2"/>
    <w:basedOn w:val="Normal"/>
    <w:rsid w:val="003147B8"/>
    <w:pPr>
      <w:spacing w:after="120" w:line="240" w:lineRule="auto"/>
      <w:ind w:left="720" w:hanging="360"/>
      <w:jc w:val="left"/>
    </w:pPr>
    <w:rPr>
      <w:rFonts w:ascii="Arial" w:hAnsi="Arial"/>
      <w:sz w:val="20"/>
      <w:szCs w:val="20"/>
    </w:rPr>
  </w:style>
  <w:style w:type="paragraph" w:customStyle="1" w:styleId="bullet1">
    <w:name w:val="bullet1"/>
    <w:basedOn w:val="Normal"/>
    <w:rsid w:val="003147B8"/>
    <w:pPr>
      <w:spacing w:before="80" w:after="80" w:line="240" w:lineRule="auto"/>
      <w:ind w:left="1267" w:hanging="360"/>
      <w:jc w:val="left"/>
    </w:pPr>
    <w:rPr>
      <w:rFonts w:ascii="Arial" w:hAnsi="Arial"/>
      <w:sz w:val="20"/>
      <w:szCs w:val="20"/>
      <w:lang w:val="en-US"/>
    </w:rPr>
  </w:style>
  <w:style w:type="paragraph" w:customStyle="1" w:styleId="Tablefont">
    <w:name w:val="Table font"/>
    <w:basedOn w:val="ListNumber5"/>
    <w:rsid w:val="003147B8"/>
  </w:style>
  <w:style w:type="paragraph" w:styleId="ListNumber5">
    <w:name w:val="List Number 5"/>
    <w:basedOn w:val="Normal"/>
    <w:rsid w:val="003147B8"/>
    <w:pPr>
      <w:tabs>
        <w:tab w:val="num" w:pos="360"/>
      </w:tabs>
      <w:spacing w:after="120" w:line="240" w:lineRule="auto"/>
      <w:ind w:left="360" w:hanging="360"/>
      <w:jc w:val="left"/>
    </w:pPr>
    <w:rPr>
      <w:rFonts w:ascii="Arial" w:hAnsi="Arial"/>
      <w:sz w:val="20"/>
      <w:szCs w:val="20"/>
    </w:rPr>
  </w:style>
  <w:style w:type="paragraph" w:customStyle="1" w:styleId="EYparach8">
    <w:name w:val="EY para ch 8"/>
    <w:rsid w:val="003147B8"/>
    <w:pPr>
      <w:tabs>
        <w:tab w:val="num" w:pos="720"/>
      </w:tabs>
      <w:spacing w:after="360" w:line="280" w:lineRule="atLeast"/>
      <w:ind w:left="720" w:hanging="720"/>
      <w:jc w:val="both"/>
    </w:pPr>
    <w:rPr>
      <w:rFonts w:ascii="Arial" w:hAnsi="Arial"/>
      <w:sz w:val="22"/>
    </w:rPr>
  </w:style>
  <w:style w:type="paragraph" w:styleId="BodyText3">
    <w:name w:val="Body Text 3"/>
    <w:basedOn w:val="Normal"/>
    <w:link w:val="BodyText3Char"/>
    <w:rsid w:val="003147B8"/>
    <w:pPr>
      <w:spacing w:after="120" w:line="240" w:lineRule="auto"/>
      <w:jc w:val="left"/>
    </w:pPr>
    <w:rPr>
      <w:rFonts w:ascii="Arial" w:hAnsi="Arial"/>
      <w:sz w:val="16"/>
      <w:szCs w:val="16"/>
    </w:rPr>
  </w:style>
  <w:style w:type="character" w:customStyle="1" w:styleId="BodyText3Char">
    <w:name w:val="Body Text 3 Char"/>
    <w:basedOn w:val="DefaultParagraphFont"/>
    <w:link w:val="BodyText3"/>
    <w:rsid w:val="003147B8"/>
    <w:rPr>
      <w:rFonts w:ascii="Arial" w:hAnsi="Arial"/>
      <w:sz w:val="16"/>
      <w:szCs w:val="16"/>
      <w:lang w:val="en-GB"/>
    </w:rPr>
  </w:style>
  <w:style w:type="character" w:customStyle="1" w:styleId="Quick">
    <w:name w:val="Quick"/>
    <w:rsid w:val="003147B8"/>
  </w:style>
  <w:style w:type="paragraph" w:customStyle="1" w:styleId="Heading40">
    <w:name w:val="Heading4"/>
    <w:basedOn w:val="Normal"/>
    <w:rsid w:val="003147B8"/>
    <w:pPr>
      <w:spacing w:before="0" w:line="240" w:lineRule="auto"/>
      <w:ind w:left="1267" w:hanging="360"/>
      <w:outlineLvl w:val="0"/>
    </w:pPr>
    <w:rPr>
      <w:rFonts w:ascii="Arial" w:hAnsi="Arial"/>
      <w:b/>
      <w:sz w:val="28"/>
      <w:szCs w:val="28"/>
      <w:lang w:val="en-US"/>
    </w:rPr>
  </w:style>
  <w:style w:type="paragraph" w:styleId="ListBullet">
    <w:name w:val="List Bullet"/>
    <w:basedOn w:val="Normal"/>
    <w:autoRedefine/>
    <w:rsid w:val="003147B8"/>
    <w:pPr>
      <w:tabs>
        <w:tab w:val="num" w:pos="360"/>
        <w:tab w:val="left" w:pos="1260"/>
        <w:tab w:val="left" w:pos="2970"/>
        <w:tab w:val="left" w:pos="3060"/>
      </w:tabs>
      <w:spacing w:after="180" w:line="240" w:lineRule="auto"/>
      <w:ind w:left="360" w:hanging="360"/>
      <w:jc w:val="left"/>
    </w:pPr>
    <w:rPr>
      <w:rFonts w:ascii="Arial" w:hAnsi="Arial"/>
      <w:sz w:val="20"/>
      <w:szCs w:val="20"/>
      <w:lang w:val="en-US"/>
    </w:rPr>
  </w:style>
  <w:style w:type="paragraph" w:customStyle="1" w:styleId="Bullet2">
    <w:name w:val="Bullet 2"/>
    <w:rsid w:val="003147B8"/>
    <w:pPr>
      <w:tabs>
        <w:tab w:val="left" w:pos="360"/>
        <w:tab w:val="num" w:pos="2160"/>
        <w:tab w:val="left" w:pos="2880"/>
        <w:tab w:val="left" w:pos="4320"/>
        <w:tab w:val="left" w:pos="5775"/>
        <w:tab w:val="left" w:pos="7200"/>
        <w:tab w:val="left" w:pos="8640"/>
        <w:tab w:val="right" w:pos="10425"/>
      </w:tabs>
      <w:spacing w:before="120"/>
      <w:ind w:left="2160" w:hanging="720"/>
      <w:jc w:val="both"/>
    </w:pPr>
    <w:rPr>
      <w:snapToGrid w:val="0"/>
      <w:color w:val="000000"/>
      <w:sz w:val="22"/>
    </w:rPr>
  </w:style>
  <w:style w:type="paragraph" w:customStyle="1" w:styleId="ReportMainTitle">
    <w:name w:val="Report Main Title"/>
    <w:basedOn w:val="Normal"/>
    <w:rsid w:val="003147B8"/>
    <w:pPr>
      <w:tabs>
        <w:tab w:val="num" w:pos="2880"/>
      </w:tabs>
      <w:spacing w:after="120" w:line="240" w:lineRule="auto"/>
      <w:ind w:left="2880" w:hanging="720"/>
      <w:jc w:val="left"/>
    </w:pPr>
    <w:rPr>
      <w:rFonts w:ascii="Arial" w:hAnsi="Arial"/>
      <w:sz w:val="20"/>
      <w:szCs w:val="20"/>
    </w:rPr>
  </w:style>
  <w:style w:type="paragraph" w:styleId="ListBullet2">
    <w:name w:val="List Bullet 2"/>
    <w:basedOn w:val="Normal"/>
    <w:autoRedefine/>
    <w:rsid w:val="003147B8"/>
    <w:pPr>
      <w:tabs>
        <w:tab w:val="num" w:pos="720"/>
      </w:tabs>
      <w:spacing w:after="120" w:line="240" w:lineRule="auto"/>
      <w:ind w:left="720" w:hanging="360"/>
      <w:jc w:val="left"/>
    </w:pPr>
    <w:rPr>
      <w:rFonts w:ascii="Arial" w:hAnsi="Arial"/>
      <w:sz w:val="20"/>
      <w:szCs w:val="20"/>
    </w:rPr>
  </w:style>
  <w:style w:type="paragraph" w:styleId="ListBullet3">
    <w:name w:val="List Bullet 3"/>
    <w:basedOn w:val="Normal"/>
    <w:autoRedefine/>
    <w:rsid w:val="003147B8"/>
    <w:pPr>
      <w:tabs>
        <w:tab w:val="num" w:pos="1080"/>
      </w:tabs>
      <w:spacing w:after="120" w:line="240" w:lineRule="auto"/>
      <w:ind w:left="1080" w:hanging="360"/>
      <w:jc w:val="left"/>
    </w:pPr>
    <w:rPr>
      <w:rFonts w:ascii="Arial" w:hAnsi="Arial"/>
      <w:sz w:val="20"/>
      <w:szCs w:val="20"/>
    </w:rPr>
  </w:style>
  <w:style w:type="paragraph" w:styleId="ListBullet4">
    <w:name w:val="List Bullet 4"/>
    <w:basedOn w:val="Normal"/>
    <w:autoRedefine/>
    <w:rsid w:val="003147B8"/>
    <w:pPr>
      <w:tabs>
        <w:tab w:val="num" w:pos="1440"/>
      </w:tabs>
      <w:spacing w:after="120" w:line="240" w:lineRule="auto"/>
      <w:ind w:left="1440" w:hanging="360"/>
      <w:jc w:val="left"/>
    </w:pPr>
    <w:rPr>
      <w:rFonts w:ascii="Arial" w:hAnsi="Arial"/>
      <w:sz w:val="20"/>
      <w:szCs w:val="20"/>
    </w:rPr>
  </w:style>
  <w:style w:type="paragraph" w:styleId="ListBullet5">
    <w:name w:val="List Bullet 5"/>
    <w:basedOn w:val="Normal"/>
    <w:autoRedefine/>
    <w:rsid w:val="003147B8"/>
    <w:pPr>
      <w:tabs>
        <w:tab w:val="num" w:pos="1800"/>
      </w:tabs>
      <w:spacing w:after="120" w:line="240" w:lineRule="auto"/>
      <w:ind w:left="1800" w:hanging="360"/>
      <w:jc w:val="left"/>
    </w:pPr>
    <w:rPr>
      <w:rFonts w:ascii="Arial" w:hAnsi="Arial"/>
      <w:sz w:val="20"/>
      <w:szCs w:val="20"/>
    </w:rPr>
  </w:style>
  <w:style w:type="paragraph" w:styleId="ListNumber2">
    <w:name w:val="List Number 2"/>
    <w:basedOn w:val="Normal"/>
    <w:rsid w:val="003147B8"/>
    <w:pPr>
      <w:tabs>
        <w:tab w:val="num" w:pos="720"/>
      </w:tabs>
      <w:spacing w:after="120" w:line="240" w:lineRule="auto"/>
      <w:ind w:left="720" w:hanging="360"/>
      <w:jc w:val="left"/>
    </w:pPr>
    <w:rPr>
      <w:rFonts w:ascii="Arial" w:hAnsi="Arial"/>
      <w:sz w:val="20"/>
      <w:szCs w:val="20"/>
    </w:rPr>
  </w:style>
  <w:style w:type="paragraph" w:styleId="ListNumber3">
    <w:name w:val="List Number 3"/>
    <w:basedOn w:val="Normal"/>
    <w:rsid w:val="003147B8"/>
    <w:pPr>
      <w:tabs>
        <w:tab w:val="num" w:pos="1080"/>
      </w:tabs>
      <w:spacing w:after="120" w:line="240" w:lineRule="auto"/>
      <w:ind w:left="1080" w:hanging="360"/>
      <w:jc w:val="left"/>
    </w:pPr>
    <w:rPr>
      <w:rFonts w:ascii="Arial" w:hAnsi="Arial"/>
      <w:sz w:val="20"/>
      <w:szCs w:val="20"/>
    </w:rPr>
  </w:style>
  <w:style w:type="paragraph" w:styleId="ListNumber4">
    <w:name w:val="List Number 4"/>
    <w:basedOn w:val="Normal"/>
    <w:rsid w:val="003147B8"/>
    <w:pPr>
      <w:tabs>
        <w:tab w:val="num" w:pos="1440"/>
      </w:tabs>
      <w:spacing w:after="120" w:line="240" w:lineRule="auto"/>
      <w:ind w:left="1440" w:hanging="360"/>
      <w:jc w:val="left"/>
    </w:pPr>
    <w:rPr>
      <w:rFonts w:ascii="Arial" w:hAnsi="Arial"/>
      <w:sz w:val="20"/>
      <w:szCs w:val="20"/>
    </w:rPr>
  </w:style>
  <w:style w:type="paragraph" w:customStyle="1" w:styleId="List1">
    <w:name w:val="List  1"/>
    <w:basedOn w:val="BodyText"/>
    <w:next w:val="BodyText"/>
    <w:rsid w:val="003147B8"/>
  </w:style>
  <w:style w:type="paragraph" w:customStyle="1" w:styleId="Nityach">
    <w:name w:val="Nitya ch"/>
    <w:basedOn w:val="Header"/>
    <w:rsid w:val="003147B8"/>
    <w:pPr>
      <w:tabs>
        <w:tab w:val="clear" w:pos="4320"/>
        <w:tab w:val="clear" w:pos="8640"/>
      </w:tabs>
      <w:spacing w:before="0" w:line="240" w:lineRule="auto"/>
      <w:ind w:firstLine="720"/>
      <w:jc w:val="center"/>
    </w:pPr>
    <w:rPr>
      <w:rFonts w:ascii="Arial" w:hAnsi="Arial" w:cs="Arial"/>
      <w:b/>
      <w:lang w:val="en-US"/>
    </w:rPr>
  </w:style>
  <w:style w:type="paragraph" w:customStyle="1" w:styleId="NCH9">
    <w:name w:val="N_CH_9"/>
    <w:rsid w:val="003147B8"/>
    <w:pPr>
      <w:spacing w:line="360" w:lineRule="auto"/>
      <w:jc w:val="both"/>
    </w:pPr>
    <w:rPr>
      <w:rFonts w:ascii="Arial" w:hAnsi="Arial"/>
    </w:rPr>
  </w:style>
  <w:style w:type="paragraph" w:customStyle="1" w:styleId="xl24">
    <w:name w:val="xl24"/>
    <w:basedOn w:val="Normal"/>
    <w:rsid w:val="003147B8"/>
    <w:pPr>
      <w:pBdr>
        <w:top w:val="single" w:sz="8" w:space="0" w:color="auto"/>
      </w:pBdr>
      <w:shd w:val="clear" w:color="auto" w:fill="FFFF99"/>
      <w:spacing w:before="100" w:beforeAutospacing="1" w:after="100" w:afterAutospacing="1" w:line="240" w:lineRule="auto"/>
      <w:jc w:val="center"/>
    </w:pPr>
    <w:rPr>
      <w:rFonts w:ascii="Arial" w:hAnsi="Arial" w:cs="Arial"/>
      <w:lang w:val="en-US"/>
    </w:rPr>
  </w:style>
  <w:style w:type="paragraph" w:customStyle="1" w:styleId="NityaText">
    <w:name w:val="Nitya Text"/>
    <w:basedOn w:val="Header"/>
    <w:rsid w:val="003147B8"/>
    <w:pPr>
      <w:tabs>
        <w:tab w:val="clear" w:pos="4320"/>
        <w:tab w:val="clear" w:pos="8640"/>
      </w:tabs>
      <w:spacing w:before="0" w:line="360" w:lineRule="auto"/>
      <w:ind w:left="1987" w:hanging="360"/>
    </w:pPr>
    <w:rPr>
      <w:rFonts w:ascii="Arial" w:hAnsi="Arial" w:cs="Arial"/>
      <w:sz w:val="20"/>
      <w:lang w:val="en-US"/>
    </w:rPr>
  </w:style>
  <w:style w:type="paragraph" w:customStyle="1" w:styleId="NityaSub">
    <w:name w:val="Nitya Sub"/>
    <w:basedOn w:val="Header"/>
    <w:rsid w:val="003147B8"/>
    <w:pPr>
      <w:tabs>
        <w:tab w:val="clear" w:pos="4320"/>
        <w:tab w:val="clear" w:pos="8640"/>
        <w:tab w:val="center" w:pos="720"/>
      </w:tabs>
      <w:spacing w:before="0" w:line="360" w:lineRule="auto"/>
      <w:ind w:firstLine="720"/>
      <w:jc w:val="left"/>
    </w:pPr>
    <w:rPr>
      <w:rFonts w:ascii="Arial" w:hAnsi="Arial" w:cs="Arial"/>
      <w:b/>
      <w:bCs/>
      <w:sz w:val="20"/>
      <w:lang w:val="en-US"/>
    </w:rPr>
  </w:style>
  <w:style w:type="table" w:customStyle="1" w:styleId="TableGrid1">
    <w:name w:val="Table Grid1"/>
    <w:basedOn w:val="TableNormal"/>
    <w:next w:val="TableGrid"/>
    <w:rsid w:val="00314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SectionChapterTitleSectionHeadingArticleHeadi">
    <w:name w:val="Style Heading 1SectionChapter TitleSection HeadingArticle Headi..."/>
    <w:basedOn w:val="Heading1"/>
    <w:autoRedefine/>
    <w:rsid w:val="003147B8"/>
    <w:pPr>
      <w:numPr>
        <w:numId w:val="4"/>
      </w:numPr>
      <w:tabs>
        <w:tab w:val="clear" w:pos="284"/>
        <w:tab w:val="left" w:pos="720"/>
      </w:tabs>
      <w:spacing w:before="180" w:after="120" w:line="240" w:lineRule="auto"/>
      <w:ind w:left="432" w:hanging="432"/>
      <w:jc w:val="left"/>
    </w:pPr>
    <w:rPr>
      <w:rFonts w:ascii="Georgia" w:hAnsi="Georgia" w:cs="Times New Roman"/>
      <w:caps w:val="0"/>
      <w:kern w:val="28"/>
      <w:sz w:val="36"/>
      <w:szCs w:val="20"/>
    </w:rPr>
  </w:style>
  <w:style w:type="paragraph" w:customStyle="1" w:styleId="Textocaratula">
    <w:name w:val="Texto caratula"/>
    <w:basedOn w:val="Normal"/>
    <w:rsid w:val="003147B8"/>
    <w:pPr>
      <w:spacing w:before="360" w:after="360" w:line="240" w:lineRule="auto"/>
      <w:jc w:val="center"/>
    </w:pPr>
    <w:rPr>
      <w:rFonts w:ascii="Verdana" w:hAnsi="Verdana"/>
      <w:b/>
      <w:caps/>
      <w:sz w:val="32"/>
      <w:szCs w:val="32"/>
      <w:lang w:eastAsia="es-ES"/>
    </w:rPr>
  </w:style>
  <w:style w:type="paragraph" w:customStyle="1" w:styleId="TtuloCentrado">
    <w:name w:val="Título Centrado"/>
    <w:basedOn w:val="Normal"/>
    <w:next w:val="Heading1"/>
    <w:rsid w:val="003147B8"/>
    <w:pPr>
      <w:spacing w:before="360" w:after="360" w:line="440" w:lineRule="exact"/>
      <w:jc w:val="center"/>
    </w:pPr>
    <w:rPr>
      <w:rFonts w:ascii="Verdana" w:hAnsi="Verdana"/>
      <w:b/>
      <w:caps/>
      <w:sz w:val="32"/>
      <w:szCs w:val="32"/>
      <w:u w:val="double"/>
      <w:lang w:eastAsia="es-ES"/>
    </w:rPr>
  </w:style>
  <w:style w:type="paragraph" w:customStyle="1" w:styleId="Listanumerada1">
    <w:name w:val="Lista numerada 1"/>
    <w:basedOn w:val="Normal"/>
    <w:rsid w:val="003147B8"/>
    <w:pPr>
      <w:spacing w:after="120" w:line="240" w:lineRule="auto"/>
      <w:ind w:left="1260" w:hanging="360"/>
    </w:pPr>
    <w:rPr>
      <w:rFonts w:ascii="Verdana" w:hAnsi="Verdana"/>
      <w:sz w:val="18"/>
      <w:szCs w:val="18"/>
      <w:lang w:eastAsia="es-ES"/>
    </w:rPr>
  </w:style>
  <w:style w:type="paragraph" w:customStyle="1" w:styleId="Listavietas1">
    <w:name w:val="Lista viñetas 1"/>
    <w:basedOn w:val="Normal"/>
    <w:rsid w:val="003147B8"/>
    <w:pPr>
      <w:spacing w:after="120" w:line="240" w:lineRule="auto"/>
      <w:ind w:left="720" w:hanging="360"/>
    </w:pPr>
    <w:rPr>
      <w:rFonts w:ascii="Verdana" w:hAnsi="Verdana"/>
      <w:sz w:val="18"/>
      <w:szCs w:val="18"/>
      <w:lang w:eastAsia="es-ES"/>
    </w:rPr>
  </w:style>
  <w:style w:type="paragraph" w:customStyle="1" w:styleId="Listanumerada2">
    <w:name w:val="Lista numerada 2"/>
    <w:basedOn w:val="Listanumerada1"/>
    <w:rsid w:val="003147B8"/>
  </w:style>
  <w:style w:type="paragraph" w:customStyle="1" w:styleId="Listaletras2">
    <w:name w:val="Lista letras 2"/>
    <w:basedOn w:val="Listaletra1"/>
    <w:rsid w:val="003147B8"/>
  </w:style>
  <w:style w:type="paragraph" w:customStyle="1" w:styleId="Listaletra1">
    <w:name w:val="Lista letra 1"/>
    <w:basedOn w:val="Normal"/>
    <w:rsid w:val="003147B8"/>
    <w:pPr>
      <w:tabs>
        <w:tab w:val="num" w:pos="284"/>
      </w:tabs>
      <w:spacing w:after="120" w:line="240" w:lineRule="auto"/>
      <w:ind w:left="284" w:hanging="284"/>
    </w:pPr>
    <w:rPr>
      <w:rFonts w:ascii="Verdana" w:hAnsi="Verdana"/>
      <w:sz w:val="18"/>
      <w:szCs w:val="18"/>
      <w:lang w:eastAsia="es-ES"/>
    </w:rPr>
  </w:style>
  <w:style w:type="paragraph" w:customStyle="1" w:styleId="Listavietas2">
    <w:name w:val="Lista viñetas 2"/>
    <w:basedOn w:val="Listavietas1"/>
    <w:rsid w:val="003147B8"/>
  </w:style>
  <w:style w:type="paragraph" w:customStyle="1" w:styleId="TtuloPortada">
    <w:name w:val="Título Portada"/>
    <w:basedOn w:val="Heading1"/>
    <w:rsid w:val="003147B8"/>
    <w:pPr>
      <w:keepLines/>
      <w:numPr>
        <w:numId w:val="0"/>
      </w:numPr>
      <w:spacing w:before="480" w:after="480" w:line="240" w:lineRule="auto"/>
      <w:ind w:left="432" w:hanging="432"/>
    </w:pPr>
    <w:rPr>
      <w:rFonts w:ascii="Verdana" w:hAnsi="Verdana" w:cs="Times New Roman"/>
      <w:color w:val="23348F"/>
      <w:kern w:val="0"/>
      <w:sz w:val="32"/>
      <w:lang w:eastAsia="es-ES"/>
    </w:rPr>
  </w:style>
  <w:style w:type="paragraph" w:customStyle="1" w:styleId="EstiloTtuloPortadaSinNegritaSinMaysculasAntes6pto">
    <w:name w:val="Estilo Título Portada + Sin Negrita Sin Mayúsculas Antes:  6 pto ..."/>
    <w:basedOn w:val="TtuloPortada"/>
    <w:rsid w:val="003147B8"/>
  </w:style>
  <w:style w:type="paragraph" w:customStyle="1" w:styleId="EstiloTtuloPortadaDespus6pto">
    <w:name w:val="Estilo Título Portada + Después:  6 pto"/>
    <w:basedOn w:val="TtuloPortada"/>
    <w:rsid w:val="003147B8"/>
  </w:style>
  <w:style w:type="character" w:styleId="LineNumber">
    <w:name w:val="line number"/>
    <w:basedOn w:val="DefaultParagraphFont"/>
    <w:rsid w:val="003147B8"/>
  </w:style>
  <w:style w:type="paragraph" w:styleId="IntenseQuote">
    <w:name w:val="Intense Quote"/>
    <w:basedOn w:val="Normal"/>
    <w:next w:val="Normal"/>
    <w:link w:val="IntenseQuoteChar"/>
    <w:uiPriority w:val="30"/>
    <w:qFormat/>
    <w:rsid w:val="003147B8"/>
    <w:pPr>
      <w:pBdr>
        <w:bottom w:val="single" w:sz="4" w:space="4" w:color="4F81BD"/>
      </w:pBdr>
      <w:spacing w:before="200" w:after="280" w:line="240" w:lineRule="auto"/>
      <w:ind w:left="936" w:right="936"/>
      <w:jc w:val="right"/>
    </w:pPr>
    <w:rPr>
      <w:rFonts w:eastAsia="Calibri"/>
      <w:b/>
      <w:bCs/>
      <w:i/>
      <w:iCs/>
      <w:color w:val="4F81BD"/>
      <w:sz w:val="22"/>
      <w:szCs w:val="22"/>
      <w:lang w:val="en-US"/>
    </w:rPr>
  </w:style>
  <w:style w:type="character" w:customStyle="1" w:styleId="IntenseQuoteChar">
    <w:name w:val="Intense Quote Char"/>
    <w:basedOn w:val="DefaultParagraphFont"/>
    <w:link w:val="IntenseQuote"/>
    <w:uiPriority w:val="30"/>
    <w:rsid w:val="003147B8"/>
    <w:rPr>
      <w:rFonts w:ascii="Calibri" w:eastAsia="Calibri" w:hAnsi="Calibri"/>
      <w:b/>
      <w:bCs/>
      <w:i/>
      <w:iCs/>
      <w:color w:val="4F81BD"/>
      <w:sz w:val="22"/>
      <w:szCs w:val="22"/>
    </w:rPr>
  </w:style>
  <w:style w:type="paragraph" w:styleId="Subtitle">
    <w:name w:val="Subtitle"/>
    <w:basedOn w:val="Normal"/>
    <w:next w:val="Normal"/>
    <w:link w:val="SubtitleChar"/>
    <w:qFormat/>
    <w:rsid w:val="003147B8"/>
    <w:pPr>
      <w:spacing w:after="60" w:line="240" w:lineRule="auto"/>
      <w:jc w:val="center"/>
      <w:outlineLvl w:val="1"/>
    </w:pPr>
    <w:rPr>
      <w:rFonts w:ascii="Cambria" w:hAnsi="Cambria"/>
      <w:lang w:eastAsia="es-ES"/>
    </w:rPr>
  </w:style>
  <w:style w:type="character" w:customStyle="1" w:styleId="SubtitleChar">
    <w:name w:val="Subtitle Char"/>
    <w:basedOn w:val="DefaultParagraphFont"/>
    <w:link w:val="Subtitle"/>
    <w:rsid w:val="003147B8"/>
    <w:rPr>
      <w:rFonts w:ascii="Cambria" w:hAnsi="Cambria"/>
      <w:sz w:val="24"/>
      <w:szCs w:val="24"/>
      <w:lang w:val="en-GB" w:eastAsia="es-ES"/>
    </w:rPr>
  </w:style>
  <w:style w:type="character" w:styleId="IntenseReference">
    <w:name w:val="Intense Reference"/>
    <w:basedOn w:val="DefaultParagraphFont"/>
    <w:uiPriority w:val="32"/>
    <w:qFormat/>
    <w:rsid w:val="003147B8"/>
    <w:rPr>
      <w:b/>
      <w:bCs/>
      <w:smallCaps/>
      <w:color w:val="C0504D"/>
      <w:spacing w:val="5"/>
      <w:u w:val="single"/>
    </w:rPr>
  </w:style>
  <w:style w:type="paragraph" w:customStyle="1" w:styleId="u1">
    <w:name w:val="u1"/>
    <w:basedOn w:val="Normal"/>
    <w:link w:val="u1Char"/>
    <w:qFormat/>
    <w:rsid w:val="003147B8"/>
    <w:pPr>
      <w:spacing w:after="240" w:line="240" w:lineRule="auto"/>
    </w:pPr>
    <w:rPr>
      <w:rFonts w:ascii="Arial" w:hAnsi="Arial"/>
      <w:lang w:val="en-US"/>
    </w:rPr>
  </w:style>
  <w:style w:type="character" w:customStyle="1" w:styleId="u1Char">
    <w:name w:val="u1 Char"/>
    <w:basedOn w:val="BodyTextChar"/>
    <w:link w:val="u1"/>
    <w:rsid w:val="003147B8"/>
    <w:rPr>
      <w:rFonts w:ascii="Arial" w:hAnsi="Arial"/>
      <w:sz w:val="24"/>
      <w:szCs w:val="24"/>
      <w:lang w:val="en-GB"/>
    </w:rPr>
  </w:style>
  <w:style w:type="table" w:customStyle="1" w:styleId="TableGrid2">
    <w:name w:val="Table Grid2"/>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3147B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3147B8"/>
  </w:style>
  <w:style w:type="table" w:customStyle="1" w:styleId="TableGrid4">
    <w:name w:val="Table Grid4"/>
    <w:basedOn w:val="TableNormal"/>
    <w:next w:val="TableGrid"/>
    <w:uiPriority w:val="59"/>
    <w:rsid w:val="003147B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4065">
    <w:name w:val="xl406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66">
    <w:name w:val="xl4066"/>
    <w:basedOn w:val="Normal"/>
    <w:rsid w:val="0062331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hAnsi="Times New Roman"/>
      <w:b/>
      <w:bCs/>
      <w:lang w:val="en-US"/>
    </w:rPr>
  </w:style>
  <w:style w:type="paragraph" w:customStyle="1" w:styleId="xl4067">
    <w:name w:val="xl406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68">
    <w:name w:val="xl406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lang w:val="en-US"/>
    </w:rPr>
  </w:style>
  <w:style w:type="paragraph" w:customStyle="1" w:styleId="xl4069">
    <w:name w:val="xl4069"/>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lang w:val="en-US"/>
    </w:rPr>
  </w:style>
  <w:style w:type="paragraph" w:customStyle="1" w:styleId="xl4070">
    <w:name w:val="xl4070"/>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1">
    <w:name w:val="xl4071"/>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2">
    <w:name w:val="xl407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lang w:val="en-US"/>
    </w:rPr>
  </w:style>
  <w:style w:type="paragraph" w:customStyle="1" w:styleId="xl4073">
    <w:name w:val="xl407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74">
    <w:name w:val="xl407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5">
    <w:name w:val="xl4075"/>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6">
    <w:name w:val="xl4076"/>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7">
    <w:name w:val="xl4077"/>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78">
    <w:name w:val="xl4078"/>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79">
    <w:name w:val="xl4079"/>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0">
    <w:name w:val="xl4080"/>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1">
    <w:name w:val="xl4081"/>
    <w:basedOn w:val="Normal"/>
    <w:rsid w:val="006233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2">
    <w:name w:val="xl4082"/>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lang w:val="en-US"/>
    </w:rPr>
  </w:style>
  <w:style w:type="paragraph" w:customStyle="1" w:styleId="xl4083">
    <w:name w:val="xl4083"/>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hAnsi="Times New Roman"/>
      <w:b/>
      <w:bCs/>
      <w:lang w:val="en-US"/>
    </w:rPr>
  </w:style>
  <w:style w:type="paragraph" w:customStyle="1" w:styleId="xl4084">
    <w:name w:val="xl4084"/>
    <w:basedOn w:val="Normal"/>
    <w:rsid w:val="0062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b/>
      <w:bCs/>
      <w:lang w:val="en-US"/>
    </w:rPr>
  </w:style>
  <w:style w:type="paragraph" w:customStyle="1" w:styleId="xl4085">
    <w:name w:val="xl4085"/>
    <w:basedOn w:val="Normal"/>
    <w:rsid w:val="006233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6">
    <w:name w:val="xl4086"/>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pPr>
    <w:rPr>
      <w:rFonts w:ascii="Times New Roman" w:hAnsi="Times New Roman"/>
      <w:lang w:val="en-US"/>
    </w:rPr>
  </w:style>
  <w:style w:type="paragraph" w:customStyle="1" w:styleId="xl4087">
    <w:name w:val="xl4087"/>
    <w:basedOn w:val="Normal"/>
    <w:rsid w:val="00794E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top"/>
    </w:pPr>
    <w:rPr>
      <w:rFonts w:ascii="Times New Roman" w:hAnsi="Times New Roman"/>
      <w:lang w:val="en-US"/>
    </w:rPr>
  </w:style>
  <w:style w:type="paragraph" w:customStyle="1" w:styleId="xl4088">
    <w:name w:val="xl4088"/>
    <w:basedOn w:val="Normal"/>
    <w:rsid w:val="00794E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hAnsi="Times New Roman"/>
      <w:b/>
      <w:bCs/>
      <w:lang w:val="en-US"/>
    </w:rPr>
  </w:style>
  <w:style w:type="paragraph" w:customStyle="1" w:styleId="xl4089">
    <w:name w:val="xl4089"/>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lang w:val="en-IN" w:eastAsia="en-IN"/>
    </w:rPr>
  </w:style>
  <w:style w:type="paragraph" w:customStyle="1" w:styleId="xl4090">
    <w:name w:val="xl4090"/>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1">
    <w:name w:val="xl4091"/>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right"/>
      <w:textAlignment w:val="top"/>
    </w:pPr>
    <w:rPr>
      <w:rFonts w:ascii="Times New Roman" w:hAnsi="Times New Roman"/>
      <w:lang w:val="en-IN" w:eastAsia="en-IN"/>
    </w:rPr>
  </w:style>
  <w:style w:type="paragraph" w:customStyle="1" w:styleId="xl4092">
    <w:name w:val="xl4092"/>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pPr>
    <w:rPr>
      <w:rFonts w:ascii="Times New Roman" w:hAnsi="Times New Roman"/>
      <w:b/>
      <w:bCs/>
      <w:lang w:val="en-IN" w:eastAsia="en-IN"/>
    </w:rPr>
  </w:style>
  <w:style w:type="paragraph" w:customStyle="1" w:styleId="xl4093">
    <w:name w:val="xl4093"/>
    <w:basedOn w:val="Normal"/>
    <w:rsid w:val="00C34658"/>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left"/>
      <w:textAlignment w:val="top"/>
    </w:pPr>
    <w:rPr>
      <w:rFonts w:ascii="Times New Roman" w:hAnsi="Times New Roman"/>
      <w:b/>
      <w:bCs/>
      <w:lang w:val="en-IN" w:eastAsia="en-IN"/>
    </w:rPr>
  </w:style>
  <w:style w:type="numbering" w:customStyle="1" w:styleId="NoList3">
    <w:name w:val="No List3"/>
    <w:next w:val="NoList"/>
    <w:uiPriority w:val="99"/>
    <w:semiHidden/>
    <w:unhideWhenUsed/>
    <w:rsid w:val="00C34658"/>
  </w:style>
  <w:style w:type="table" w:customStyle="1" w:styleId="TableGrid5">
    <w:name w:val="Table Grid5"/>
    <w:basedOn w:val="TableNormal"/>
    <w:next w:val="TableGrid"/>
    <w:uiPriority w:val="59"/>
    <w:rsid w:val="00C3465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1830">
      <w:bodyDiv w:val="1"/>
      <w:marLeft w:val="0"/>
      <w:marRight w:val="0"/>
      <w:marTop w:val="0"/>
      <w:marBottom w:val="0"/>
      <w:divBdr>
        <w:top w:val="none" w:sz="0" w:space="0" w:color="auto"/>
        <w:left w:val="none" w:sz="0" w:space="0" w:color="auto"/>
        <w:bottom w:val="none" w:sz="0" w:space="0" w:color="auto"/>
        <w:right w:val="none" w:sz="0" w:space="0" w:color="auto"/>
      </w:divBdr>
    </w:div>
    <w:div w:id="1788530">
      <w:bodyDiv w:val="1"/>
      <w:marLeft w:val="0"/>
      <w:marRight w:val="0"/>
      <w:marTop w:val="0"/>
      <w:marBottom w:val="0"/>
      <w:divBdr>
        <w:top w:val="none" w:sz="0" w:space="0" w:color="auto"/>
        <w:left w:val="none" w:sz="0" w:space="0" w:color="auto"/>
        <w:bottom w:val="none" w:sz="0" w:space="0" w:color="auto"/>
        <w:right w:val="none" w:sz="0" w:space="0" w:color="auto"/>
      </w:divBdr>
    </w:div>
    <w:div w:id="4022720">
      <w:bodyDiv w:val="1"/>
      <w:marLeft w:val="0"/>
      <w:marRight w:val="0"/>
      <w:marTop w:val="0"/>
      <w:marBottom w:val="0"/>
      <w:divBdr>
        <w:top w:val="none" w:sz="0" w:space="0" w:color="auto"/>
        <w:left w:val="none" w:sz="0" w:space="0" w:color="auto"/>
        <w:bottom w:val="none" w:sz="0" w:space="0" w:color="auto"/>
        <w:right w:val="none" w:sz="0" w:space="0" w:color="auto"/>
      </w:divBdr>
    </w:div>
    <w:div w:id="4138222">
      <w:bodyDiv w:val="1"/>
      <w:marLeft w:val="0"/>
      <w:marRight w:val="0"/>
      <w:marTop w:val="0"/>
      <w:marBottom w:val="0"/>
      <w:divBdr>
        <w:top w:val="none" w:sz="0" w:space="0" w:color="auto"/>
        <w:left w:val="none" w:sz="0" w:space="0" w:color="auto"/>
        <w:bottom w:val="none" w:sz="0" w:space="0" w:color="auto"/>
        <w:right w:val="none" w:sz="0" w:space="0" w:color="auto"/>
      </w:divBdr>
    </w:div>
    <w:div w:id="4522817">
      <w:bodyDiv w:val="1"/>
      <w:marLeft w:val="0"/>
      <w:marRight w:val="0"/>
      <w:marTop w:val="0"/>
      <w:marBottom w:val="0"/>
      <w:divBdr>
        <w:top w:val="none" w:sz="0" w:space="0" w:color="auto"/>
        <w:left w:val="none" w:sz="0" w:space="0" w:color="auto"/>
        <w:bottom w:val="none" w:sz="0" w:space="0" w:color="auto"/>
        <w:right w:val="none" w:sz="0" w:space="0" w:color="auto"/>
      </w:divBdr>
    </w:div>
    <w:div w:id="5249172">
      <w:bodyDiv w:val="1"/>
      <w:marLeft w:val="0"/>
      <w:marRight w:val="0"/>
      <w:marTop w:val="0"/>
      <w:marBottom w:val="0"/>
      <w:divBdr>
        <w:top w:val="none" w:sz="0" w:space="0" w:color="auto"/>
        <w:left w:val="none" w:sz="0" w:space="0" w:color="auto"/>
        <w:bottom w:val="none" w:sz="0" w:space="0" w:color="auto"/>
        <w:right w:val="none" w:sz="0" w:space="0" w:color="auto"/>
      </w:divBdr>
    </w:div>
    <w:div w:id="5863618">
      <w:bodyDiv w:val="1"/>
      <w:marLeft w:val="0"/>
      <w:marRight w:val="0"/>
      <w:marTop w:val="0"/>
      <w:marBottom w:val="0"/>
      <w:divBdr>
        <w:top w:val="none" w:sz="0" w:space="0" w:color="auto"/>
        <w:left w:val="none" w:sz="0" w:space="0" w:color="auto"/>
        <w:bottom w:val="none" w:sz="0" w:space="0" w:color="auto"/>
        <w:right w:val="none" w:sz="0" w:space="0" w:color="auto"/>
      </w:divBdr>
    </w:div>
    <w:div w:id="12149683">
      <w:bodyDiv w:val="1"/>
      <w:marLeft w:val="0"/>
      <w:marRight w:val="0"/>
      <w:marTop w:val="0"/>
      <w:marBottom w:val="0"/>
      <w:divBdr>
        <w:top w:val="none" w:sz="0" w:space="0" w:color="auto"/>
        <w:left w:val="none" w:sz="0" w:space="0" w:color="auto"/>
        <w:bottom w:val="none" w:sz="0" w:space="0" w:color="auto"/>
        <w:right w:val="none" w:sz="0" w:space="0" w:color="auto"/>
      </w:divBdr>
    </w:div>
    <w:div w:id="18704891">
      <w:bodyDiv w:val="1"/>
      <w:marLeft w:val="0"/>
      <w:marRight w:val="0"/>
      <w:marTop w:val="0"/>
      <w:marBottom w:val="0"/>
      <w:divBdr>
        <w:top w:val="none" w:sz="0" w:space="0" w:color="auto"/>
        <w:left w:val="none" w:sz="0" w:space="0" w:color="auto"/>
        <w:bottom w:val="none" w:sz="0" w:space="0" w:color="auto"/>
        <w:right w:val="none" w:sz="0" w:space="0" w:color="auto"/>
      </w:divBdr>
    </w:div>
    <w:div w:id="22634623">
      <w:bodyDiv w:val="1"/>
      <w:marLeft w:val="0"/>
      <w:marRight w:val="0"/>
      <w:marTop w:val="0"/>
      <w:marBottom w:val="0"/>
      <w:divBdr>
        <w:top w:val="none" w:sz="0" w:space="0" w:color="auto"/>
        <w:left w:val="none" w:sz="0" w:space="0" w:color="auto"/>
        <w:bottom w:val="none" w:sz="0" w:space="0" w:color="auto"/>
        <w:right w:val="none" w:sz="0" w:space="0" w:color="auto"/>
      </w:divBdr>
    </w:div>
    <w:div w:id="53163653">
      <w:bodyDiv w:val="1"/>
      <w:marLeft w:val="0"/>
      <w:marRight w:val="0"/>
      <w:marTop w:val="0"/>
      <w:marBottom w:val="0"/>
      <w:divBdr>
        <w:top w:val="none" w:sz="0" w:space="0" w:color="auto"/>
        <w:left w:val="none" w:sz="0" w:space="0" w:color="auto"/>
        <w:bottom w:val="none" w:sz="0" w:space="0" w:color="auto"/>
        <w:right w:val="none" w:sz="0" w:space="0" w:color="auto"/>
      </w:divBdr>
    </w:div>
    <w:div w:id="53628857">
      <w:bodyDiv w:val="1"/>
      <w:marLeft w:val="0"/>
      <w:marRight w:val="0"/>
      <w:marTop w:val="0"/>
      <w:marBottom w:val="0"/>
      <w:divBdr>
        <w:top w:val="none" w:sz="0" w:space="0" w:color="auto"/>
        <w:left w:val="none" w:sz="0" w:space="0" w:color="auto"/>
        <w:bottom w:val="none" w:sz="0" w:space="0" w:color="auto"/>
        <w:right w:val="none" w:sz="0" w:space="0" w:color="auto"/>
      </w:divBdr>
    </w:div>
    <w:div w:id="55668793">
      <w:bodyDiv w:val="1"/>
      <w:marLeft w:val="0"/>
      <w:marRight w:val="0"/>
      <w:marTop w:val="0"/>
      <w:marBottom w:val="0"/>
      <w:divBdr>
        <w:top w:val="none" w:sz="0" w:space="0" w:color="auto"/>
        <w:left w:val="none" w:sz="0" w:space="0" w:color="auto"/>
        <w:bottom w:val="none" w:sz="0" w:space="0" w:color="auto"/>
        <w:right w:val="none" w:sz="0" w:space="0" w:color="auto"/>
      </w:divBdr>
    </w:div>
    <w:div w:id="60905184">
      <w:bodyDiv w:val="1"/>
      <w:marLeft w:val="0"/>
      <w:marRight w:val="0"/>
      <w:marTop w:val="0"/>
      <w:marBottom w:val="0"/>
      <w:divBdr>
        <w:top w:val="none" w:sz="0" w:space="0" w:color="auto"/>
        <w:left w:val="none" w:sz="0" w:space="0" w:color="auto"/>
        <w:bottom w:val="none" w:sz="0" w:space="0" w:color="auto"/>
        <w:right w:val="none" w:sz="0" w:space="0" w:color="auto"/>
      </w:divBdr>
    </w:div>
    <w:div w:id="63727086">
      <w:bodyDiv w:val="1"/>
      <w:marLeft w:val="0"/>
      <w:marRight w:val="0"/>
      <w:marTop w:val="0"/>
      <w:marBottom w:val="0"/>
      <w:divBdr>
        <w:top w:val="none" w:sz="0" w:space="0" w:color="auto"/>
        <w:left w:val="none" w:sz="0" w:space="0" w:color="auto"/>
        <w:bottom w:val="none" w:sz="0" w:space="0" w:color="auto"/>
        <w:right w:val="none" w:sz="0" w:space="0" w:color="auto"/>
      </w:divBdr>
    </w:div>
    <w:div w:id="69543697">
      <w:bodyDiv w:val="1"/>
      <w:marLeft w:val="0"/>
      <w:marRight w:val="0"/>
      <w:marTop w:val="0"/>
      <w:marBottom w:val="0"/>
      <w:divBdr>
        <w:top w:val="none" w:sz="0" w:space="0" w:color="auto"/>
        <w:left w:val="none" w:sz="0" w:space="0" w:color="auto"/>
        <w:bottom w:val="none" w:sz="0" w:space="0" w:color="auto"/>
        <w:right w:val="none" w:sz="0" w:space="0" w:color="auto"/>
      </w:divBdr>
    </w:div>
    <w:div w:id="72052952">
      <w:bodyDiv w:val="1"/>
      <w:marLeft w:val="0"/>
      <w:marRight w:val="0"/>
      <w:marTop w:val="0"/>
      <w:marBottom w:val="0"/>
      <w:divBdr>
        <w:top w:val="none" w:sz="0" w:space="0" w:color="auto"/>
        <w:left w:val="none" w:sz="0" w:space="0" w:color="auto"/>
        <w:bottom w:val="none" w:sz="0" w:space="0" w:color="auto"/>
        <w:right w:val="none" w:sz="0" w:space="0" w:color="auto"/>
      </w:divBdr>
    </w:div>
    <w:div w:id="75130734">
      <w:bodyDiv w:val="1"/>
      <w:marLeft w:val="0"/>
      <w:marRight w:val="0"/>
      <w:marTop w:val="0"/>
      <w:marBottom w:val="0"/>
      <w:divBdr>
        <w:top w:val="none" w:sz="0" w:space="0" w:color="auto"/>
        <w:left w:val="none" w:sz="0" w:space="0" w:color="auto"/>
        <w:bottom w:val="none" w:sz="0" w:space="0" w:color="auto"/>
        <w:right w:val="none" w:sz="0" w:space="0" w:color="auto"/>
      </w:divBdr>
    </w:div>
    <w:div w:id="78871840">
      <w:bodyDiv w:val="1"/>
      <w:marLeft w:val="0"/>
      <w:marRight w:val="0"/>
      <w:marTop w:val="0"/>
      <w:marBottom w:val="0"/>
      <w:divBdr>
        <w:top w:val="none" w:sz="0" w:space="0" w:color="auto"/>
        <w:left w:val="none" w:sz="0" w:space="0" w:color="auto"/>
        <w:bottom w:val="none" w:sz="0" w:space="0" w:color="auto"/>
        <w:right w:val="none" w:sz="0" w:space="0" w:color="auto"/>
      </w:divBdr>
    </w:div>
    <w:div w:id="79717382">
      <w:bodyDiv w:val="1"/>
      <w:marLeft w:val="0"/>
      <w:marRight w:val="0"/>
      <w:marTop w:val="0"/>
      <w:marBottom w:val="0"/>
      <w:divBdr>
        <w:top w:val="none" w:sz="0" w:space="0" w:color="auto"/>
        <w:left w:val="none" w:sz="0" w:space="0" w:color="auto"/>
        <w:bottom w:val="none" w:sz="0" w:space="0" w:color="auto"/>
        <w:right w:val="none" w:sz="0" w:space="0" w:color="auto"/>
      </w:divBdr>
    </w:div>
    <w:div w:id="79723660">
      <w:bodyDiv w:val="1"/>
      <w:marLeft w:val="0"/>
      <w:marRight w:val="0"/>
      <w:marTop w:val="0"/>
      <w:marBottom w:val="0"/>
      <w:divBdr>
        <w:top w:val="none" w:sz="0" w:space="0" w:color="auto"/>
        <w:left w:val="none" w:sz="0" w:space="0" w:color="auto"/>
        <w:bottom w:val="none" w:sz="0" w:space="0" w:color="auto"/>
        <w:right w:val="none" w:sz="0" w:space="0" w:color="auto"/>
      </w:divBdr>
    </w:div>
    <w:div w:id="87309956">
      <w:bodyDiv w:val="1"/>
      <w:marLeft w:val="0"/>
      <w:marRight w:val="0"/>
      <w:marTop w:val="0"/>
      <w:marBottom w:val="0"/>
      <w:divBdr>
        <w:top w:val="none" w:sz="0" w:space="0" w:color="auto"/>
        <w:left w:val="none" w:sz="0" w:space="0" w:color="auto"/>
        <w:bottom w:val="none" w:sz="0" w:space="0" w:color="auto"/>
        <w:right w:val="none" w:sz="0" w:space="0" w:color="auto"/>
      </w:divBdr>
    </w:div>
    <w:div w:id="95710115">
      <w:bodyDiv w:val="1"/>
      <w:marLeft w:val="0"/>
      <w:marRight w:val="0"/>
      <w:marTop w:val="0"/>
      <w:marBottom w:val="0"/>
      <w:divBdr>
        <w:top w:val="none" w:sz="0" w:space="0" w:color="auto"/>
        <w:left w:val="none" w:sz="0" w:space="0" w:color="auto"/>
        <w:bottom w:val="none" w:sz="0" w:space="0" w:color="auto"/>
        <w:right w:val="none" w:sz="0" w:space="0" w:color="auto"/>
      </w:divBdr>
    </w:div>
    <w:div w:id="96103545">
      <w:bodyDiv w:val="1"/>
      <w:marLeft w:val="0"/>
      <w:marRight w:val="0"/>
      <w:marTop w:val="0"/>
      <w:marBottom w:val="0"/>
      <w:divBdr>
        <w:top w:val="none" w:sz="0" w:space="0" w:color="auto"/>
        <w:left w:val="none" w:sz="0" w:space="0" w:color="auto"/>
        <w:bottom w:val="none" w:sz="0" w:space="0" w:color="auto"/>
        <w:right w:val="none" w:sz="0" w:space="0" w:color="auto"/>
      </w:divBdr>
    </w:div>
    <w:div w:id="96757484">
      <w:bodyDiv w:val="1"/>
      <w:marLeft w:val="0"/>
      <w:marRight w:val="0"/>
      <w:marTop w:val="0"/>
      <w:marBottom w:val="0"/>
      <w:divBdr>
        <w:top w:val="none" w:sz="0" w:space="0" w:color="auto"/>
        <w:left w:val="none" w:sz="0" w:space="0" w:color="auto"/>
        <w:bottom w:val="none" w:sz="0" w:space="0" w:color="auto"/>
        <w:right w:val="none" w:sz="0" w:space="0" w:color="auto"/>
      </w:divBdr>
    </w:div>
    <w:div w:id="107556207">
      <w:bodyDiv w:val="1"/>
      <w:marLeft w:val="0"/>
      <w:marRight w:val="0"/>
      <w:marTop w:val="0"/>
      <w:marBottom w:val="0"/>
      <w:divBdr>
        <w:top w:val="none" w:sz="0" w:space="0" w:color="auto"/>
        <w:left w:val="none" w:sz="0" w:space="0" w:color="auto"/>
        <w:bottom w:val="none" w:sz="0" w:space="0" w:color="auto"/>
        <w:right w:val="none" w:sz="0" w:space="0" w:color="auto"/>
      </w:divBdr>
    </w:div>
    <w:div w:id="111435799">
      <w:bodyDiv w:val="1"/>
      <w:marLeft w:val="0"/>
      <w:marRight w:val="0"/>
      <w:marTop w:val="0"/>
      <w:marBottom w:val="0"/>
      <w:divBdr>
        <w:top w:val="none" w:sz="0" w:space="0" w:color="auto"/>
        <w:left w:val="none" w:sz="0" w:space="0" w:color="auto"/>
        <w:bottom w:val="none" w:sz="0" w:space="0" w:color="auto"/>
        <w:right w:val="none" w:sz="0" w:space="0" w:color="auto"/>
      </w:divBdr>
    </w:div>
    <w:div w:id="112094324">
      <w:bodyDiv w:val="1"/>
      <w:marLeft w:val="0"/>
      <w:marRight w:val="0"/>
      <w:marTop w:val="0"/>
      <w:marBottom w:val="0"/>
      <w:divBdr>
        <w:top w:val="none" w:sz="0" w:space="0" w:color="auto"/>
        <w:left w:val="none" w:sz="0" w:space="0" w:color="auto"/>
        <w:bottom w:val="none" w:sz="0" w:space="0" w:color="auto"/>
        <w:right w:val="none" w:sz="0" w:space="0" w:color="auto"/>
      </w:divBdr>
    </w:div>
    <w:div w:id="116340828">
      <w:bodyDiv w:val="1"/>
      <w:marLeft w:val="0"/>
      <w:marRight w:val="0"/>
      <w:marTop w:val="0"/>
      <w:marBottom w:val="0"/>
      <w:divBdr>
        <w:top w:val="none" w:sz="0" w:space="0" w:color="auto"/>
        <w:left w:val="none" w:sz="0" w:space="0" w:color="auto"/>
        <w:bottom w:val="none" w:sz="0" w:space="0" w:color="auto"/>
        <w:right w:val="none" w:sz="0" w:space="0" w:color="auto"/>
      </w:divBdr>
    </w:div>
    <w:div w:id="120149135">
      <w:bodyDiv w:val="1"/>
      <w:marLeft w:val="0"/>
      <w:marRight w:val="0"/>
      <w:marTop w:val="0"/>
      <w:marBottom w:val="0"/>
      <w:divBdr>
        <w:top w:val="none" w:sz="0" w:space="0" w:color="auto"/>
        <w:left w:val="none" w:sz="0" w:space="0" w:color="auto"/>
        <w:bottom w:val="none" w:sz="0" w:space="0" w:color="auto"/>
        <w:right w:val="none" w:sz="0" w:space="0" w:color="auto"/>
      </w:divBdr>
    </w:div>
    <w:div w:id="122701153">
      <w:bodyDiv w:val="1"/>
      <w:marLeft w:val="0"/>
      <w:marRight w:val="0"/>
      <w:marTop w:val="0"/>
      <w:marBottom w:val="0"/>
      <w:divBdr>
        <w:top w:val="none" w:sz="0" w:space="0" w:color="auto"/>
        <w:left w:val="none" w:sz="0" w:space="0" w:color="auto"/>
        <w:bottom w:val="none" w:sz="0" w:space="0" w:color="auto"/>
        <w:right w:val="none" w:sz="0" w:space="0" w:color="auto"/>
      </w:divBdr>
    </w:div>
    <w:div w:id="125468284">
      <w:bodyDiv w:val="1"/>
      <w:marLeft w:val="0"/>
      <w:marRight w:val="0"/>
      <w:marTop w:val="0"/>
      <w:marBottom w:val="0"/>
      <w:divBdr>
        <w:top w:val="none" w:sz="0" w:space="0" w:color="auto"/>
        <w:left w:val="none" w:sz="0" w:space="0" w:color="auto"/>
        <w:bottom w:val="none" w:sz="0" w:space="0" w:color="auto"/>
        <w:right w:val="none" w:sz="0" w:space="0" w:color="auto"/>
      </w:divBdr>
    </w:div>
    <w:div w:id="130023867">
      <w:bodyDiv w:val="1"/>
      <w:marLeft w:val="0"/>
      <w:marRight w:val="0"/>
      <w:marTop w:val="0"/>
      <w:marBottom w:val="0"/>
      <w:divBdr>
        <w:top w:val="none" w:sz="0" w:space="0" w:color="auto"/>
        <w:left w:val="none" w:sz="0" w:space="0" w:color="auto"/>
        <w:bottom w:val="none" w:sz="0" w:space="0" w:color="auto"/>
        <w:right w:val="none" w:sz="0" w:space="0" w:color="auto"/>
      </w:divBdr>
    </w:div>
    <w:div w:id="130370908">
      <w:bodyDiv w:val="1"/>
      <w:marLeft w:val="0"/>
      <w:marRight w:val="0"/>
      <w:marTop w:val="0"/>
      <w:marBottom w:val="0"/>
      <w:divBdr>
        <w:top w:val="none" w:sz="0" w:space="0" w:color="auto"/>
        <w:left w:val="none" w:sz="0" w:space="0" w:color="auto"/>
        <w:bottom w:val="none" w:sz="0" w:space="0" w:color="auto"/>
        <w:right w:val="none" w:sz="0" w:space="0" w:color="auto"/>
      </w:divBdr>
    </w:div>
    <w:div w:id="130447214">
      <w:bodyDiv w:val="1"/>
      <w:marLeft w:val="0"/>
      <w:marRight w:val="0"/>
      <w:marTop w:val="0"/>
      <w:marBottom w:val="0"/>
      <w:divBdr>
        <w:top w:val="none" w:sz="0" w:space="0" w:color="auto"/>
        <w:left w:val="none" w:sz="0" w:space="0" w:color="auto"/>
        <w:bottom w:val="none" w:sz="0" w:space="0" w:color="auto"/>
        <w:right w:val="none" w:sz="0" w:space="0" w:color="auto"/>
      </w:divBdr>
    </w:div>
    <w:div w:id="135297495">
      <w:bodyDiv w:val="1"/>
      <w:marLeft w:val="0"/>
      <w:marRight w:val="0"/>
      <w:marTop w:val="0"/>
      <w:marBottom w:val="0"/>
      <w:divBdr>
        <w:top w:val="none" w:sz="0" w:space="0" w:color="auto"/>
        <w:left w:val="none" w:sz="0" w:space="0" w:color="auto"/>
        <w:bottom w:val="none" w:sz="0" w:space="0" w:color="auto"/>
        <w:right w:val="none" w:sz="0" w:space="0" w:color="auto"/>
      </w:divBdr>
    </w:div>
    <w:div w:id="146017566">
      <w:bodyDiv w:val="1"/>
      <w:marLeft w:val="0"/>
      <w:marRight w:val="0"/>
      <w:marTop w:val="0"/>
      <w:marBottom w:val="0"/>
      <w:divBdr>
        <w:top w:val="none" w:sz="0" w:space="0" w:color="auto"/>
        <w:left w:val="none" w:sz="0" w:space="0" w:color="auto"/>
        <w:bottom w:val="none" w:sz="0" w:space="0" w:color="auto"/>
        <w:right w:val="none" w:sz="0" w:space="0" w:color="auto"/>
      </w:divBdr>
    </w:div>
    <w:div w:id="148598977">
      <w:bodyDiv w:val="1"/>
      <w:marLeft w:val="0"/>
      <w:marRight w:val="0"/>
      <w:marTop w:val="0"/>
      <w:marBottom w:val="0"/>
      <w:divBdr>
        <w:top w:val="none" w:sz="0" w:space="0" w:color="auto"/>
        <w:left w:val="none" w:sz="0" w:space="0" w:color="auto"/>
        <w:bottom w:val="none" w:sz="0" w:space="0" w:color="auto"/>
        <w:right w:val="none" w:sz="0" w:space="0" w:color="auto"/>
      </w:divBdr>
    </w:div>
    <w:div w:id="149448415">
      <w:bodyDiv w:val="1"/>
      <w:marLeft w:val="0"/>
      <w:marRight w:val="0"/>
      <w:marTop w:val="0"/>
      <w:marBottom w:val="0"/>
      <w:divBdr>
        <w:top w:val="none" w:sz="0" w:space="0" w:color="auto"/>
        <w:left w:val="none" w:sz="0" w:space="0" w:color="auto"/>
        <w:bottom w:val="none" w:sz="0" w:space="0" w:color="auto"/>
        <w:right w:val="none" w:sz="0" w:space="0" w:color="auto"/>
      </w:divBdr>
    </w:div>
    <w:div w:id="154879768">
      <w:bodyDiv w:val="1"/>
      <w:marLeft w:val="0"/>
      <w:marRight w:val="0"/>
      <w:marTop w:val="0"/>
      <w:marBottom w:val="0"/>
      <w:divBdr>
        <w:top w:val="none" w:sz="0" w:space="0" w:color="auto"/>
        <w:left w:val="none" w:sz="0" w:space="0" w:color="auto"/>
        <w:bottom w:val="none" w:sz="0" w:space="0" w:color="auto"/>
        <w:right w:val="none" w:sz="0" w:space="0" w:color="auto"/>
      </w:divBdr>
    </w:div>
    <w:div w:id="158468270">
      <w:bodyDiv w:val="1"/>
      <w:marLeft w:val="0"/>
      <w:marRight w:val="0"/>
      <w:marTop w:val="0"/>
      <w:marBottom w:val="0"/>
      <w:divBdr>
        <w:top w:val="none" w:sz="0" w:space="0" w:color="auto"/>
        <w:left w:val="none" w:sz="0" w:space="0" w:color="auto"/>
        <w:bottom w:val="none" w:sz="0" w:space="0" w:color="auto"/>
        <w:right w:val="none" w:sz="0" w:space="0" w:color="auto"/>
      </w:divBdr>
    </w:div>
    <w:div w:id="160196059">
      <w:bodyDiv w:val="1"/>
      <w:marLeft w:val="0"/>
      <w:marRight w:val="0"/>
      <w:marTop w:val="0"/>
      <w:marBottom w:val="0"/>
      <w:divBdr>
        <w:top w:val="none" w:sz="0" w:space="0" w:color="auto"/>
        <w:left w:val="none" w:sz="0" w:space="0" w:color="auto"/>
        <w:bottom w:val="none" w:sz="0" w:space="0" w:color="auto"/>
        <w:right w:val="none" w:sz="0" w:space="0" w:color="auto"/>
      </w:divBdr>
    </w:div>
    <w:div w:id="160245723">
      <w:bodyDiv w:val="1"/>
      <w:marLeft w:val="0"/>
      <w:marRight w:val="0"/>
      <w:marTop w:val="0"/>
      <w:marBottom w:val="0"/>
      <w:divBdr>
        <w:top w:val="none" w:sz="0" w:space="0" w:color="auto"/>
        <w:left w:val="none" w:sz="0" w:space="0" w:color="auto"/>
        <w:bottom w:val="none" w:sz="0" w:space="0" w:color="auto"/>
        <w:right w:val="none" w:sz="0" w:space="0" w:color="auto"/>
      </w:divBdr>
    </w:div>
    <w:div w:id="172039504">
      <w:bodyDiv w:val="1"/>
      <w:marLeft w:val="0"/>
      <w:marRight w:val="0"/>
      <w:marTop w:val="0"/>
      <w:marBottom w:val="0"/>
      <w:divBdr>
        <w:top w:val="none" w:sz="0" w:space="0" w:color="auto"/>
        <w:left w:val="none" w:sz="0" w:space="0" w:color="auto"/>
        <w:bottom w:val="none" w:sz="0" w:space="0" w:color="auto"/>
        <w:right w:val="none" w:sz="0" w:space="0" w:color="auto"/>
      </w:divBdr>
    </w:div>
    <w:div w:id="192690562">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375124">
      <w:bodyDiv w:val="1"/>
      <w:marLeft w:val="0"/>
      <w:marRight w:val="0"/>
      <w:marTop w:val="0"/>
      <w:marBottom w:val="0"/>
      <w:divBdr>
        <w:top w:val="none" w:sz="0" w:space="0" w:color="auto"/>
        <w:left w:val="none" w:sz="0" w:space="0" w:color="auto"/>
        <w:bottom w:val="none" w:sz="0" w:space="0" w:color="auto"/>
        <w:right w:val="none" w:sz="0" w:space="0" w:color="auto"/>
      </w:divBdr>
    </w:div>
    <w:div w:id="209533804">
      <w:bodyDiv w:val="1"/>
      <w:marLeft w:val="0"/>
      <w:marRight w:val="0"/>
      <w:marTop w:val="0"/>
      <w:marBottom w:val="0"/>
      <w:divBdr>
        <w:top w:val="none" w:sz="0" w:space="0" w:color="auto"/>
        <w:left w:val="none" w:sz="0" w:space="0" w:color="auto"/>
        <w:bottom w:val="none" w:sz="0" w:space="0" w:color="auto"/>
        <w:right w:val="none" w:sz="0" w:space="0" w:color="auto"/>
      </w:divBdr>
    </w:div>
    <w:div w:id="213002388">
      <w:bodyDiv w:val="1"/>
      <w:marLeft w:val="0"/>
      <w:marRight w:val="0"/>
      <w:marTop w:val="0"/>
      <w:marBottom w:val="0"/>
      <w:divBdr>
        <w:top w:val="none" w:sz="0" w:space="0" w:color="auto"/>
        <w:left w:val="none" w:sz="0" w:space="0" w:color="auto"/>
        <w:bottom w:val="none" w:sz="0" w:space="0" w:color="auto"/>
        <w:right w:val="none" w:sz="0" w:space="0" w:color="auto"/>
      </w:divBdr>
    </w:div>
    <w:div w:id="213738432">
      <w:bodyDiv w:val="1"/>
      <w:marLeft w:val="0"/>
      <w:marRight w:val="0"/>
      <w:marTop w:val="0"/>
      <w:marBottom w:val="0"/>
      <w:divBdr>
        <w:top w:val="none" w:sz="0" w:space="0" w:color="auto"/>
        <w:left w:val="none" w:sz="0" w:space="0" w:color="auto"/>
        <w:bottom w:val="none" w:sz="0" w:space="0" w:color="auto"/>
        <w:right w:val="none" w:sz="0" w:space="0" w:color="auto"/>
      </w:divBdr>
    </w:div>
    <w:div w:id="215354855">
      <w:bodyDiv w:val="1"/>
      <w:marLeft w:val="0"/>
      <w:marRight w:val="0"/>
      <w:marTop w:val="0"/>
      <w:marBottom w:val="0"/>
      <w:divBdr>
        <w:top w:val="none" w:sz="0" w:space="0" w:color="auto"/>
        <w:left w:val="none" w:sz="0" w:space="0" w:color="auto"/>
        <w:bottom w:val="none" w:sz="0" w:space="0" w:color="auto"/>
        <w:right w:val="none" w:sz="0" w:space="0" w:color="auto"/>
      </w:divBdr>
    </w:div>
    <w:div w:id="219295834">
      <w:bodyDiv w:val="1"/>
      <w:marLeft w:val="0"/>
      <w:marRight w:val="0"/>
      <w:marTop w:val="0"/>
      <w:marBottom w:val="0"/>
      <w:divBdr>
        <w:top w:val="none" w:sz="0" w:space="0" w:color="auto"/>
        <w:left w:val="none" w:sz="0" w:space="0" w:color="auto"/>
        <w:bottom w:val="none" w:sz="0" w:space="0" w:color="auto"/>
        <w:right w:val="none" w:sz="0" w:space="0" w:color="auto"/>
      </w:divBdr>
    </w:div>
    <w:div w:id="222720553">
      <w:bodyDiv w:val="1"/>
      <w:marLeft w:val="0"/>
      <w:marRight w:val="0"/>
      <w:marTop w:val="0"/>
      <w:marBottom w:val="0"/>
      <w:divBdr>
        <w:top w:val="none" w:sz="0" w:space="0" w:color="auto"/>
        <w:left w:val="none" w:sz="0" w:space="0" w:color="auto"/>
        <w:bottom w:val="none" w:sz="0" w:space="0" w:color="auto"/>
        <w:right w:val="none" w:sz="0" w:space="0" w:color="auto"/>
      </w:divBdr>
    </w:div>
    <w:div w:id="225845649">
      <w:bodyDiv w:val="1"/>
      <w:marLeft w:val="0"/>
      <w:marRight w:val="0"/>
      <w:marTop w:val="0"/>
      <w:marBottom w:val="0"/>
      <w:divBdr>
        <w:top w:val="none" w:sz="0" w:space="0" w:color="auto"/>
        <w:left w:val="none" w:sz="0" w:space="0" w:color="auto"/>
        <w:bottom w:val="none" w:sz="0" w:space="0" w:color="auto"/>
        <w:right w:val="none" w:sz="0" w:space="0" w:color="auto"/>
      </w:divBdr>
    </w:div>
    <w:div w:id="228030768">
      <w:bodyDiv w:val="1"/>
      <w:marLeft w:val="0"/>
      <w:marRight w:val="0"/>
      <w:marTop w:val="0"/>
      <w:marBottom w:val="0"/>
      <w:divBdr>
        <w:top w:val="none" w:sz="0" w:space="0" w:color="auto"/>
        <w:left w:val="none" w:sz="0" w:space="0" w:color="auto"/>
        <w:bottom w:val="none" w:sz="0" w:space="0" w:color="auto"/>
        <w:right w:val="none" w:sz="0" w:space="0" w:color="auto"/>
      </w:divBdr>
    </w:div>
    <w:div w:id="228424680">
      <w:bodyDiv w:val="1"/>
      <w:marLeft w:val="0"/>
      <w:marRight w:val="0"/>
      <w:marTop w:val="0"/>
      <w:marBottom w:val="0"/>
      <w:divBdr>
        <w:top w:val="none" w:sz="0" w:space="0" w:color="auto"/>
        <w:left w:val="none" w:sz="0" w:space="0" w:color="auto"/>
        <w:bottom w:val="none" w:sz="0" w:space="0" w:color="auto"/>
        <w:right w:val="none" w:sz="0" w:space="0" w:color="auto"/>
      </w:divBdr>
    </w:div>
    <w:div w:id="231041193">
      <w:bodyDiv w:val="1"/>
      <w:marLeft w:val="0"/>
      <w:marRight w:val="0"/>
      <w:marTop w:val="0"/>
      <w:marBottom w:val="0"/>
      <w:divBdr>
        <w:top w:val="none" w:sz="0" w:space="0" w:color="auto"/>
        <w:left w:val="none" w:sz="0" w:space="0" w:color="auto"/>
        <w:bottom w:val="none" w:sz="0" w:space="0" w:color="auto"/>
        <w:right w:val="none" w:sz="0" w:space="0" w:color="auto"/>
      </w:divBdr>
    </w:div>
    <w:div w:id="241989811">
      <w:bodyDiv w:val="1"/>
      <w:marLeft w:val="0"/>
      <w:marRight w:val="0"/>
      <w:marTop w:val="0"/>
      <w:marBottom w:val="0"/>
      <w:divBdr>
        <w:top w:val="none" w:sz="0" w:space="0" w:color="auto"/>
        <w:left w:val="none" w:sz="0" w:space="0" w:color="auto"/>
        <w:bottom w:val="none" w:sz="0" w:space="0" w:color="auto"/>
        <w:right w:val="none" w:sz="0" w:space="0" w:color="auto"/>
      </w:divBdr>
    </w:div>
    <w:div w:id="243146159">
      <w:bodyDiv w:val="1"/>
      <w:marLeft w:val="0"/>
      <w:marRight w:val="0"/>
      <w:marTop w:val="0"/>
      <w:marBottom w:val="0"/>
      <w:divBdr>
        <w:top w:val="none" w:sz="0" w:space="0" w:color="auto"/>
        <w:left w:val="none" w:sz="0" w:space="0" w:color="auto"/>
        <w:bottom w:val="none" w:sz="0" w:space="0" w:color="auto"/>
        <w:right w:val="none" w:sz="0" w:space="0" w:color="auto"/>
      </w:divBdr>
    </w:div>
    <w:div w:id="252052694">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56670064">
      <w:bodyDiv w:val="1"/>
      <w:marLeft w:val="0"/>
      <w:marRight w:val="0"/>
      <w:marTop w:val="0"/>
      <w:marBottom w:val="0"/>
      <w:divBdr>
        <w:top w:val="none" w:sz="0" w:space="0" w:color="auto"/>
        <w:left w:val="none" w:sz="0" w:space="0" w:color="auto"/>
        <w:bottom w:val="none" w:sz="0" w:space="0" w:color="auto"/>
        <w:right w:val="none" w:sz="0" w:space="0" w:color="auto"/>
      </w:divBdr>
    </w:div>
    <w:div w:id="258410903">
      <w:bodyDiv w:val="1"/>
      <w:marLeft w:val="0"/>
      <w:marRight w:val="0"/>
      <w:marTop w:val="0"/>
      <w:marBottom w:val="0"/>
      <w:divBdr>
        <w:top w:val="none" w:sz="0" w:space="0" w:color="auto"/>
        <w:left w:val="none" w:sz="0" w:space="0" w:color="auto"/>
        <w:bottom w:val="none" w:sz="0" w:space="0" w:color="auto"/>
        <w:right w:val="none" w:sz="0" w:space="0" w:color="auto"/>
      </w:divBdr>
    </w:div>
    <w:div w:id="260914432">
      <w:bodyDiv w:val="1"/>
      <w:marLeft w:val="0"/>
      <w:marRight w:val="0"/>
      <w:marTop w:val="0"/>
      <w:marBottom w:val="0"/>
      <w:divBdr>
        <w:top w:val="none" w:sz="0" w:space="0" w:color="auto"/>
        <w:left w:val="none" w:sz="0" w:space="0" w:color="auto"/>
        <w:bottom w:val="none" w:sz="0" w:space="0" w:color="auto"/>
        <w:right w:val="none" w:sz="0" w:space="0" w:color="auto"/>
      </w:divBdr>
    </w:div>
    <w:div w:id="263853539">
      <w:bodyDiv w:val="1"/>
      <w:marLeft w:val="0"/>
      <w:marRight w:val="0"/>
      <w:marTop w:val="0"/>
      <w:marBottom w:val="0"/>
      <w:divBdr>
        <w:top w:val="none" w:sz="0" w:space="0" w:color="auto"/>
        <w:left w:val="none" w:sz="0" w:space="0" w:color="auto"/>
        <w:bottom w:val="none" w:sz="0" w:space="0" w:color="auto"/>
        <w:right w:val="none" w:sz="0" w:space="0" w:color="auto"/>
      </w:divBdr>
    </w:div>
    <w:div w:id="264582517">
      <w:bodyDiv w:val="1"/>
      <w:marLeft w:val="0"/>
      <w:marRight w:val="0"/>
      <w:marTop w:val="0"/>
      <w:marBottom w:val="0"/>
      <w:divBdr>
        <w:top w:val="none" w:sz="0" w:space="0" w:color="auto"/>
        <w:left w:val="none" w:sz="0" w:space="0" w:color="auto"/>
        <w:bottom w:val="none" w:sz="0" w:space="0" w:color="auto"/>
        <w:right w:val="none" w:sz="0" w:space="0" w:color="auto"/>
      </w:divBdr>
    </w:div>
    <w:div w:id="267398553">
      <w:bodyDiv w:val="1"/>
      <w:marLeft w:val="0"/>
      <w:marRight w:val="0"/>
      <w:marTop w:val="0"/>
      <w:marBottom w:val="0"/>
      <w:divBdr>
        <w:top w:val="none" w:sz="0" w:space="0" w:color="auto"/>
        <w:left w:val="none" w:sz="0" w:space="0" w:color="auto"/>
        <w:bottom w:val="none" w:sz="0" w:space="0" w:color="auto"/>
        <w:right w:val="none" w:sz="0" w:space="0" w:color="auto"/>
      </w:divBdr>
    </w:div>
    <w:div w:id="282350241">
      <w:bodyDiv w:val="1"/>
      <w:marLeft w:val="0"/>
      <w:marRight w:val="0"/>
      <w:marTop w:val="0"/>
      <w:marBottom w:val="0"/>
      <w:divBdr>
        <w:top w:val="none" w:sz="0" w:space="0" w:color="auto"/>
        <w:left w:val="none" w:sz="0" w:space="0" w:color="auto"/>
        <w:bottom w:val="none" w:sz="0" w:space="0" w:color="auto"/>
        <w:right w:val="none" w:sz="0" w:space="0" w:color="auto"/>
      </w:divBdr>
    </w:div>
    <w:div w:id="286474860">
      <w:bodyDiv w:val="1"/>
      <w:marLeft w:val="0"/>
      <w:marRight w:val="0"/>
      <w:marTop w:val="0"/>
      <w:marBottom w:val="0"/>
      <w:divBdr>
        <w:top w:val="none" w:sz="0" w:space="0" w:color="auto"/>
        <w:left w:val="none" w:sz="0" w:space="0" w:color="auto"/>
        <w:bottom w:val="none" w:sz="0" w:space="0" w:color="auto"/>
        <w:right w:val="none" w:sz="0" w:space="0" w:color="auto"/>
      </w:divBdr>
    </w:div>
    <w:div w:id="287706464">
      <w:bodyDiv w:val="1"/>
      <w:marLeft w:val="0"/>
      <w:marRight w:val="0"/>
      <w:marTop w:val="0"/>
      <w:marBottom w:val="0"/>
      <w:divBdr>
        <w:top w:val="none" w:sz="0" w:space="0" w:color="auto"/>
        <w:left w:val="none" w:sz="0" w:space="0" w:color="auto"/>
        <w:bottom w:val="none" w:sz="0" w:space="0" w:color="auto"/>
        <w:right w:val="none" w:sz="0" w:space="0" w:color="auto"/>
      </w:divBdr>
    </w:div>
    <w:div w:id="288438816">
      <w:bodyDiv w:val="1"/>
      <w:marLeft w:val="0"/>
      <w:marRight w:val="0"/>
      <w:marTop w:val="0"/>
      <w:marBottom w:val="0"/>
      <w:divBdr>
        <w:top w:val="none" w:sz="0" w:space="0" w:color="auto"/>
        <w:left w:val="none" w:sz="0" w:space="0" w:color="auto"/>
        <w:bottom w:val="none" w:sz="0" w:space="0" w:color="auto"/>
        <w:right w:val="none" w:sz="0" w:space="0" w:color="auto"/>
      </w:divBdr>
    </w:div>
    <w:div w:id="294259222">
      <w:bodyDiv w:val="1"/>
      <w:marLeft w:val="0"/>
      <w:marRight w:val="0"/>
      <w:marTop w:val="0"/>
      <w:marBottom w:val="0"/>
      <w:divBdr>
        <w:top w:val="none" w:sz="0" w:space="0" w:color="auto"/>
        <w:left w:val="none" w:sz="0" w:space="0" w:color="auto"/>
        <w:bottom w:val="none" w:sz="0" w:space="0" w:color="auto"/>
        <w:right w:val="none" w:sz="0" w:space="0" w:color="auto"/>
      </w:divBdr>
    </w:div>
    <w:div w:id="298458643">
      <w:bodyDiv w:val="1"/>
      <w:marLeft w:val="0"/>
      <w:marRight w:val="0"/>
      <w:marTop w:val="0"/>
      <w:marBottom w:val="0"/>
      <w:divBdr>
        <w:top w:val="none" w:sz="0" w:space="0" w:color="auto"/>
        <w:left w:val="none" w:sz="0" w:space="0" w:color="auto"/>
        <w:bottom w:val="none" w:sz="0" w:space="0" w:color="auto"/>
        <w:right w:val="none" w:sz="0" w:space="0" w:color="auto"/>
      </w:divBdr>
    </w:div>
    <w:div w:id="299045202">
      <w:bodyDiv w:val="1"/>
      <w:marLeft w:val="0"/>
      <w:marRight w:val="0"/>
      <w:marTop w:val="0"/>
      <w:marBottom w:val="0"/>
      <w:divBdr>
        <w:top w:val="none" w:sz="0" w:space="0" w:color="auto"/>
        <w:left w:val="none" w:sz="0" w:space="0" w:color="auto"/>
        <w:bottom w:val="none" w:sz="0" w:space="0" w:color="auto"/>
        <w:right w:val="none" w:sz="0" w:space="0" w:color="auto"/>
      </w:divBdr>
    </w:div>
    <w:div w:id="301422965">
      <w:bodyDiv w:val="1"/>
      <w:marLeft w:val="0"/>
      <w:marRight w:val="0"/>
      <w:marTop w:val="0"/>
      <w:marBottom w:val="0"/>
      <w:divBdr>
        <w:top w:val="none" w:sz="0" w:space="0" w:color="auto"/>
        <w:left w:val="none" w:sz="0" w:space="0" w:color="auto"/>
        <w:bottom w:val="none" w:sz="0" w:space="0" w:color="auto"/>
        <w:right w:val="none" w:sz="0" w:space="0" w:color="auto"/>
      </w:divBdr>
    </w:div>
    <w:div w:id="314577561">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17803684">
      <w:bodyDiv w:val="1"/>
      <w:marLeft w:val="0"/>
      <w:marRight w:val="0"/>
      <w:marTop w:val="0"/>
      <w:marBottom w:val="0"/>
      <w:divBdr>
        <w:top w:val="none" w:sz="0" w:space="0" w:color="auto"/>
        <w:left w:val="none" w:sz="0" w:space="0" w:color="auto"/>
        <w:bottom w:val="none" w:sz="0" w:space="0" w:color="auto"/>
        <w:right w:val="none" w:sz="0" w:space="0" w:color="auto"/>
      </w:divBdr>
    </w:div>
    <w:div w:id="328561666">
      <w:bodyDiv w:val="1"/>
      <w:marLeft w:val="0"/>
      <w:marRight w:val="0"/>
      <w:marTop w:val="0"/>
      <w:marBottom w:val="0"/>
      <w:divBdr>
        <w:top w:val="none" w:sz="0" w:space="0" w:color="auto"/>
        <w:left w:val="none" w:sz="0" w:space="0" w:color="auto"/>
        <w:bottom w:val="none" w:sz="0" w:space="0" w:color="auto"/>
        <w:right w:val="none" w:sz="0" w:space="0" w:color="auto"/>
      </w:divBdr>
    </w:div>
    <w:div w:id="329020132">
      <w:bodyDiv w:val="1"/>
      <w:marLeft w:val="0"/>
      <w:marRight w:val="0"/>
      <w:marTop w:val="0"/>
      <w:marBottom w:val="0"/>
      <w:divBdr>
        <w:top w:val="none" w:sz="0" w:space="0" w:color="auto"/>
        <w:left w:val="none" w:sz="0" w:space="0" w:color="auto"/>
        <w:bottom w:val="none" w:sz="0" w:space="0" w:color="auto"/>
        <w:right w:val="none" w:sz="0" w:space="0" w:color="auto"/>
      </w:divBdr>
    </w:div>
    <w:div w:id="334191911">
      <w:bodyDiv w:val="1"/>
      <w:marLeft w:val="0"/>
      <w:marRight w:val="0"/>
      <w:marTop w:val="0"/>
      <w:marBottom w:val="0"/>
      <w:divBdr>
        <w:top w:val="none" w:sz="0" w:space="0" w:color="auto"/>
        <w:left w:val="none" w:sz="0" w:space="0" w:color="auto"/>
        <w:bottom w:val="none" w:sz="0" w:space="0" w:color="auto"/>
        <w:right w:val="none" w:sz="0" w:space="0" w:color="auto"/>
      </w:divBdr>
    </w:div>
    <w:div w:id="334963116">
      <w:bodyDiv w:val="1"/>
      <w:marLeft w:val="0"/>
      <w:marRight w:val="0"/>
      <w:marTop w:val="0"/>
      <w:marBottom w:val="0"/>
      <w:divBdr>
        <w:top w:val="none" w:sz="0" w:space="0" w:color="auto"/>
        <w:left w:val="none" w:sz="0" w:space="0" w:color="auto"/>
        <w:bottom w:val="none" w:sz="0" w:space="0" w:color="auto"/>
        <w:right w:val="none" w:sz="0" w:space="0" w:color="auto"/>
      </w:divBdr>
    </w:div>
    <w:div w:id="338889724">
      <w:bodyDiv w:val="1"/>
      <w:marLeft w:val="0"/>
      <w:marRight w:val="0"/>
      <w:marTop w:val="0"/>
      <w:marBottom w:val="0"/>
      <w:divBdr>
        <w:top w:val="none" w:sz="0" w:space="0" w:color="auto"/>
        <w:left w:val="none" w:sz="0" w:space="0" w:color="auto"/>
        <w:bottom w:val="none" w:sz="0" w:space="0" w:color="auto"/>
        <w:right w:val="none" w:sz="0" w:space="0" w:color="auto"/>
      </w:divBdr>
    </w:div>
    <w:div w:id="340280114">
      <w:bodyDiv w:val="1"/>
      <w:marLeft w:val="0"/>
      <w:marRight w:val="0"/>
      <w:marTop w:val="0"/>
      <w:marBottom w:val="0"/>
      <w:divBdr>
        <w:top w:val="none" w:sz="0" w:space="0" w:color="auto"/>
        <w:left w:val="none" w:sz="0" w:space="0" w:color="auto"/>
        <w:bottom w:val="none" w:sz="0" w:space="0" w:color="auto"/>
        <w:right w:val="none" w:sz="0" w:space="0" w:color="auto"/>
      </w:divBdr>
    </w:div>
    <w:div w:id="344866540">
      <w:bodyDiv w:val="1"/>
      <w:marLeft w:val="0"/>
      <w:marRight w:val="0"/>
      <w:marTop w:val="0"/>
      <w:marBottom w:val="0"/>
      <w:divBdr>
        <w:top w:val="none" w:sz="0" w:space="0" w:color="auto"/>
        <w:left w:val="none" w:sz="0" w:space="0" w:color="auto"/>
        <w:bottom w:val="none" w:sz="0" w:space="0" w:color="auto"/>
        <w:right w:val="none" w:sz="0" w:space="0" w:color="auto"/>
      </w:divBdr>
    </w:div>
    <w:div w:id="350179868">
      <w:bodyDiv w:val="1"/>
      <w:marLeft w:val="0"/>
      <w:marRight w:val="0"/>
      <w:marTop w:val="0"/>
      <w:marBottom w:val="0"/>
      <w:divBdr>
        <w:top w:val="none" w:sz="0" w:space="0" w:color="auto"/>
        <w:left w:val="none" w:sz="0" w:space="0" w:color="auto"/>
        <w:bottom w:val="none" w:sz="0" w:space="0" w:color="auto"/>
        <w:right w:val="none" w:sz="0" w:space="0" w:color="auto"/>
      </w:divBdr>
    </w:div>
    <w:div w:id="357003526">
      <w:bodyDiv w:val="1"/>
      <w:marLeft w:val="0"/>
      <w:marRight w:val="0"/>
      <w:marTop w:val="0"/>
      <w:marBottom w:val="0"/>
      <w:divBdr>
        <w:top w:val="none" w:sz="0" w:space="0" w:color="auto"/>
        <w:left w:val="none" w:sz="0" w:space="0" w:color="auto"/>
        <w:bottom w:val="none" w:sz="0" w:space="0" w:color="auto"/>
        <w:right w:val="none" w:sz="0" w:space="0" w:color="auto"/>
      </w:divBdr>
    </w:div>
    <w:div w:id="365911523">
      <w:bodyDiv w:val="1"/>
      <w:marLeft w:val="0"/>
      <w:marRight w:val="0"/>
      <w:marTop w:val="0"/>
      <w:marBottom w:val="0"/>
      <w:divBdr>
        <w:top w:val="none" w:sz="0" w:space="0" w:color="auto"/>
        <w:left w:val="none" w:sz="0" w:space="0" w:color="auto"/>
        <w:bottom w:val="none" w:sz="0" w:space="0" w:color="auto"/>
        <w:right w:val="none" w:sz="0" w:space="0" w:color="auto"/>
      </w:divBdr>
    </w:div>
    <w:div w:id="367295247">
      <w:bodyDiv w:val="1"/>
      <w:marLeft w:val="0"/>
      <w:marRight w:val="0"/>
      <w:marTop w:val="0"/>
      <w:marBottom w:val="0"/>
      <w:divBdr>
        <w:top w:val="none" w:sz="0" w:space="0" w:color="auto"/>
        <w:left w:val="none" w:sz="0" w:space="0" w:color="auto"/>
        <w:bottom w:val="none" w:sz="0" w:space="0" w:color="auto"/>
        <w:right w:val="none" w:sz="0" w:space="0" w:color="auto"/>
      </w:divBdr>
    </w:div>
    <w:div w:id="369038703">
      <w:bodyDiv w:val="1"/>
      <w:marLeft w:val="0"/>
      <w:marRight w:val="0"/>
      <w:marTop w:val="0"/>
      <w:marBottom w:val="0"/>
      <w:divBdr>
        <w:top w:val="none" w:sz="0" w:space="0" w:color="auto"/>
        <w:left w:val="none" w:sz="0" w:space="0" w:color="auto"/>
        <w:bottom w:val="none" w:sz="0" w:space="0" w:color="auto"/>
        <w:right w:val="none" w:sz="0" w:space="0" w:color="auto"/>
      </w:divBdr>
    </w:div>
    <w:div w:id="374354495">
      <w:bodyDiv w:val="1"/>
      <w:marLeft w:val="0"/>
      <w:marRight w:val="0"/>
      <w:marTop w:val="0"/>
      <w:marBottom w:val="0"/>
      <w:divBdr>
        <w:top w:val="none" w:sz="0" w:space="0" w:color="auto"/>
        <w:left w:val="none" w:sz="0" w:space="0" w:color="auto"/>
        <w:bottom w:val="none" w:sz="0" w:space="0" w:color="auto"/>
        <w:right w:val="none" w:sz="0" w:space="0" w:color="auto"/>
      </w:divBdr>
    </w:div>
    <w:div w:id="374473524">
      <w:bodyDiv w:val="1"/>
      <w:marLeft w:val="0"/>
      <w:marRight w:val="0"/>
      <w:marTop w:val="0"/>
      <w:marBottom w:val="0"/>
      <w:divBdr>
        <w:top w:val="none" w:sz="0" w:space="0" w:color="auto"/>
        <w:left w:val="none" w:sz="0" w:space="0" w:color="auto"/>
        <w:bottom w:val="none" w:sz="0" w:space="0" w:color="auto"/>
        <w:right w:val="none" w:sz="0" w:space="0" w:color="auto"/>
      </w:divBdr>
    </w:div>
    <w:div w:id="374738064">
      <w:bodyDiv w:val="1"/>
      <w:marLeft w:val="0"/>
      <w:marRight w:val="0"/>
      <w:marTop w:val="0"/>
      <w:marBottom w:val="0"/>
      <w:divBdr>
        <w:top w:val="none" w:sz="0" w:space="0" w:color="auto"/>
        <w:left w:val="none" w:sz="0" w:space="0" w:color="auto"/>
        <w:bottom w:val="none" w:sz="0" w:space="0" w:color="auto"/>
        <w:right w:val="none" w:sz="0" w:space="0" w:color="auto"/>
      </w:divBdr>
    </w:div>
    <w:div w:id="379087386">
      <w:bodyDiv w:val="1"/>
      <w:marLeft w:val="0"/>
      <w:marRight w:val="0"/>
      <w:marTop w:val="0"/>
      <w:marBottom w:val="0"/>
      <w:divBdr>
        <w:top w:val="none" w:sz="0" w:space="0" w:color="auto"/>
        <w:left w:val="none" w:sz="0" w:space="0" w:color="auto"/>
        <w:bottom w:val="none" w:sz="0" w:space="0" w:color="auto"/>
        <w:right w:val="none" w:sz="0" w:space="0" w:color="auto"/>
      </w:divBdr>
    </w:div>
    <w:div w:id="384959302">
      <w:bodyDiv w:val="1"/>
      <w:marLeft w:val="0"/>
      <w:marRight w:val="0"/>
      <w:marTop w:val="0"/>
      <w:marBottom w:val="0"/>
      <w:divBdr>
        <w:top w:val="none" w:sz="0" w:space="0" w:color="auto"/>
        <w:left w:val="none" w:sz="0" w:space="0" w:color="auto"/>
        <w:bottom w:val="none" w:sz="0" w:space="0" w:color="auto"/>
        <w:right w:val="none" w:sz="0" w:space="0" w:color="auto"/>
      </w:divBdr>
    </w:div>
    <w:div w:id="387415474">
      <w:bodyDiv w:val="1"/>
      <w:marLeft w:val="0"/>
      <w:marRight w:val="0"/>
      <w:marTop w:val="0"/>
      <w:marBottom w:val="0"/>
      <w:divBdr>
        <w:top w:val="none" w:sz="0" w:space="0" w:color="auto"/>
        <w:left w:val="none" w:sz="0" w:space="0" w:color="auto"/>
        <w:bottom w:val="none" w:sz="0" w:space="0" w:color="auto"/>
        <w:right w:val="none" w:sz="0" w:space="0" w:color="auto"/>
      </w:divBdr>
    </w:div>
    <w:div w:id="389813067">
      <w:bodyDiv w:val="1"/>
      <w:marLeft w:val="0"/>
      <w:marRight w:val="0"/>
      <w:marTop w:val="0"/>
      <w:marBottom w:val="0"/>
      <w:divBdr>
        <w:top w:val="none" w:sz="0" w:space="0" w:color="auto"/>
        <w:left w:val="none" w:sz="0" w:space="0" w:color="auto"/>
        <w:bottom w:val="none" w:sz="0" w:space="0" w:color="auto"/>
        <w:right w:val="none" w:sz="0" w:space="0" w:color="auto"/>
      </w:divBdr>
    </w:div>
    <w:div w:id="403332604">
      <w:bodyDiv w:val="1"/>
      <w:marLeft w:val="0"/>
      <w:marRight w:val="0"/>
      <w:marTop w:val="0"/>
      <w:marBottom w:val="0"/>
      <w:divBdr>
        <w:top w:val="none" w:sz="0" w:space="0" w:color="auto"/>
        <w:left w:val="none" w:sz="0" w:space="0" w:color="auto"/>
        <w:bottom w:val="none" w:sz="0" w:space="0" w:color="auto"/>
        <w:right w:val="none" w:sz="0" w:space="0" w:color="auto"/>
      </w:divBdr>
    </w:div>
    <w:div w:id="404766439">
      <w:bodyDiv w:val="1"/>
      <w:marLeft w:val="0"/>
      <w:marRight w:val="0"/>
      <w:marTop w:val="0"/>
      <w:marBottom w:val="0"/>
      <w:divBdr>
        <w:top w:val="none" w:sz="0" w:space="0" w:color="auto"/>
        <w:left w:val="none" w:sz="0" w:space="0" w:color="auto"/>
        <w:bottom w:val="none" w:sz="0" w:space="0" w:color="auto"/>
        <w:right w:val="none" w:sz="0" w:space="0" w:color="auto"/>
      </w:divBdr>
    </w:div>
    <w:div w:id="407507189">
      <w:bodyDiv w:val="1"/>
      <w:marLeft w:val="0"/>
      <w:marRight w:val="0"/>
      <w:marTop w:val="0"/>
      <w:marBottom w:val="0"/>
      <w:divBdr>
        <w:top w:val="none" w:sz="0" w:space="0" w:color="auto"/>
        <w:left w:val="none" w:sz="0" w:space="0" w:color="auto"/>
        <w:bottom w:val="none" w:sz="0" w:space="0" w:color="auto"/>
        <w:right w:val="none" w:sz="0" w:space="0" w:color="auto"/>
      </w:divBdr>
    </w:div>
    <w:div w:id="412556524">
      <w:bodyDiv w:val="1"/>
      <w:marLeft w:val="0"/>
      <w:marRight w:val="0"/>
      <w:marTop w:val="0"/>
      <w:marBottom w:val="0"/>
      <w:divBdr>
        <w:top w:val="none" w:sz="0" w:space="0" w:color="auto"/>
        <w:left w:val="none" w:sz="0" w:space="0" w:color="auto"/>
        <w:bottom w:val="none" w:sz="0" w:space="0" w:color="auto"/>
        <w:right w:val="none" w:sz="0" w:space="0" w:color="auto"/>
      </w:divBdr>
    </w:div>
    <w:div w:id="428965010">
      <w:bodyDiv w:val="1"/>
      <w:marLeft w:val="0"/>
      <w:marRight w:val="0"/>
      <w:marTop w:val="0"/>
      <w:marBottom w:val="0"/>
      <w:divBdr>
        <w:top w:val="none" w:sz="0" w:space="0" w:color="auto"/>
        <w:left w:val="none" w:sz="0" w:space="0" w:color="auto"/>
        <w:bottom w:val="none" w:sz="0" w:space="0" w:color="auto"/>
        <w:right w:val="none" w:sz="0" w:space="0" w:color="auto"/>
      </w:divBdr>
    </w:div>
    <w:div w:id="431323514">
      <w:bodyDiv w:val="1"/>
      <w:marLeft w:val="0"/>
      <w:marRight w:val="0"/>
      <w:marTop w:val="0"/>
      <w:marBottom w:val="0"/>
      <w:divBdr>
        <w:top w:val="none" w:sz="0" w:space="0" w:color="auto"/>
        <w:left w:val="none" w:sz="0" w:space="0" w:color="auto"/>
        <w:bottom w:val="none" w:sz="0" w:space="0" w:color="auto"/>
        <w:right w:val="none" w:sz="0" w:space="0" w:color="auto"/>
      </w:divBdr>
    </w:div>
    <w:div w:id="431363326">
      <w:bodyDiv w:val="1"/>
      <w:marLeft w:val="0"/>
      <w:marRight w:val="0"/>
      <w:marTop w:val="0"/>
      <w:marBottom w:val="0"/>
      <w:divBdr>
        <w:top w:val="none" w:sz="0" w:space="0" w:color="auto"/>
        <w:left w:val="none" w:sz="0" w:space="0" w:color="auto"/>
        <w:bottom w:val="none" w:sz="0" w:space="0" w:color="auto"/>
        <w:right w:val="none" w:sz="0" w:space="0" w:color="auto"/>
      </w:divBdr>
      <w:divsChild>
        <w:div w:id="1137838245">
          <w:marLeft w:val="547"/>
          <w:marRight w:val="0"/>
          <w:marTop w:val="67"/>
          <w:marBottom w:val="0"/>
          <w:divBdr>
            <w:top w:val="none" w:sz="0" w:space="0" w:color="auto"/>
            <w:left w:val="none" w:sz="0" w:space="0" w:color="auto"/>
            <w:bottom w:val="none" w:sz="0" w:space="0" w:color="auto"/>
            <w:right w:val="none" w:sz="0" w:space="0" w:color="auto"/>
          </w:divBdr>
        </w:div>
      </w:divsChild>
    </w:div>
    <w:div w:id="444886435">
      <w:bodyDiv w:val="1"/>
      <w:marLeft w:val="0"/>
      <w:marRight w:val="0"/>
      <w:marTop w:val="0"/>
      <w:marBottom w:val="0"/>
      <w:divBdr>
        <w:top w:val="none" w:sz="0" w:space="0" w:color="auto"/>
        <w:left w:val="none" w:sz="0" w:space="0" w:color="auto"/>
        <w:bottom w:val="none" w:sz="0" w:space="0" w:color="auto"/>
        <w:right w:val="none" w:sz="0" w:space="0" w:color="auto"/>
      </w:divBdr>
    </w:div>
    <w:div w:id="450444505">
      <w:bodyDiv w:val="1"/>
      <w:marLeft w:val="0"/>
      <w:marRight w:val="0"/>
      <w:marTop w:val="0"/>
      <w:marBottom w:val="0"/>
      <w:divBdr>
        <w:top w:val="none" w:sz="0" w:space="0" w:color="auto"/>
        <w:left w:val="none" w:sz="0" w:space="0" w:color="auto"/>
        <w:bottom w:val="none" w:sz="0" w:space="0" w:color="auto"/>
        <w:right w:val="none" w:sz="0" w:space="0" w:color="auto"/>
      </w:divBdr>
    </w:div>
    <w:div w:id="452291739">
      <w:bodyDiv w:val="1"/>
      <w:marLeft w:val="0"/>
      <w:marRight w:val="0"/>
      <w:marTop w:val="0"/>
      <w:marBottom w:val="0"/>
      <w:divBdr>
        <w:top w:val="none" w:sz="0" w:space="0" w:color="auto"/>
        <w:left w:val="none" w:sz="0" w:space="0" w:color="auto"/>
        <w:bottom w:val="none" w:sz="0" w:space="0" w:color="auto"/>
        <w:right w:val="none" w:sz="0" w:space="0" w:color="auto"/>
      </w:divBdr>
    </w:div>
    <w:div w:id="456527707">
      <w:bodyDiv w:val="1"/>
      <w:marLeft w:val="0"/>
      <w:marRight w:val="0"/>
      <w:marTop w:val="0"/>
      <w:marBottom w:val="0"/>
      <w:divBdr>
        <w:top w:val="none" w:sz="0" w:space="0" w:color="auto"/>
        <w:left w:val="none" w:sz="0" w:space="0" w:color="auto"/>
        <w:bottom w:val="none" w:sz="0" w:space="0" w:color="auto"/>
        <w:right w:val="none" w:sz="0" w:space="0" w:color="auto"/>
      </w:divBdr>
    </w:div>
    <w:div w:id="457721620">
      <w:bodyDiv w:val="1"/>
      <w:marLeft w:val="0"/>
      <w:marRight w:val="0"/>
      <w:marTop w:val="0"/>
      <w:marBottom w:val="0"/>
      <w:divBdr>
        <w:top w:val="none" w:sz="0" w:space="0" w:color="auto"/>
        <w:left w:val="none" w:sz="0" w:space="0" w:color="auto"/>
        <w:bottom w:val="none" w:sz="0" w:space="0" w:color="auto"/>
        <w:right w:val="none" w:sz="0" w:space="0" w:color="auto"/>
      </w:divBdr>
    </w:div>
    <w:div w:id="464470223">
      <w:bodyDiv w:val="1"/>
      <w:marLeft w:val="0"/>
      <w:marRight w:val="0"/>
      <w:marTop w:val="0"/>
      <w:marBottom w:val="0"/>
      <w:divBdr>
        <w:top w:val="none" w:sz="0" w:space="0" w:color="auto"/>
        <w:left w:val="none" w:sz="0" w:space="0" w:color="auto"/>
        <w:bottom w:val="none" w:sz="0" w:space="0" w:color="auto"/>
        <w:right w:val="none" w:sz="0" w:space="0" w:color="auto"/>
      </w:divBdr>
    </w:div>
    <w:div w:id="465508420">
      <w:bodyDiv w:val="1"/>
      <w:marLeft w:val="0"/>
      <w:marRight w:val="0"/>
      <w:marTop w:val="0"/>
      <w:marBottom w:val="0"/>
      <w:divBdr>
        <w:top w:val="none" w:sz="0" w:space="0" w:color="auto"/>
        <w:left w:val="none" w:sz="0" w:space="0" w:color="auto"/>
        <w:bottom w:val="none" w:sz="0" w:space="0" w:color="auto"/>
        <w:right w:val="none" w:sz="0" w:space="0" w:color="auto"/>
      </w:divBdr>
    </w:div>
    <w:div w:id="470364485">
      <w:bodyDiv w:val="1"/>
      <w:marLeft w:val="0"/>
      <w:marRight w:val="0"/>
      <w:marTop w:val="0"/>
      <w:marBottom w:val="0"/>
      <w:divBdr>
        <w:top w:val="none" w:sz="0" w:space="0" w:color="auto"/>
        <w:left w:val="none" w:sz="0" w:space="0" w:color="auto"/>
        <w:bottom w:val="none" w:sz="0" w:space="0" w:color="auto"/>
        <w:right w:val="none" w:sz="0" w:space="0" w:color="auto"/>
      </w:divBdr>
    </w:div>
    <w:div w:id="470367630">
      <w:bodyDiv w:val="1"/>
      <w:marLeft w:val="0"/>
      <w:marRight w:val="0"/>
      <w:marTop w:val="0"/>
      <w:marBottom w:val="0"/>
      <w:divBdr>
        <w:top w:val="none" w:sz="0" w:space="0" w:color="auto"/>
        <w:left w:val="none" w:sz="0" w:space="0" w:color="auto"/>
        <w:bottom w:val="none" w:sz="0" w:space="0" w:color="auto"/>
        <w:right w:val="none" w:sz="0" w:space="0" w:color="auto"/>
      </w:divBdr>
    </w:div>
    <w:div w:id="472991297">
      <w:bodyDiv w:val="1"/>
      <w:marLeft w:val="0"/>
      <w:marRight w:val="0"/>
      <w:marTop w:val="0"/>
      <w:marBottom w:val="0"/>
      <w:divBdr>
        <w:top w:val="none" w:sz="0" w:space="0" w:color="auto"/>
        <w:left w:val="none" w:sz="0" w:space="0" w:color="auto"/>
        <w:bottom w:val="none" w:sz="0" w:space="0" w:color="auto"/>
        <w:right w:val="none" w:sz="0" w:space="0" w:color="auto"/>
      </w:divBdr>
    </w:div>
    <w:div w:id="474299781">
      <w:bodyDiv w:val="1"/>
      <w:marLeft w:val="0"/>
      <w:marRight w:val="0"/>
      <w:marTop w:val="0"/>
      <w:marBottom w:val="0"/>
      <w:divBdr>
        <w:top w:val="none" w:sz="0" w:space="0" w:color="auto"/>
        <w:left w:val="none" w:sz="0" w:space="0" w:color="auto"/>
        <w:bottom w:val="none" w:sz="0" w:space="0" w:color="auto"/>
        <w:right w:val="none" w:sz="0" w:space="0" w:color="auto"/>
      </w:divBdr>
    </w:div>
    <w:div w:id="480001506">
      <w:bodyDiv w:val="1"/>
      <w:marLeft w:val="0"/>
      <w:marRight w:val="0"/>
      <w:marTop w:val="0"/>
      <w:marBottom w:val="0"/>
      <w:divBdr>
        <w:top w:val="none" w:sz="0" w:space="0" w:color="auto"/>
        <w:left w:val="none" w:sz="0" w:space="0" w:color="auto"/>
        <w:bottom w:val="none" w:sz="0" w:space="0" w:color="auto"/>
        <w:right w:val="none" w:sz="0" w:space="0" w:color="auto"/>
      </w:divBdr>
    </w:div>
    <w:div w:id="480973249">
      <w:bodyDiv w:val="1"/>
      <w:marLeft w:val="0"/>
      <w:marRight w:val="0"/>
      <w:marTop w:val="0"/>
      <w:marBottom w:val="0"/>
      <w:divBdr>
        <w:top w:val="none" w:sz="0" w:space="0" w:color="auto"/>
        <w:left w:val="none" w:sz="0" w:space="0" w:color="auto"/>
        <w:bottom w:val="none" w:sz="0" w:space="0" w:color="auto"/>
        <w:right w:val="none" w:sz="0" w:space="0" w:color="auto"/>
      </w:divBdr>
    </w:div>
    <w:div w:id="487206259">
      <w:bodyDiv w:val="1"/>
      <w:marLeft w:val="0"/>
      <w:marRight w:val="0"/>
      <w:marTop w:val="0"/>
      <w:marBottom w:val="0"/>
      <w:divBdr>
        <w:top w:val="none" w:sz="0" w:space="0" w:color="auto"/>
        <w:left w:val="none" w:sz="0" w:space="0" w:color="auto"/>
        <w:bottom w:val="none" w:sz="0" w:space="0" w:color="auto"/>
        <w:right w:val="none" w:sz="0" w:space="0" w:color="auto"/>
      </w:divBdr>
    </w:div>
    <w:div w:id="490484304">
      <w:bodyDiv w:val="1"/>
      <w:marLeft w:val="0"/>
      <w:marRight w:val="0"/>
      <w:marTop w:val="0"/>
      <w:marBottom w:val="0"/>
      <w:divBdr>
        <w:top w:val="none" w:sz="0" w:space="0" w:color="auto"/>
        <w:left w:val="none" w:sz="0" w:space="0" w:color="auto"/>
        <w:bottom w:val="none" w:sz="0" w:space="0" w:color="auto"/>
        <w:right w:val="none" w:sz="0" w:space="0" w:color="auto"/>
      </w:divBdr>
    </w:div>
    <w:div w:id="494610511">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7411063">
      <w:bodyDiv w:val="1"/>
      <w:marLeft w:val="0"/>
      <w:marRight w:val="0"/>
      <w:marTop w:val="0"/>
      <w:marBottom w:val="0"/>
      <w:divBdr>
        <w:top w:val="none" w:sz="0" w:space="0" w:color="auto"/>
        <w:left w:val="none" w:sz="0" w:space="0" w:color="auto"/>
        <w:bottom w:val="none" w:sz="0" w:space="0" w:color="auto"/>
        <w:right w:val="none" w:sz="0" w:space="0" w:color="auto"/>
      </w:divBdr>
    </w:div>
    <w:div w:id="509032982">
      <w:bodyDiv w:val="1"/>
      <w:marLeft w:val="0"/>
      <w:marRight w:val="0"/>
      <w:marTop w:val="0"/>
      <w:marBottom w:val="0"/>
      <w:divBdr>
        <w:top w:val="none" w:sz="0" w:space="0" w:color="auto"/>
        <w:left w:val="none" w:sz="0" w:space="0" w:color="auto"/>
        <w:bottom w:val="none" w:sz="0" w:space="0" w:color="auto"/>
        <w:right w:val="none" w:sz="0" w:space="0" w:color="auto"/>
      </w:divBdr>
    </w:div>
    <w:div w:id="512837144">
      <w:bodyDiv w:val="1"/>
      <w:marLeft w:val="0"/>
      <w:marRight w:val="0"/>
      <w:marTop w:val="0"/>
      <w:marBottom w:val="0"/>
      <w:divBdr>
        <w:top w:val="none" w:sz="0" w:space="0" w:color="auto"/>
        <w:left w:val="none" w:sz="0" w:space="0" w:color="auto"/>
        <w:bottom w:val="none" w:sz="0" w:space="0" w:color="auto"/>
        <w:right w:val="none" w:sz="0" w:space="0" w:color="auto"/>
      </w:divBdr>
    </w:div>
    <w:div w:id="513882030">
      <w:bodyDiv w:val="1"/>
      <w:marLeft w:val="0"/>
      <w:marRight w:val="0"/>
      <w:marTop w:val="0"/>
      <w:marBottom w:val="0"/>
      <w:divBdr>
        <w:top w:val="none" w:sz="0" w:space="0" w:color="auto"/>
        <w:left w:val="none" w:sz="0" w:space="0" w:color="auto"/>
        <w:bottom w:val="none" w:sz="0" w:space="0" w:color="auto"/>
        <w:right w:val="none" w:sz="0" w:space="0" w:color="auto"/>
      </w:divBdr>
    </w:div>
    <w:div w:id="513962653">
      <w:bodyDiv w:val="1"/>
      <w:marLeft w:val="0"/>
      <w:marRight w:val="0"/>
      <w:marTop w:val="0"/>
      <w:marBottom w:val="0"/>
      <w:divBdr>
        <w:top w:val="none" w:sz="0" w:space="0" w:color="auto"/>
        <w:left w:val="none" w:sz="0" w:space="0" w:color="auto"/>
        <w:bottom w:val="none" w:sz="0" w:space="0" w:color="auto"/>
        <w:right w:val="none" w:sz="0" w:space="0" w:color="auto"/>
      </w:divBdr>
    </w:div>
    <w:div w:id="519970772">
      <w:bodyDiv w:val="1"/>
      <w:marLeft w:val="0"/>
      <w:marRight w:val="0"/>
      <w:marTop w:val="0"/>
      <w:marBottom w:val="0"/>
      <w:divBdr>
        <w:top w:val="none" w:sz="0" w:space="0" w:color="auto"/>
        <w:left w:val="none" w:sz="0" w:space="0" w:color="auto"/>
        <w:bottom w:val="none" w:sz="0" w:space="0" w:color="auto"/>
        <w:right w:val="none" w:sz="0" w:space="0" w:color="auto"/>
      </w:divBdr>
    </w:div>
    <w:div w:id="534931651">
      <w:bodyDiv w:val="1"/>
      <w:marLeft w:val="0"/>
      <w:marRight w:val="0"/>
      <w:marTop w:val="0"/>
      <w:marBottom w:val="0"/>
      <w:divBdr>
        <w:top w:val="none" w:sz="0" w:space="0" w:color="auto"/>
        <w:left w:val="none" w:sz="0" w:space="0" w:color="auto"/>
        <w:bottom w:val="none" w:sz="0" w:space="0" w:color="auto"/>
        <w:right w:val="none" w:sz="0" w:space="0" w:color="auto"/>
      </w:divBdr>
    </w:div>
    <w:div w:id="535168001">
      <w:bodyDiv w:val="1"/>
      <w:marLeft w:val="0"/>
      <w:marRight w:val="0"/>
      <w:marTop w:val="0"/>
      <w:marBottom w:val="0"/>
      <w:divBdr>
        <w:top w:val="none" w:sz="0" w:space="0" w:color="auto"/>
        <w:left w:val="none" w:sz="0" w:space="0" w:color="auto"/>
        <w:bottom w:val="none" w:sz="0" w:space="0" w:color="auto"/>
        <w:right w:val="none" w:sz="0" w:space="0" w:color="auto"/>
      </w:divBdr>
    </w:div>
    <w:div w:id="537426866">
      <w:bodyDiv w:val="1"/>
      <w:marLeft w:val="0"/>
      <w:marRight w:val="0"/>
      <w:marTop w:val="0"/>
      <w:marBottom w:val="0"/>
      <w:divBdr>
        <w:top w:val="none" w:sz="0" w:space="0" w:color="auto"/>
        <w:left w:val="none" w:sz="0" w:space="0" w:color="auto"/>
        <w:bottom w:val="none" w:sz="0" w:space="0" w:color="auto"/>
        <w:right w:val="none" w:sz="0" w:space="0" w:color="auto"/>
      </w:divBdr>
    </w:div>
    <w:div w:id="540017460">
      <w:bodyDiv w:val="1"/>
      <w:marLeft w:val="0"/>
      <w:marRight w:val="0"/>
      <w:marTop w:val="0"/>
      <w:marBottom w:val="0"/>
      <w:divBdr>
        <w:top w:val="none" w:sz="0" w:space="0" w:color="auto"/>
        <w:left w:val="none" w:sz="0" w:space="0" w:color="auto"/>
        <w:bottom w:val="none" w:sz="0" w:space="0" w:color="auto"/>
        <w:right w:val="none" w:sz="0" w:space="0" w:color="auto"/>
      </w:divBdr>
    </w:div>
    <w:div w:id="540439717">
      <w:bodyDiv w:val="1"/>
      <w:marLeft w:val="0"/>
      <w:marRight w:val="0"/>
      <w:marTop w:val="0"/>
      <w:marBottom w:val="0"/>
      <w:divBdr>
        <w:top w:val="none" w:sz="0" w:space="0" w:color="auto"/>
        <w:left w:val="none" w:sz="0" w:space="0" w:color="auto"/>
        <w:bottom w:val="none" w:sz="0" w:space="0" w:color="auto"/>
        <w:right w:val="none" w:sz="0" w:space="0" w:color="auto"/>
      </w:divBdr>
    </w:div>
    <w:div w:id="541677425">
      <w:bodyDiv w:val="1"/>
      <w:marLeft w:val="0"/>
      <w:marRight w:val="0"/>
      <w:marTop w:val="0"/>
      <w:marBottom w:val="0"/>
      <w:divBdr>
        <w:top w:val="none" w:sz="0" w:space="0" w:color="auto"/>
        <w:left w:val="none" w:sz="0" w:space="0" w:color="auto"/>
        <w:bottom w:val="none" w:sz="0" w:space="0" w:color="auto"/>
        <w:right w:val="none" w:sz="0" w:space="0" w:color="auto"/>
      </w:divBdr>
    </w:div>
    <w:div w:id="561672682">
      <w:bodyDiv w:val="1"/>
      <w:marLeft w:val="0"/>
      <w:marRight w:val="0"/>
      <w:marTop w:val="0"/>
      <w:marBottom w:val="0"/>
      <w:divBdr>
        <w:top w:val="none" w:sz="0" w:space="0" w:color="auto"/>
        <w:left w:val="none" w:sz="0" w:space="0" w:color="auto"/>
        <w:bottom w:val="none" w:sz="0" w:space="0" w:color="auto"/>
        <w:right w:val="none" w:sz="0" w:space="0" w:color="auto"/>
      </w:divBdr>
    </w:div>
    <w:div w:id="565385134">
      <w:bodyDiv w:val="1"/>
      <w:marLeft w:val="0"/>
      <w:marRight w:val="0"/>
      <w:marTop w:val="0"/>
      <w:marBottom w:val="0"/>
      <w:divBdr>
        <w:top w:val="none" w:sz="0" w:space="0" w:color="auto"/>
        <w:left w:val="none" w:sz="0" w:space="0" w:color="auto"/>
        <w:bottom w:val="none" w:sz="0" w:space="0" w:color="auto"/>
        <w:right w:val="none" w:sz="0" w:space="0" w:color="auto"/>
      </w:divBdr>
    </w:div>
    <w:div w:id="587421575">
      <w:bodyDiv w:val="1"/>
      <w:marLeft w:val="0"/>
      <w:marRight w:val="0"/>
      <w:marTop w:val="0"/>
      <w:marBottom w:val="0"/>
      <w:divBdr>
        <w:top w:val="none" w:sz="0" w:space="0" w:color="auto"/>
        <w:left w:val="none" w:sz="0" w:space="0" w:color="auto"/>
        <w:bottom w:val="none" w:sz="0" w:space="0" w:color="auto"/>
        <w:right w:val="none" w:sz="0" w:space="0" w:color="auto"/>
      </w:divBdr>
    </w:div>
    <w:div w:id="588461638">
      <w:bodyDiv w:val="1"/>
      <w:marLeft w:val="0"/>
      <w:marRight w:val="0"/>
      <w:marTop w:val="0"/>
      <w:marBottom w:val="0"/>
      <w:divBdr>
        <w:top w:val="none" w:sz="0" w:space="0" w:color="auto"/>
        <w:left w:val="none" w:sz="0" w:space="0" w:color="auto"/>
        <w:bottom w:val="none" w:sz="0" w:space="0" w:color="auto"/>
        <w:right w:val="none" w:sz="0" w:space="0" w:color="auto"/>
      </w:divBdr>
    </w:div>
    <w:div w:id="595477242">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598366456">
      <w:bodyDiv w:val="1"/>
      <w:marLeft w:val="0"/>
      <w:marRight w:val="0"/>
      <w:marTop w:val="0"/>
      <w:marBottom w:val="0"/>
      <w:divBdr>
        <w:top w:val="none" w:sz="0" w:space="0" w:color="auto"/>
        <w:left w:val="none" w:sz="0" w:space="0" w:color="auto"/>
        <w:bottom w:val="none" w:sz="0" w:space="0" w:color="auto"/>
        <w:right w:val="none" w:sz="0" w:space="0" w:color="auto"/>
      </w:divBdr>
    </w:div>
    <w:div w:id="604506395">
      <w:bodyDiv w:val="1"/>
      <w:marLeft w:val="0"/>
      <w:marRight w:val="0"/>
      <w:marTop w:val="0"/>
      <w:marBottom w:val="0"/>
      <w:divBdr>
        <w:top w:val="none" w:sz="0" w:space="0" w:color="auto"/>
        <w:left w:val="none" w:sz="0" w:space="0" w:color="auto"/>
        <w:bottom w:val="none" w:sz="0" w:space="0" w:color="auto"/>
        <w:right w:val="none" w:sz="0" w:space="0" w:color="auto"/>
      </w:divBdr>
    </w:div>
    <w:div w:id="612245852">
      <w:bodyDiv w:val="1"/>
      <w:marLeft w:val="0"/>
      <w:marRight w:val="0"/>
      <w:marTop w:val="0"/>
      <w:marBottom w:val="0"/>
      <w:divBdr>
        <w:top w:val="none" w:sz="0" w:space="0" w:color="auto"/>
        <w:left w:val="none" w:sz="0" w:space="0" w:color="auto"/>
        <w:bottom w:val="none" w:sz="0" w:space="0" w:color="auto"/>
        <w:right w:val="none" w:sz="0" w:space="0" w:color="auto"/>
      </w:divBdr>
    </w:div>
    <w:div w:id="621309520">
      <w:bodyDiv w:val="1"/>
      <w:marLeft w:val="0"/>
      <w:marRight w:val="0"/>
      <w:marTop w:val="0"/>
      <w:marBottom w:val="0"/>
      <w:divBdr>
        <w:top w:val="none" w:sz="0" w:space="0" w:color="auto"/>
        <w:left w:val="none" w:sz="0" w:space="0" w:color="auto"/>
        <w:bottom w:val="none" w:sz="0" w:space="0" w:color="auto"/>
        <w:right w:val="none" w:sz="0" w:space="0" w:color="auto"/>
      </w:divBdr>
    </w:div>
    <w:div w:id="625310357">
      <w:bodyDiv w:val="1"/>
      <w:marLeft w:val="0"/>
      <w:marRight w:val="0"/>
      <w:marTop w:val="0"/>
      <w:marBottom w:val="0"/>
      <w:divBdr>
        <w:top w:val="none" w:sz="0" w:space="0" w:color="auto"/>
        <w:left w:val="none" w:sz="0" w:space="0" w:color="auto"/>
        <w:bottom w:val="none" w:sz="0" w:space="0" w:color="auto"/>
        <w:right w:val="none" w:sz="0" w:space="0" w:color="auto"/>
      </w:divBdr>
    </w:div>
    <w:div w:id="625545983">
      <w:bodyDiv w:val="1"/>
      <w:marLeft w:val="0"/>
      <w:marRight w:val="0"/>
      <w:marTop w:val="0"/>
      <w:marBottom w:val="0"/>
      <w:divBdr>
        <w:top w:val="none" w:sz="0" w:space="0" w:color="auto"/>
        <w:left w:val="none" w:sz="0" w:space="0" w:color="auto"/>
        <w:bottom w:val="none" w:sz="0" w:space="0" w:color="auto"/>
        <w:right w:val="none" w:sz="0" w:space="0" w:color="auto"/>
      </w:divBdr>
    </w:div>
    <w:div w:id="632752436">
      <w:bodyDiv w:val="1"/>
      <w:marLeft w:val="0"/>
      <w:marRight w:val="0"/>
      <w:marTop w:val="0"/>
      <w:marBottom w:val="0"/>
      <w:divBdr>
        <w:top w:val="none" w:sz="0" w:space="0" w:color="auto"/>
        <w:left w:val="none" w:sz="0" w:space="0" w:color="auto"/>
        <w:bottom w:val="none" w:sz="0" w:space="0" w:color="auto"/>
        <w:right w:val="none" w:sz="0" w:space="0" w:color="auto"/>
      </w:divBdr>
    </w:div>
    <w:div w:id="633370392">
      <w:bodyDiv w:val="1"/>
      <w:marLeft w:val="0"/>
      <w:marRight w:val="0"/>
      <w:marTop w:val="0"/>
      <w:marBottom w:val="0"/>
      <w:divBdr>
        <w:top w:val="none" w:sz="0" w:space="0" w:color="auto"/>
        <w:left w:val="none" w:sz="0" w:space="0" w:color="auto"/>
        <w:bottom w:val="none" w:sz="0" w:space="0" w:color="auto"/>
        <w:right w:val="none" w:sz="0" w:space="0" w:color="auto"/>
      </w:divBdr>
    </w:div>
    <w:div w:id="633406731">
      <w:bodyDiv w:val="1"/>
      <w:marLeft w:val="0"/>
      <w:marRight w:val="0"/>
      <w:marTop w:val="0"/>
      <w:marBottom w:val="0"/>
      <w:divBdr>
        <w:top w:val="none" w:sz="0" w:space="0" w:color="auto"/>
        <w:left w:val="none" w:sz="0" w:space="0" w:color="auto"/>
        <w:bottom w:val="none" w:sz="0" w:space="0" w:color="auto"/>
        <w:right w:val="none" w:sz="0" w:space="0" w:color="auto"/>
      </w:divBdr>
    </w:div>
    <w:div w:id="639963857">
      <w:bodyDiv w:val="1"/>
      <w:marLeft w:val="0"/>
      <w:marRight w:val="0"/>
      <w:marTop w:val="0"/>
      <w:marBottom w:val="0"/>
      <w:divBdr>
        <w:top w:val="none" w:sz="0" w:space="0" w:color="auto"/>
        <w:left w:val="none" w:sz="0" w:space="0" w:color="auto"/>
        <w:bottom w:val="none" w:sz="0" w:space="0" w:color="auto"/>
        <w:right w:val="none" w:sz="0" w:space="0" w:color="auto"/>
      </w:divBdr>
    </w:div>
    <w:div w:id="653338300">
      <w:bodyDiv w:val="1"/>
      <w:marLeft w:val="0"/>
      <w:marRight w:val="0"/>
      <w:marTop w:val="0"/>
      <w:marBottom w:val="0"/>
      <w:divBdr>
        <w:top w:val="none" w:sz="0" w:space="0" w:color="auto"/>
        <w:left w:val="none" w:sz="0" w:space="0" w:color="auto"/>
        <w:bottom w:val="none" w:sz="0" w:space="0" w:color="auto"/>
        <w:right w:val="none" w:sz="0" w:space="0" w:color="auto"/>
      </w:divBdr>
      <w:divsChild>
        <w:div w:id="177427346">
          <w:marLeft w:val="547"/>
          <w:marRight w:val="0"/>
          <w:marTop w:val="77"/>
          <w:marBottom w:val="0"/>
          <w:divBdr>
            <w:top w:val="none" w:sz="0" w:space="0" w:color="auto"/>
            <w:left w:val="none" w:sz="0" w:space="0" w:color="auto"/>
            <w:bottom w:val="none" w:sz="0" w:space="0" w:color="auto"/>
            <w:right w:val="none" w:sz="0" w:space="0" w:color="auto"/>
          </w:divBdr>
        </w:div>
      </w:divsChild>
    </w:div>
    <w:div w:id="656373964">
      <w:bodyDiv w:val="1"/>
      <w:marLeft w:val="0"/>
      <w:marRight w:val="0"/>
      <w:marTop w:val="0"/>
      <w:marBottom w:val="0"/>
      <w:divBdr>
        <w:top w:val="none" w:sz="0" w:space="0" w:color="auto"/>
        <w:left w:val="none" w:sz="0" w:space="0" w:color="auto"/>
        <w:bottom w:val="none" w:sz="0" w:space="0" w:color="auto"/>
        <w:right w:val="none" w:sz="0" w:space="0" w:color="auto"/>
      </w:divBdr>
    </w:div>
    <w:div w:id="665791904">
      <w:bodyDiv w:val="1"/>
      <w:marLeft w:val="0"/>
      <w:marRight w:val="0"/>
      <w:marTop w:val="0"/>
      <w:marBottom w:val="0"/>
      <w:divBdr>
        <w:top w:val="none" w:sz="0" w:space="0" w:color="auto"/>
        <w:left w:val="none" w:sz="0" w:space="0" w:color="auto"/>
        <w:bottom w:val="none" w:sz="0" w:space="0" w:color="auto"/>
        <w:right w:val="none" w:sz="0" w:space="0" w:color="auto"/>
      </w:divBdr>
    </w:div>
    <w:div w:id="676007759">
      <w:bodyDiv w:val="1"/>
      <w:marLeft w:val="0"/>
      <w:marRight w:val="0"/>
      <w:marTop w:val="0"/>
      <w:marBottom w:val="0"/>
      <w:divBdr>
        <w:top w:val="none" w:sz="0" w:space="0" w:color="auto"/>
        <w:left w:val="none" w:sz="0" w:space="0" w:color="auto"/>
        <w:bottom w:val="none" w:sz="0" w:space="0" w:color="auto"/>
        <w:right w:val="none" w:sz="0" w:space="0" w:color="auto"/>
      </w:divBdr>
    </w:div>
    <w:div w:id="676269937">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sChild>
        <w:div w:id="70271613">
          <w:marLeft w:val="547"/>
          <w:marRight w:val="0"/>
          <w:marTop w:val="77"/>
          <w:marBottom w:val="0"/>
          <w:divBdr>
            <w:top w:val="none" w:sz="0" w:space="0" w:color="auto"/>
            <w:left w:val="none" w:sz="0" w:space="0" w:color="auto"/>
            <w:bottom w:val="none" w:sz="0" w:space="0" w:color="auto"/>
            <w:right w:val="none" w:sz="0" w:space="0" w:color="auto"/>
          </w:divBdr>
        </w:div>
        <w:div w:id="210115459">
          <w:marLeft w:val="547"/>
          <w:marRight w:val="0"/>
          <w:marTop w:val="77"/>
          <w:marBottom w:val="0"/>
          <w:divBdr>
            <w:top w:val="none" w:sz="0" w:space="0" w:color="auto"/>
            <w:left w:val="none" w:sz="0" w:space="0" w:color="auto"/>
            <w:bottom w:val="none" w:sz="0" w:space="0" w:color="auto"/>
            <w:right w:val="none" w:sz="0" w:space="0" w:color="auto"/>
          </w:divBdr>
        </w:div>
        <w:div w:id="1331830110">
          <w:marLeft w:val="547"/>
          <w:marRight w:val="0"/>
          <w:marTop w:val="77"/>
          <w:marBottom w:val="0"/>
          <w:divBdr>
            <w:top w:val="none" w:sz="0" w:space="0" w:color="auto"/>
            <w:left w:val="none" w:sz="0" w:space="0" w:color="auto"/>
            <w:bottom w:val="none" w:sz="0" w:space="0" w:color="auto"/>
            <w:right w:val="none" w:sz="0" w:space="0" w:color="auto"/>
          </w:divBdr>
        </w:div>
      </w:divsChild>
    </w:div>
    <w:div w:id="707024636">
      <w:bodyDiv w:val="1"/>
      <w:marLeft w:val="0"/>
      <w:marRight w:val="0"/>
      <w:marTop w:val="0"/>
      <w:marBottom w:val="0"/>
      <w:divBdr>
        <w:top w:val="none" w:sz="0" w:space="0" w:color="auto"/>
        <w:left w:val="none" w:sz="0" w:space="0" w:color="auto"/>
        <w:bottom w:val="none" w:sz="0" w:space="0" w:color="auto"/>
        <w:right w:val="none" w:sz="0" w:space="0" w:color="auto"/>
      </w:divBdr>
    </w:div>
    <w:div w:id="707877448">
      <w:bodyDiv w:val="1"/>
      <w:marLeft w:val="0"/>
      <w:marRight w:val="0"/>
      <w:marTop w:val="0"/>
      <w:marBottom w:val="0"/>
      <w:divBdr>
        <w:top w:val="none" w:sz="0" w:space="0" w:color="auto"/>
        <w:left w:val="none" w:sz="0" w:space="0" w:color="auto"/>
        <w:bottom w:val="none" w:sz="0" w:space="0" w:color="auto"/>
        <w:right w:val="none" w:sz="0" w:space="0" w:color="auto"/>
      </w:divBdr>
    </w:div>
    <w:div w:id="709383780">
      <w:bodyDiv w:val="1"/>
      <w:marLeft w:val="0"/>
      <w:marRight w:val="0"/>
      <w:marTop w:val="0"/>
      <w:marBottom w:val="0"/>
      <w:divBdr>
        <w:top w:val="none" w:sz="0" w:space="0" w:color="auto"/>
        <w:left w:val="none" w:sz="0" w:space="0" w:color="auto"/>
        <w:bottom w:val="none" w:sz="0" w:space="0" w:color="auto"/>
        <w:right w:val="none" w:sz="0" w:space="0" w:color="auto"/>
      </w:divBdr>
    </w:div>
    <w:div w:id="718670203">
      <w:bodyDiv w:val="1"/>
      <w:marLeft w:val="0"/>
      <w:marRight w:val="0"/>
      <w:marTop w:val="0"/>
      <w:marBottom w:val="0"/>
      <w:divBdr>
        <w:top w:val="none" w:sz="0" w:space="0" w:color="auto"/>
        <w:left w:val="none" w:sz="0" w:space="0" w:color="auto"/>
        <w:bottom w:val="none" w:sz="0" w:space="0" w:color="auto"/>
        <w:right w:val="none" w:sz="0" w:space="0" w:color="auto"/>
      </w:divBdr>
      <w:divsChild>
        <w:div w:id="185143738">
          <w:marLeft w:val="547"/>
          <w:marRight w:val="0"/>
          <w:marTop w:val="67"/>
          <w:marBottom w:val="0"/>
          <w:divBdr>
            <w:top w:val="none" w:sz="0" w:space="0" w:color="auto"/>
            <w:left w:val="none" w:sz="0" w:space="0" w:color="auto"/>
            <w:bottom w:val="none" w:sz="0" w:space="0" w:color="auto"/>
            <w:right w:val="none" w:sz="0" w:space="0" w:color="auto"/>
          </w:divBdr>
        </w:div>
        <w:div w:id="725879469">
          <w:marLeft w:val="547"/>
          <w:marRight w:val="0"/>
          <w:marTop w:val="67"/>
          <w:marBottom w:val="0"/>
          <w:divBdr>
            <w:top w:val="none" w:sz="0" w:space="0" w:color="auto"/>
            <w:left w:val="none" w:sz="0" w:space="0" w:color="auto"/>
            <w:bottom w:val="none" w:sz="0" w:space="0" w:color="auto"/>
            <w:right w:val="none" w:sz="0" w:space="0" w:color="auto"/>
          </w:divBdr>
        </w:div>
        <w:div w:id="915819039">
          <w:marLeft w:val="547"/>
          <w:marRight w:val="0"/>
          <w:marTop w:val="67"/>
          <w:marBottom w:val="0"/>
          <w:divBdr>
            <w:top w:val="none" w:sz="0" w:space="0" w:color="auto"/>
            <w:left w:val="none" w:sz="0" w:space="0" w:color="auto"/>
            <w:bottom w:val="none" w:sz="0" w:space="0" w:color="auto"/>
            <w:right w:val="none" w:sz="0" w:space="0" w:color="auto"/>
          </w:divBdr>
        </w:div>
      </w:divsChild>
    </w:div>
    <w:div w:id="721321071">
      <w:bodyDiv w:val="1"/>
      <w:marLeft w:val="0"/>
      <w:marRight w:val="0"/>
      <w:marTop w:val="0"/>
      <w:marBottom w:val="0"/>
      <w:divBdr>
        <w:top w:val="none" w:sz="0" w:space="0" w:color="auto"/>
        <w:left w:val="none" w:sz="0" w:space="0" w:color="auto"/>
        <w:bottom w:val="none" w:sz="0" w:space="0" w:color="auto"/>
        <w:right w:val="none" w:sz="0" w:space="0" w:color="auto"/>
      </w:divBdr>
    </w:div>
    <w:div w:id="723991258">
      <w:bodyDiv w:val="1"/>
      <w:marLeft w:val="0"/>
      <w:marRight w:val="0"/>
      <w:marTop w:val="0"/>
      <w:marBottom w:val="0"/>
      <w:divBdr>
        <w:top w:val="none" w:sz="0" w:space="0" w:color="auto"/>
        <w:left w:val="none" w:sz="0" w:space="0" w:color="auto"/>
        <w:bottom w:val="none" w:sz="0" w:space="0" w:color="auto"/>
        <w:right w:val="none" w:sz="0" w:space="0" w:color="auto"/>
      </w:divBdr>
    </w:div>
    <w:div w:id="735468677">
      <w:bodyDiv w:val="1"/>
      <w:marLeft w:val="0"/>
      <w:marRight w:val="0"/>
      <w:marTop w:val="0"/>
      <w:marBottom w:val="0"/>
      <w:divBdr>
        <w:top w:val="none" w:sz="0" w:space="0" w:color="auto"/>
        <w:left w:val="none" w:sz="0" w:space="0" w:color="auto"/>
        <w:bottom w:val="none" w:sz="0" w:space="0" w:color="auto"/>
        <w:right w:val="none" w:sz="0" w:space="0" w:color="auto"/>
      </w:divBdr>
    </w:div>
    <w:div w:id="736560419">
      <w:bodyDiv w:val="1"/>
      <w:marLeft w:val="0"/>
      <w:marRight w:val="0"/>
      <w:marTop w:val="0"/>
      <w:marBottom w:val="0"/>
      <w:divBdr>
        <w:top w:val="none" w:sz="0" w:space="0" w:color="auto"/>
        <w:left w:val="none" w:sz="0" w:space="0" w:color="auto"/>
        <w:bottom w:val="none" w:sz="0" w:space="0" w:color="auto"/>
        <w:right w:val="none" w:sz="0" w:space="0" w:color="auto"/>
      </w:divBdr>
    </w:div>
    <w:div w:id="737358696">
      <w:bodyDiv w:val="1"/>
      <w:marLeft w:val="0"/>
      <w:marRight w:val="0"/>
      <w:marTop w:val="0"/>
      <w:marBottom w:val="0"/>
      <w:divBdr>
        <w:top w:val="none" w:sz="0" w:space="0" w:color="auto"/>
        <w:left w:val="none" w:sz="0" w:space="0" w:color="auto"/>
        <w:bottom w:val="none" w:sz="0" w:space="0" w:color="auto"/>
        <w:right w:val="none" w:sz="0" w:space="0" w:color="auto"/>
      </w:divBdr>
    </w:div>
    <w:div w:id="738865071">
      <w:bodyDiv w:val="1"/>
      <w:marLeft w:val="0"/>
      <w:marRight w:val="0"/>
      <w:marTop w:val="0"/>
      <w:marBottom w:val="0"/>
      <w:divBdr>
        <w:top w:val="none" w:sz="0" w:space="0" w:color="auto"/>
        <w:left w:val="none" w:sz="0" w:space="0" w:color="auto"/>
        <w:bottom w:val="none" w:sz="0" w:space="0" w:color="auto"/>
        <w:right w:val="none" w:sz="0" w:space="0" w:color="auto"/>
      </w:divBdr>
    </w:div>
    <w:div w:id="741565993">
      <w:bodyDiv w:val="1"/>
      <w:marLeft w:val="0"/>
      <w:marRight w:val="0"/>
      <w:marTop w:val="0"/>
      <w:marBottom w:val="0"/>
      <w:divBdr>
        <w:top w:val="none" w:sz="0" w:space="0" w:color="auto"/>
        <w:left w:val="none" w:sz="0" w:space="0" w:color="auto"/>
        <w:bottom w:val="none" w:sz="0" w:space="0" w:color="auto"/>
        <w:right w:val="none" w:sz="0" w:space="0" w:color="auto"/>
      </w:divBdr>
    </w:div>
    <w:div w:id="743378621">
      <w:bodyDiv w:val="1"/>
      <w:marLeft w:val="0"/>
      <w:marRight w:val="0"/>
      <w:marTop w:val="0"/>
      <w:marBottom w:val="0"/>
      <w:divBdr>
        <w:top w:val="none" w:sz="0" w:space="0" w:color="auto"/>
        <w:left w:val="none" w:sz="0" w:space="0" w:color="auto"/>
        <w:bottom w:val="none" w:sz="0" w:space="0" w:color="auto"/>
        <w:right w:val="none" w:sz="0" w:space="0" w:color="auto"/>
      </w:divBdr>
    </w:div>
    <w:div w:id="746457852">
      <w:bodyDiv w:val="1"/>
      <w:marLeft w:val="0"/>
      <w:marRight w:val="0"/>
      <w:marTop w:val="0"/>
      <w:marBottom w:val="0"/>
      <w:divBdr>
        <w:top w:val="none" w:sz="0" w:space="0" w:color="auto"/>
        <w:left w:val="none" w:sz="0" w:space="0" w:color="auto"/>
        <w:bottom w:val="none" w:sz="0" w:space="0" w:color="auto"/>
        <w:right w:val="none" w:sz="0" w:space="0" w:color="auto"/>
      </w:divBdr>
    </w:div>
    <w:div w:id="751387633">
      <w:bodyDiv w:val="1"/>
      <w:marLeft w:val="0"/>
      <w:marRight w:val="0"/>
      <w:marTop w:val="0"/>
      <w:marBottom w:val="0"/>
      <w:divBdr>
        <w:top w:val="none" w:sz="0" w:space="0" w:color="auto"/>
        <w:left w:val="none" w:sz="0" w:space="0" w:color="auto"/>
        <w:bottom w:val="none" w:sz="0" w:space="0" w:color="auto"/>
        <w:right w:val="none" w:sz="0" w:space="0" w:color="auto"/>
      </w:divBdr>
    </w:div>
    <w:div w:id="760222291">
      <w:bodyDiv w:val="1"/>
      <w:marLeft w:val="0"/>
      <w:marRight w:val="0"/>
      <w:marTop w:val="0"/>
      <w:marBottom w:val="0"/>
      <w:divBdr>
        <w:top w:val="none" w:sz="0" w:space="0" w:color="auto"/>
        <w:left w:val="none" w:sz="0" w:space="0" w:color="auto"/>
        <w:bottom w:val="none" w:sz="0" w:space="0" w:color="auto"/>
        <w:right w:val="none" w:sz="0" w:space="0" w:color="auto"/>
      </w:divBdr>
    </w:div>
    <w:div w:id="761803171">
      <w:bodyDiv w:val="1"/>
      <w:marLeft w:val="0"/>
      <w:marRight w:val="0"/>
      <w:marTop w:val="0"/>
      <w:marBottom w:val="0"/>
      <w:divBdr>
        <w:top w:val="none" w:sz="0" w:space="0" w:color="auto"/>
        <w:left w:val="none" w:sz="0" w:space="0" w:color="auto"/>
        <w:bottom w:val="none" w:sz="0" w:space="0" w:color="auto"/>
        <w:right w:val="none" w:sz="0" w:space="0" w:color="auto"/>
      </w:divBdr>
    </w:div>
    <w:div w:id="763189701">
      <w:bodyDiv w:val="1"/>
      <w:marLeft w:val="0"/>
      <w:marRight w:val="0"/>
      <w:marTop w:val="0"/>
      <w:marBottom w:val="0"/>
      <w:divBdr>
        <w:top w:val="none" w:sz="0" w:space="0" w:color="auto"/>
        <w:left w:val="none" w:sz="0" w:space="0" w:color="auto"/>
        <w:bottom w:val="none" w:sz="0" w:space="0" w:color="auto"/>
        <w:right w:val="none" w:sz="0" w:space="0" w:color="auto"/>
      </w:divBdr>
    </w:div>
    <w:div w:id="764112722">
      <w:bodyDiv w:val="1"/>
      <w:marLeft w:val="0"/>
      <w:marRight w:val="0"/>
      <w:marTop w:val="0"/>
      <w:marBottom w:val="0"/>
      <w:divBdr>
        <w:top w:val="none" w:sz="0" w:space="0" w:color="auto"/>
        <w:left w:val="none" w:sz="0" w:space="0" w:color="auto"/>
        <w:bottom w:val="none" w:sz="0" w:space="0" w:color="auto"/>
        <w:right w:val="none" w:sz="0" w:space="0" w:color="auto"/>
      </w:divBdr>
    </w:div>
    <w:div w:id="765460784">
      <w:bodyDiv w:val="1"/>
      <w:marLeft w:val="0"/>
      <w:marRight w:val="0"/>
      <w:marTop w:val="0"/>
      <w:marBottom w:val="0"/>
      <w:divBdr>
        <w:top w:val="none" w:sz="0" w:space="0" w:color="auto"/>
        <w:left w:val="none" w:sz="0" w:space="0" w:color="auto"/>
        <w:bottom w:val="none" w:sz="0" w:space="0" w:color="auto"/>
        <w:right w:val="none" w:sz="0" w:space="0" w:color="auto"/>
      </w:divBdr>
    </w:div>
    <w:div w:id="772214383">
      <w:bodyDiv w:val="1"/>
      <w:marLeft w:val="0"/>
      <w:marRight w:val="0"/>
      <w:marTop w:val="0"/>
      <w:marBottom w:val="0"/>
      <w:divBdr>
        <w:top w:val="none" w:sz="0" w:space="0" w:color="auto"/>
        <w:left w:val="none" w:sz="0" w:space="0" w:color="auto"/>
        <w:bottom w:val="none" w:sz="0" w:space="0" w:color="auto"/>
        <w:right w:val="none" w:sz="0" w:space="0" w:color="auto"/>
      </w:divBdr>
    </w:div>
    <w:div w:id="776095309">
      <w:bodyDiv w:val="1"/>
      <w:marLeft w:val="0"/>
      <w:marRight w:val="0"/>
      <w:marTop w:val="0"/>
      <w:marBottom w:val="0"/>
      <w:divBdr>
        <w:top w:val="none" w:sz="0" w:space="0" w:color="auto"/>
        <w:left w:val="none" w:sz="0" w:space="0" w:color="auto"/>
        <w:bottom w:val="none" w:sz="0" w:space="0" w:color="auto"/>
        <w:right w:val="none" w:sz="0" w:space="0" w:color="auto"/>
      </w:divBdr>
    </w:div>
    <w:div w:id="777287672">
      <w:bodyDiv w:val="1"/>
      <w:marLeft w:val="0"/>
      <w:marRight w:val="0"/>
      <w:marTop w:val="0"/>
      <w:marBottom w:val="0"/>
      <w:divBdr>
        <w:top w:val="none" w:sz="0" w:space="0" w:color="auto"/>
        <w:left w:val="none" w:sz="0" w:space="0" w:color="auto"/>
        <w:bottom w:val="none" w:sz="0" w:space="0" w:color="auto"/>
        <w:right w:val="none" w:sz="0" w:space="0" w:color="auto"/>
      </w:divBdr>
    </w:div>
    <w:div w:id="781418342">
      <w:bodyDiv w:val="1"/>
      <w:marLeft w:val="0"/>
      <w:marRight w:val="0"/>
      <w:marTop w:val="0"/>
      <w:marBottom w:val="0"/>
      <w:divBdr>
        <w:top w:val="none" w:sz="0" w:space="0" w:color="auto"/>
        <w:left w:val="none" w:sz="0" w:space="0" w:color="auto"/>
        <w:bottom w:val="none" w:sz="0" w:space="0" w:color="auto"/>
        <w:right w:val="none" w:sz="0" w:space="0" w:color="auto"/>
      </w:divBdr>
    </w:div>
    <w:div w:id="790824527">
      <w:bodyDiv w:val="1"/>
      <w:marLeft w:val="0"/>
      <w:marRight w:val="0"/>
      <w:marTop w:val="0"/>
      <w:marBottom w:val="0"/>
      <w:divBdr>
        <w:top w:val="none" w:sz="0" w:space="0" w:color="auto"/>
        <w:left w:val="none" w:sz="0" w:space="0" w:color="auto"/>
        <w:bottom w:val="none" w:sz="0" w:space="0" w:color="auto"/>
        <w:right w:val="none" w:sz="0" w:space="0" w:color="auto"/>
      </w:divBdr>
    </w:div>
    <w:div w:id="796262824">
      <w:bodyDiv w:val="1"/>
      <w:marLeft w:val="0"/>
      <w:marRight w:val="0"/>
      <w:marTop w:val="0"/>
      <w:marBottom w:val="0"/>
      <w:divBdr>
        <w:top w:val="none" w:sz="0" w:space="0" w:color="auto"/>
        <w:left w:val="none" w:sz="0" w:space="0" w:color="auto"/>
        <w:bottom w:val="none" w:sz="0" w:space="0" w:color="auto"/>
        <w:right w:val="none" w:sz="0" w:space="0" w:color="auto"/>
      </w:divBdr>
    </w:div>
    <w:div w:id="823394854">
      <w:bodyDiv w:val="1"/>
      <w:marLeft w:val="0"/>
      <w:marRight w:val="0"/>
      <w:marTop w:val="0"/>
      <w:marBottom w:val="0"/>
      <w:divBdr>
        <w:top w:val="none" w:sz="0" w:space="0" w:color="auto"/>
        <w:left w:val="none" w:sz="0" w:space="0" w:color="auto"/>
        <w:bottom w:val="none" w:sz="0" w:space="0" w:color="auto"/>
        <w:right w:val="none" w:sz="0" w:space="0" w:color="auto"/>
      </w:divBdr>
    </w:div>
    <w:div w:id="823669429">
      <w:bodyDiv w:val="1"/>
      <w:marLeft w:val="0"/>
      <w:marRight w:val="0"/>
      <w:marTop w:val="0"/>
      <w:marBottom w:val="0"/>
      <w:divBdr>
        <w:top w:val="none" w:sz="0" w:space="0" w:color="auto"/>
        <w:left w:val="none" w:sz="0" w:space="0" w:color="auto"/>
        <w:bottom w:val="none" w:sz="0" w:space="0" w:color="auto"/>
        <w:right w:val="none" w:sz="0" w:space="0" w:color="auto"/>
      </w:divBdr>
    </w:div>
    <w:div w:id="829367088">
      <w:bodyDiv w:val="1"/>
      <w:marLeft w:val="0"/>
      <w:marRight w:val="0"/>
      <w:marTop w:val="0"/>
      <w:marBottom w:val="0"/>
      <w:divBdr>
        <w:top w:val="none" w:sz="0" w:space="0" w:color="auto"/>
        <w:left w:val="none" w:sz="0" w:space="0" w:color="auto"/>
        <w:bottom w:val="none" w:sz="0" w:space="0" w:color="auto"/>
        <w:right w:val="none" w:sz="0" w:space="0" w:color="auto"/>
      </w:divBdr>
    </w:div>
    <w:div w:id="836463639">
      <w:bodyDiv w:val="1"/>
      <w:marLeft w:val="0"/>
      <w:marRight w:val="0"/>
      <w:marTop w:val="0"/>
      <w:marBottom w:val="0"/>
      <w:divBdr>
        <w:top w:val="none" w:sz="0" w:space="0" w:color="auto"/>
        <w:left w:val="none" w:sz="0" w:space="0" w:color="auto"/>
        <w:bottom w:val="none" w:sz="0" w:space="0" w:color="auto"/>
        <w:right w:val="none" w:sz="0" w:space="0" w:color="auto"/>
      </w:divBdr>
    </w:div>
    <w:div w:id="837844489">
      <w:bodyDiv w:val="1"/>
      <w:marLeft w:val="0"/>
      <w:marRight w:val="0"/>
      <w:marTop w:val="0"/>
      <w:marBottom w:val="0"/>
      <w:divBdr>
        <w:top w:val="none" w:sz="0" w:space="0" w:color="auto"/>
        <w:left w:val="none" w:sz="0" w:space="0" w:color="auto"/>
        <w:bottom w:val="none" w:sz="0" w:space="0" w:color="auto"/>
        <w:right w:val="none" w:sz="0" w:space="0" w:color="auto"/>
      </w:divBdr>
    </w:div>
    <w:div w:id="840003203">
      <w:bodyDiv w:val="1"/>
      <w:marLeft w:val="0"/>
      <w:marRight w:val="0"/>
      <w:marTop w:val="0"/>
      <w:marBottom w:val="0"/>
      <w:divBdr>
        <w:top w:val="none" w:sz="0" w:space="0" w:color="auto"/>
        <w:left w:val="none" w:sz="0" w:space="0" w:color="auto"/>
        <w:bottom w:val="none" w:sz="0" w:space="0" w:color="auto"/>
        <w:right w:val="none" w:sz="0" w:space="0" w:color="auto"/>
      </w:divBdr>
    </w:div>
    <w:div w:id="844828182">
      <w:bodyDiv w:val="1"/>
      <w:marLeft w:val="0"/>
      <w:marRight w:val="0"/>
      <w:marTop w:val="0"/>
      <w:marBottom w:val="0"/>
      <w:divBdr>
        <w:top w:val="none" w:sz="0" w:space="0" w:color="auto"/>
        <w:left w:val="none" w:sz="0" w:space="0" w:color="auto"/>
        <w:bottom w:val="none" w:sz="0" w:space="0" w:color="auto"/>
        <w:right w:val="none" w:sz="0" w:space="0" w:color="auto"/>
      </w:divBdr>
    </w:div>
    <w:div w:id="847409233">
      <w:bodyDiv w:val="1"/>
      <w:marLeft w:val="0"/>
      <w:marRight w:val="0"/>
      <w:marTop w:val="0"/>
      <w:marBottom w:val="0"/>
      <w:divBdr>
        <w:top w:val="none" w:sz="0" w:space="0" w:color="auto"/>
        <w:left w:val="none" w:sz="0" w:space="0" w:color="auto"/>
        <w:bottom w:val="none" w:sz="0" w:space="0" w:color="auto"/>
        <w:right w:val="none" w:sz="0" w:space="0" w:color="auto"/>
      </w:divBdr>
    </w:div>
    <w:div w:id="853613130">
      <w:bodyDiv w:val="1"/>
      <w:marLeft w:val="0"/>
      <w:marRight w:val="0"/>
      <w:marTop w:val="0"/>
      <w:marBottom w:val="0"/>
      <w:divBdr>
        <w:top w:val="none" w:sz="0" w:space="0" w:color="auto"/>
        <w:left w:val="none" w:sz="0" w:space="0" w:color="auto"/>
        <w:bottom w:val="none" w:sz="0" w:space="0" w:color="auto"/>
        <w:right w:val="none" w:sz="0" w:space="0" w:color="auto"/>
      </w:divBdr>
    </w:div>
    <w:div w:id="854149592">
      <w:bodyDiv w:val="1"/>
      <w:marLeft w:val="0"/>
      <w:marRight w:val="0"/>
      <w:marTop w:val="0"/>
      <w:marBottom w:val="0"/>
      <w:divBdr>
        <w:top w:val="none" w:sz="0" w:space="0" w:color="auto"/>
        <w:left w:val="none" w:sz="0" w:space="0" w:color="auto"/>
        <w:bottom w:val="none" w:sz="0" w:space="0" w:color="auto"/>
        <w:right w:val="none" w:sz="0" w:space="0" w:color="auto"/>
      </w:divBdr>
    </w:div>
    <w:div w:id="856384024">
      <w:bodyDiv w:val="1"/>
      <w:marLeft w:val="0"/>
      <w:marRight w:val="0"/>
      <w:marTop w:val="0"/>
      <w:marBottom w:val="0"/>
      <w:divBdr>
        <w:top w:val="none" w:sz="0" w:space="0" w:color="auto"/>
        <w:left w:val="none" w:sz="0" w:space="0" w:color="auto"/>
        <w:bottom w:val="none" w:sz="0" w:space="0" w:color="auto"/>
        <w:right w:val="none" w:sz="0" w:space="0" w:color="auto"/>
      </w:divBdr>
    </w:div>
    <w:div w:id="861432942">
      <w:bodyDiv w:val="1"/>
      <w:marLeft w:val="0"/>
      <w:marRight w:val="0"/>
      <w:marTop w:val="0"/>
      <w:marBottom w:val="0"/>
      <w:divBdr>
        <w:top w:val="none" w:sz="0" w:space="0" w:color="auto"/>
        <w:left w:val="none" w:sz="0" w:space="0" w:color="auto"/>
        <w:bottom w:val="none" w:sz="0" w:space="0" w:color="auto"/>
        <w:right w:val="none" w:sz="0" w:space="0" w:color="auto"/>
      </w:divBdr>
      <w:divsChild>
        <w:div w:id="354884792">
          <w:marLeft w:val="547"/>
          <w:marRight w:val="0"/>
          <w:marTop w:val="67"/>
          <w:marBottom w:val="0"/>
          <w:divBdr>
            <w:top w:val="none" w:sz="0" w:space="0" w:color="auto"/>
            <w:left w:val="none" w:sz="0" w:space="0" w:color="auto"/>
            <w:bottom w:val="none" w:sz="0" w:space="0" w:color="auto"/>
            <w:right w:val="none" w:sz="0" w:space="0" w:color="auto"/>
          </w:divBdr>
        </w:div>
        <w:div w:id="422608435">
          <w:marLeft w:val="547"/>
          <w:marRight w:val="0"/>
          <w:marTop w:val="67"/>
          <w:marBottom w:val="0"/>
          <w:divBdr>
            <w:top w:val="none" w:sz="0" w:space="0" w:color="auto"/>
            <w:left w:val="none" w:sz="0" w:space="0" w:color="auto"/>
            <w:bottom w:val="none" w:sz="0" w:space="0" w:color="auto"/>
            <w:right w:val="none" w:sz="0" w:space="0" w:color="auto"/>
          </w:divBdr>
        </w:div>
        <w:div w:id="722825605">
          <w:marLeft w:val="547"/>
          <w:marRight w:val="0"/>
          <w:marTop w:val="67"/>
          <w:marBottom w:val="0"/>
          <w:divBdr>
            <w:top w:val="none" w:sz="0" w:space="0" w:color="auto"/>
            <w:left w:val="none" w:sz="0" w:space="0" w:color="auto"/>
            <w:bottom w:val="none" w:sz="0" w:space="0" w:color="auto"/>
            <w:right w:val="none" w:sz="0" w:space="0" w:color="auto"/>
          </w:divBdr>
        </w:div>
        <w:div w:id="1466856043">
          <w:marLeft w:val="547"/>
          <w:marRight w:val="0"/>
          <w:marTop w:val="67"/>
          <w:marBottom w:val="0"/>
          <w:divBdr>
            <w:top w:val="none" w:sz="0" w:space="0" w:color="auto"/>
            <w:left w:val="none" w:sz="0" w:space="0" w:color="auto"/>
            <w:bottom w:val="none" w:sz="0" w:space="0" w:color="auto"/>
            <w:right w:val="none" w:sz="0" w:space="0" w:color="auto"/>
          </w:divBdr>
        </w:div>
        <w:div w:id="1977952127">
          <w:marLeft w:val="547"/>
          <w:marRight w:val="0"/>
          <w:marTop w:val="67"/>
          <w:marBottom w:val="0"/>
          <w:divBdr>
            <w:top w:val="none" w:sz="0" w:space="0" w:color="auto"/>
            <w:left w:val="none" w:sz="0" w:space="0" w:color="auto"/>
            <w:bottom w:val="none" w:sz="0" w:space="0" w:color="auto"/>
            <w:right w:val="none" w:sz="0" w:space="0" w:color="auto"/>
          </w:divBdr>
        </w:div>
      </w:divsChild>
    </w:div>
    <w:div w:id="868375340">
      <w:bodyDiv w:val="1"/>
      <w:marLeft w:val="0"/>
      <w:marRight w:val="0"/>
      <w:marTop w:val="0"/>
      <w:marBottom w:val="0"/>
      <w:divBdr>
        <w:top w:val="none" w:sz="0" w:space="0" w:color="auto"/>
        <w:left w:val="none" w:sz="0" w:space="0" w:color="auto"/>
        <w:bottom w:val="none" w:sz="0" w:space="0" w:color="auto"/>
        <w:right w:val="none" w:sz="0" w:space="0" w:color="auto"/>
      </w:divBdr>
    </w:div>
    <w:div w:id="868497066">
      <w:bodyDiv w:val="1"/>
      <w:marLeft w:val="0"/>
      <w:marRight w:val="0"/>
      <w:marTop w:val="0"/>
      <w:marBottom w:val="0"/>
      <w:divBdr>
        <w:top w:val="none" w:sz="0" w:space="0" w:color="auto"/>
        <w:left w:val="none" w:sz="0" w:space="0" w:color="auto"/>
        <w:bottom w:val="none" w:sz="0" w:space="0" w:color="auto"/>
        <w:right w:val="none" w:sz="0" w:space="0" w:color="auto"/>
      </w:divBdr>
    </w:div>
    <w:div w:id="873465769">
      <w:bodyDiv w:val="1"/>
      <w:marLeft w:val="0"/>
      <w:marRight w:val="0"/>
      <w:marTop w:val="0"/>
      <w:marBottom w:val="0"/>
      <w:divBdr>
        <w:top w:val="none" w:sz="0" w:space="0" w:color="auto"/>
        <w:left w:val="none" w:sz="0" w:space="0" w:color="auto"/>
        <w:bottom w:val="none" w:sz="0" w:space="0" w:color="auto"/>
        <w:right w:val="none" w:sz="0" w:space="0" w:color="auto"/>
      </w:divBdr>
    </w:div>
    <w:div w:id="875896777">
      <w:bodyDiv w:val="1"/>
      <w:marLeft w:val="0"/>
      <w:marRight w:val="0"/>
      <w:marTop w:val="0"/>
      <w:marBottom w:val="0"/>
      <w:divBdr>
        <w:top w:val="none" w:sz="0" w:space="0" w:color="auto"/>
        <w:left w:val="none" w:sz="0" w:space="0" w:color="auto"/>
        <w:bottom w:val="none" w:sz="0" w:space="0" w:color="auto"/>
        <w:right w:val="none" w:sz="0" w:space="0" w:color="auto"/>
      </w:divBdr>
    </w:div>
    <w:div w:id="883372488">
      <w:bodyDiv w:val="1"/>
      <w:marLeft w:val="0"/>
      <w:marRight w:val="0"/>
      <w:marTop w:val="0"/>
      <w:marBottom w:val="0"/>
      <w:divBdr>
        <w:top w:val="none" w:sz="0" w:space="0" w:color="auto"/>
        <w:left w:val="none" w:sz="0" w:space="0" w:color="auto"/>
        <w:bottom w:val="none" w:sz="0" w:space="0" w:color="auto"/>
        <w:right w:val="none" w:sz="0" w:space="0" w:color="auto"/>
      </w:divBdr>
    </w:div>
    <w:div w:id="884757177">
      <w:bodyDiv w:val="1"/>
      <w:marLeft w:val="0"/>
      <w:marRight w:val="0"/>
      <w:marTop w:val="0"/>
      <w:marBottom w:val="0"/>
      <w:divBdr>
        <w:top w:val="none" w:sz="0" w:space="0" w:color="auto"/>
        <w:left w:val="none" w:sz="0" w:space="0" w:color="auto"/>
        <w:bottom w:val="none" w:sz="0" w:space="0" w:color="auto"/>
        <w:right w:val="none" w:sz="0" w:space="0" w:color="auto"/>
      </w:divBdr>
    </w:div>
    <w:div w:id="898903583">
      <w:bodyDiv w:val="1"/>
      <w:marLeft w:val="0"/>
      <w:marRight w:val="0"/>
      <w:marTop w:val="0"/>
      <w:marBottom w:val="0"/>
      <w:divBdr>
        <w:top w:val="none" w:sz="0" w:space="0" w:color="auto"/>
        <w:left w:val="none" w:sz="0" w:space="0" w:color="auto"/>
        <w:bottom w:val="none" w:sz="0" w:space="0" w:color="auto"/>
        <w:right w:val="none" w:sz="0" w:space="0" w:color="auto"/>
      </w:divBdr>
    </w:div>
    <w:div w:id="899362558">
      <w:bodyDiv w:val="1"/>
      <w:marLeft w:val="0"/>
      <w:marRight w:val="0"/>
      <w:marTop w:val="0"/>
      <w:marBottom w:val="0"/>
      <w:divBdr>
        <w:top w:val="none" w:sz="0" w:space="0" w:color="auto"/>
        <w:left w:val="none" w:sz="0" w:space="0" w:color="auto"/>
        <w:bottom w:val="none" w:sz="0" w:space="0" w:color="auto"/>
        <w:right w:val="none" w:sz="0" w:space="0" w:color="auto"/>
      </w:divBdr>
    </w:div>
    <w:div w:id="900555577">
      <w:bodyDiv w:val="1"/>
      <w:marLeft w:val="0"/>
      <w:marRight w:val="0"/>
      <w:marTop w:val="0"/>
      <w:marBottom w:val="0"/>
      <w:divBdr>
        <w:top w:val="none" w:sz="0" w:space="0" w:color="auto"/>
        <w:left w:val="none" w:sz="0" w:space="0" w:color="auto"/>
        <w:bottom w:val="none" w:sz="0" w:space="0" w:color="auto"/>
        <w:right w:val="none" w:sz="0" w:space="0" w:color="auto"/>
      </w:divBdr>
    </w:div>
    <w:div w:id="903831194">
      <w:bodyDiv w:val="1"/>
      <w:marLeft w:val="0"/>
      <w:marRight w:val="0"/>
      <w:marTop w:val="0"/>
      <w:marBottom w:val="0"/>
      <w:divBdr>
        <w:top w:val="none" w:sz="0" w:space="0" w:color="auto"/>
        <w:left w:val="none" w:sz="0" w:space="0" w:color="auto"/>
        <w:bottom w:val="none" w:sz="0" w:space="0" w:color="auto"/>
        <w:right w:val="none" w:sz="0" w:space="0" w:color="auto"/>
      </w:divBdr>
    </w:div>
    <w:div w:id="905720944">
      <w:bodyDiv w:val="1"/>
      <w:marLeft w:val="0"/>
      <w:marRight w:val="0"/>
      <w:marTop w:val="0"/>
      <w:marBottom w:val="0"/>
      <w:divBdr>
        <w:top w:val="none" w:sz="0" w:space="0" w:color="auto"/>
        <w:left w:val="none" w:sz="0" w:space="0" w:color="auto"/>
        <w:bottom w:val="none" w:sz="0" w:space="0" w:color="auto"/>
        <w:right w:val="none" w:sz="0" w:space="0" w:color="auto"/>
      </w:divBdr>
    </w:div>
    <w:div w:id="910430323">
      <w:bodyDiv w:val="1"/>
      <w:marLeft w:val="0"/>
      <w:marRight w:val="0"/>
      <w:marTop w:val="0"/>
      <w:marBottom w:val="0"/>
      <w:divBdr>
        <w:top w:val="none" w:sz="0" w:space="0" w:color="auto"/>
        <w:left w:val="none" w:sz="0" w:space="0" w:color="auto"/>
        <w:bottom w:val="none" w:sz="0" w:space="0" w:color="auto"/>
        <w:right w:val="none" w:sz="0" w:space="0" w:color="auto"/>
      </w:divBdr>
    </w:div>
    <w:div w:id="916986382">
      <w:bodyDiv w:val="1"/>
      <w:marLeft w:val="0"/>
      <w:marRight w:val="0"/>
      <w:marTop w:val="0"/>
      <w:marBottom w:val="0"/>
      <w:divBdr>
        <w:top w:val="none" w:sz="0" w:space="0" w:color="auto"/>
        <w:left w:val="none" w:sz="0" w:space="0" w:color="auto"/>
        <w:bottom w:val="none" w:sz="0" w:space="0" w:color="auto"/>
        <w:right w:val="none" w:sz="0" w:space="0" w:color="auto"/>
      </w:divBdr>
    </w:div>
    <w:div w:id="930355325">
      <w:bodyDiv w:val="1"/>
      <w:marLeft w:val="0"/>
      <w:marRight w:val="0"/>
      <w:marTop w:val="0"/>
      <w:marBottom w:val="0"/>
      <w:divBdr>
        <w:top w:val="none" w:sz="0" w:space="0" w:color="auto"/>
        <w:left w:val="none" w:sz="0" w:space="0" w:color="auto"/>
        <w:bottom w:val="none" w:sz="0" w:space="0" w:color="auto"/>
        <w:right w:val="none" w:sz="0" w:space="0" w:color="auto"/>
      </w:divBdr>
    </w:div>
    <w:div w:id="930893496">
      <w:bodyDiv w:val="1"/>
      <w:marLeft w:val="0"/>
      <w:marRight w:val="0"/>
      <w:marTop w:val="0"/>
      <w:marBottom w:val="0"/>
      <w:divBdr>
        <w:top w:val="none" w:sz="0" w:space="0" w:color="auto"/>
        <w:left w:val="none" w:sz="0" w:space="0" w:color="auto"/>
        <w:bottom w:val="none" w:sz="0" w:space="0" w:color="auto"/>
        <w:right w:val="none" w:sz="0" w:space="0" w:color="auto"/>
      </w:divBdr>
    </w:div>
    <w:div w:id="933317448">
      <w:bodyDiv w:val="1"/>
      <w:marLeft w:val="0"/>
      <w:marRight w:val="0"/>
      <w:marTop w:val="0"/>
      <w:marBottom w:val="0"/>
      <w:divBdr>
        <w:top w:val="none" w:sz="0" w:space="0" w:color="auto"/>
        <w:left w:val="none" w:sz="0" w:space="0" w:color="auto"/>
        <w:bottom w:val="none" w:sz="0" w:space="0" w:color="auto"/>
        <w:right w:val="none" w:sz="0" w:space="0" w:color="auto"/>
      </w:divBdr>
    </w:div>
    <w:div w:id="934509711">
      <w:bodyDiv w:val="1"/>
      <w:marLeft w:val="0"/>
      <w:marRight w:val="0"/>
      <w:marTop w:val="0"/>
      <w:marBottom w:val="0"/>
      <w:divBdr>
        <w:top w:val="none" w:sz="0" w:space="0" w:color="auto"/>
        <w:left w:val="none" w:sz="0" w:space="0" w:color="auto"/>
        <w:bottom w:val="none" w:sz="0" w:space="0" w:color="auto"/>
        <w:right w:val="none" w:sz="0" w:space="0" w:color="auto"/>
      </w:divBdr>
    </w:div>
    <w:div w:id="935596788">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37448991">
      <w:bodyDiv w:val="1"/>
      <w:marLeft w:val="0"/>
      <w:marRight w:val="0"/>
      <w:marTop w:val="0"/>
      <w:marBottom w:val="0"/>
      <w:divBdr>
        <w:top w:val="none" w:sz="0" w:space="0" w:color="auto"/>
        <w:left w:val="none" w:sz="0" w:space="0" w:color="auto"/>
        <w:bottom w:val="none" w:sz="0" w:space="0" w:color="auto"/>
        <w:right w:val="none" w:sz="0" w:space="0" w:color="auto"/>
      </w:divBdr>
    </w:div>
    <w:div w:id="938415083">
      <w:bodyDiv w:val="1"/>
      <w:marLeft w:val="0"/>
      <w:marRight w:val="0"/>
      <w:marTop w:val="0"/>
      <w:marBottom w:val="0"/>
      <w:divBdr>
        <w:top w:val="none" w:sz="0" w:space="0" w:color="auto"/>
        <w:left w:val="none" w:sz="0" w:space="0" w:color="auto"/>
        <w:bottom w:val="none" w:sz="0" w:space="0" w:color="auto"/>
        <w:right w:val="none" w:sz="0" w:space="0" w:color="auto"/>
      </w:divBdr>
    </w:div>
    <w:div w:id="942808857">
      <w:bodyDiv w:val="1"/>
      <w:marLeft w:val="0"/>
      <w:marRight w:val="0"/>
      <w:marTop w:val="0"/>
      <w:marBottom w:val="0"/>
      <w:divBdr>
        <w:top w:val="none" w:sz="0" w:space="0" w:color="auto"/>
        <w:left w:val="none" w:sz="0" w:space="0" w:color="auto"/>
        <w:bottom w:val="none" w:sz="0" w:space="0" w:color="auto"/>
        <w:right w:val="none" w:sz="0" w:space="0" w:color="auto"/>
      </w:divBdr>
    </w:div>
    <w:div w:id="946692641">
      <w:bodyDiv w:val="1"/>
      <w:marLeft w:val="0"/>
      <w:marRight w:val="0"/>
      <w:marTop w:val="0"/>
      <w:marBottom w:val="0"/>
      <w:divBdr>
        <w:top w:val="none" w:sz="0" w:space="0" w:color="auto"/>
        <w:left w:val="none" w:sz="0" w:space="0" w:color="auto"/>
        <w:bottom w:val="none" w:sz="0" w:space="0" w:color="auto"/>
        <w:right w:val="none" w:sz="0" w:space="0" w:color="auto"/>
      </w:divBdr>
    </w:div>
    <w:div w:id="947154729">
      <w:bodyDiv w:val="1"/>
      <w:marLeft w:val="0"/>
      <w:marRight w:val="0"/>
      <w:marTop w:val="0"/>
      <w:marBottom w:val="0"/>
      <w:divBdr>
        <w:top w:val="none" w:sz="0" w:space="0" w:color="auto"/>
        <w:left w:val="none" w:sz="0" w:space="0" w:color="auto"/>
        <w:bottom w:val="none" w:sz="0" w:space="0" w:color="auto"/>
        <w:right w:val="none" w:sz="0" w:space="0" w:color="auto"/>
      </w:divBdr>
    </w:div>
    <w:div w:id="951282961">
      <w:bodyDiv w:val="1"/>
      <w:marLeft w:val="0"/>
      <w:marRight w:val="0"/>
      <w:marTop w:val="0"/>
      <w:marBottom w:val="0"/>
      <w:divBdr>
        <w:top w:val="none" w:sz="0" w:space="0" w:color="auto"/>
        <w:left w:val="none" w:sz="0" w:space="0" w:color="auto"/>
        <w:bottom w:val="none" w:sz="0" w:space="0" w:color="auto"/>
        <w:right w:val="none" w:sz="0" w:space="0" w:color="auto"/>
      </w:divBdr>
    </w:div>
    <w:div w:id="955138786">
      <w:bodyDiv w:val="1"/>
      <w:marLeft w:val="0"/>
      <w:marRight w:val="0"/>
      <w:marTop w:val="0"/>
      <w:marBottom w:val="0"/>
      <w:divBdr>
        <w:top w:val="none" w:sz="0" w:space="0" w:color="auto"/>
        <w:left w:val="none" w:sz="0" w:space="0" w:color="auto"/>
        <w:bottom w:val="none" w:sz="0" w:space="0" w:color="auto"/>
        <w:right w:val="none" w:sz="0" w:space="0" w:color="auto"/>
      </w:divBdr>
    </w:div>
    <w:div w:id="955330092">
      <w:bodyDiv w:val="1"/>
      <w:marLeft w:val="0"/>
      <w:marRight w:val="0"/>
      <w:marTop w:val="0"/>
      <w:marBottom w:val="0"/>
      <w:divBdr>
        <w:top w:val="none" w:sz="0" w:space="0" w:color="auto"/>
        <w:left w:val="none" w:sz="0" w:space="0" w:color="auto"/>
        <w:bottom w:val="none" w:sz="0" w:space="0" w:color="auto"/>
        <w:right w:val="none" w:sz="0" w:space="0" w:color="auto"/>
      </w:divBdr>
    </w:div>
    <w:div w:id="960764158">
      <w:bodyDiv w:val="1"/>
      <w:marLeft w:val="0"/>
      <w:marRight w:val="0"/>
      <w:marTop w:val="0"/>
      <w:marBottom w:val="0"/>
      <w:divBdr>
        <w:top w:val="none" w:sz="0" w:space="0" w:color="auto"/>
        <w:left w:val="none" w:sz="0" w:space="0" w:color="auto"/>
        <w:bottom w:val="none" w:sz="0" w:space="0" w:color="auto"/>
        <w:right w:val="none" w:sz="0" w:space="0" w:color="auto"/>
      </w:divBdr>
    </w:div>
    <w:div w:id="968776419">
      <w:bodyDiv w:val="1"/>
      <w:marLeft w:val="0"/>
      <w:marRight w:val="0"/>
      <w:marTop w:val="0"/>
      <w:marBottom w:val="0"/>
      <w:divBdr>
        <w:top w:val="none" w:sz="0" w:space="0" w:color="auto"/>
        <w:left w:val="none" w:sz="0" w:space="0" w:color="auto"/>
        <w:bottom w:val="none" w:sz="0" w:space="0" w:color="auto"/>
        <w:right w:val="none" w:sz="0" w:space="0" w:color="auto"/>
      </w:divBdr>
    </w:div>
    <w:div w:id="972295977">
      <w:bodyDiv w:val="1"/>
      <w:marLeft w:val="0"/>
      <w:marRight w:val="0"/>
      <w:marTop w:val="0"/>
      <w:marBottom w:val="0"/>
      <w:divBdr>
        <w:top w:val="none" w:sz="0" w:space="0" w:color="auto"/>
        <w:left w:val="none" w:sz="0" w:space="0" w:color="auto"/>
        <w:bottom w:val="none" w:sz="0" w:space="0" w:color="auto"/>
        <w:right w:val="none" w:sz="0" w:space="0" w:color="auto"/>
      </w:divBdr>
    </w:div>
    <w:div w:id="974139060">
      <w:bodyDiv w:val="1"/>
      <w:marLeft w:val="0"/>
      <w:marRight w:val="0"/>
      <w:marTop w:val="0"/>
      <w:marBottom w:val="0"/>
      <w:divBdr>
        <w:top w:val="none" w:sz="0" w:space="0" w:color="auto"/>
        <w:left w:val="none" w:sz="0" w:space="0" w:color="auto"/>
        <w:bottom w:val="none" w:sz="0" w:space="0" w:color="auto"/>
        <w:right w:val="none" w:sz="0" w:space="0" w:color="auto"/>
      </w:divBdr>
    </w:div>
    <w:div w:id="976225737">
      <w:bodyDiv w:val="1"/>
      <w:marLeft w:val="0"/>
      <w:marRight w:val="0"/>
      <w:marTop w:val="0"/>
      <w:marBottom w:val="0"/>
      <w:divBdr>
        <w:top w:val="none" w:sz="0" w:space="0" w:color="auto"/>
        <w:left w:val="none" w:sz="0" w:space="0" w:color="auto"/>
        <w:bottom w:val="none" w:sz="0" w:space="0" w:color="auto"/>
        <w:right w:val="none" w:sz="0" w:space="0" w:color="auto"/>
      </w:divBdr>
    </w:div>
    <w:div w:id="983588016">
      <w:bodyDiv w:val="1"/>
      <w:marLeft w:val="0"/>
      <w:marRight w:val="0"/>
      <w:marTop w:val="0"/>
      <w:marBottom w:val="0"/>
      <w:divBdr>
        <w:top w:val="none" w:sz="0" w:space="0" w:color="auto"/>
        <w:left w:val="none" w:sz="0" w:space="0" w:color="auto"/>
        <w:bottom w:val="none" w:sz="0" w:space="0" w:color="auto"/>
        <w:right w:val="none" w:sz="0" w:space="0" w:color="auto"/>
      </w:divBdr>
    </w:div>
    <w:div w:id="989402800">
      <w:bodyDiv w:val="1"/>
      <w:marLeft w:val="0"/>
      <w:marRight w:val="0"/>
      <w:marTop w:val="0"/>
      <w:marBottom w:val="0"/>
      <w:divBdr>
        <w:top w:val="none" w:sz="0" w:space="0" w:color="auto"/>
        <w:left w:val="none" w:sz="0" w:space="0" w:color="auto"/>
        <w:bottom w:val="none" w:sz="0" w:space="0" w:color="auto"/>
        <w:right w:val="none" w:sz="0" w:space="0" w:color="auto"/>
      </w:divBdr>
    </w:div>
    <w:div w:id="996301580">
      <w:bodyDiv w:val="1"/>
      <w:marLeft w:val="0"/>
      <w:marRight w:val="0"/>
      <w:marTop w:val="0"/>
      <w:marBottom w:val="0"/>
      <w:divBdr>
        <w:top w:val="none" w:sz="0" w:space="0" w:color="auto"/>
        <w:left w:val="none" w:sz="0" w:space="0" w:color="auto"/>
        <w:bottom w:val="none" w:sz="0" w:space="0" w:color="auto"/>
        <w:right w:val="none" w:sz="0" w:space="0" w:color="auto"/>
      </w:divBdr>
    </w:div>
    <w:div w:id="997340848">
      <w:bodyDiv w:val="1"/>
      <w:marLeft w:val="0"/>
      <w:marRight w:val="0"/>
      <w:marTop w:val="0"/>
      <w:marBottom w:val="0"/>
      <w:divBdr>
        <w:top w:val="none" w:sz="0" w:space="0" w:color="auto"/>
        <w:left w:val="none" w:sz="0" w:space="0" w:color="auto"/>
        <w:bottom w:val="none" w:sz="0" w:space="0" w:color="auto"/>
        <w:right w:val="none" w:sz="0" w:space="0" w:color="auto"/>
      </w:divBdr>
    </w:div>
    <w:div w:id="1004094411">
      <w:bodyDiv w:val="1"/>
      <w:marLeft w:val="0"/>
      <w:marRight w:val="0"/>
      <w:marTop w:val="0"/>
      <w:marBottom w:val="0"/>
      <w:divBdr>
        <w:top w:val="none" w:sz="0" w:space="0" w:color="auto"/>
        <w:left w:val="none" w:sz="0" w:space="0" w:color="auto"/>
        <w:bottom w:val="none" w:sz="0" w:space="0" w:color="auto"/>
        <w:right w:val="none" w:sz="0" w:space="0" w:color="auto"/>
      </w:divBdr>
    </w:div>
    <w:div w:id="1012032535">
      <w:bodyDiv w:val="1"/>
      <w:marLeft w:val="0"/>
      <w:marRight w:val="0"/>
      <w:marTop w:val="0"/>
      <w:marBottom w:val="0"/>
      <w:divBdr>
        <w:top w:val="none" w:sz="0" w:space="0" w:color="auto"/>
        <w:left w:val="none" w:sz="0" w:space="0" w:color="auto"/>
        <w:bottom w:val="none" w:sz="0" w:space="0" w:color="auto"/>
        <w:right w:val="none" w:sz="0" w:space="0" w:color="auto"/>
      </w:divBdr>
    </w:div>
    <w:div w:id="1020930511">
      <w:bodyDiv w:val="1"/>
      <w:marLeft w:val="0"/>
      <w:marRight w:val="0"/>
      <w:marTop w:val="0"/>
      <w:marBottom w:val="0"/>
      <w:divBdr>
        <w:top w:val="none" w:sz="0" w:space="0" w:color="auto"/>
        <w:left w:val="none" w:sz="0" w:space="0" w:color="auto"/>
        <w:bottom w:val="none" w:sz="0" w:space="0" w:color="auto"/>
        <w:right w:val="none" w:sz="0" w:space="0" w:color="auto"/>
      </w:divBdr>
    </w:div>
    <w:div w:id="1021276932">
      <w:bodyDiv w:val="1"/>
      <w:marLeft w:val="0"/>
      <w:marRight w:val="0"/>
      <w:marTop w:val="0"/>
      <w:marBottom w:val="0"/>
      <w:divBdr>
        <w:top w:val="none" w:sz="0" w:space="0" w:color="auto"/>
        <w:left w:val="none" w:sz="0" w:space="0" w:color="auto"/>
        <w:bottom w:val="none" w:sz="0" w:space="0" w:color="auto"/>
        <w:right w:val="none" w:sz="0" w:space="0" w:color="auto"/>
      </w:divBdr>
    </w:div>
    <w:div w:id="1035736047">
      <w:bodyDiv w:val="1"/>
      <w:marLeft w:val="0"/>
      <w:marRight w:val="0"/>
      <w:marTop w:val="0"/>
      <w:marBottom w:val="0"/>
      <w:divBdr>
        <w:top w:val="none" w:sz="0" w:space="0" w:color="auto"/>
        <w:left w:val="none" w:sz="0" w:space="0" w:color="auto"/>
        <w:bottom w:val="none" w:sz="0" w:space="0" w:color="auto"/>
        <w:right w:val="none" w:sz="0" w:space="0" w:color="auto"/>
      </w:divBdr>
    </w:div>
    <w:div w:id="1037972565">
      <w:bodyDiv w:val="1"/>
      <w:marLeft w:val="0"/>
      <w:marRight w:val="0"/>
      <w:marTop w:val="0"/>
      <w:marBottom w:val="0"/>
      <w:divBdr>
        <w:top w:val="none" w:sz="0" w:space="0" w:color="auto"/>
        <w:left w:val="none" w:sz="0" w:space="0" w:color="auto"/>
        <w:bottom w:val="none" w:sz="0" w:space="0" w:color="auto"/>
        <w:right w:val="none" w:sz="0" w:space="0" w:color="auto"/>
      </w:divBdr>
    </w:div>
    <w:div w:id="1045370524">
      <w:bodyDiv w:val="1"/>
      <w:marLeft w:val="0"/>
      <w:marRight w:val="0"/>
      <w:marTop w:val="0"/>
      <w:marBottom w:val="0"/>
      <w:divBdr>
        <w:top w:val="none" w:sz="0" w:space="0" w:color="auto"/>
        <w:left w:val="none" w:sz="0" w:space="0" w:color="auto"/>
        <w:bottom w:val="none" w:sz="0" w:space="0" w:color="auto"/>
        <w:right w:val="none" w:sz="0" w:space="0" w:color="auto"/>
      </w:divBdr>
    </w:div>
    <w:div w:id="1046216781">
      <w:bodyDiv w:val="1"/>
      <w:marLeft w:val="0"/>
      <w:marRight w:val="0"/>
      <w:marTop w:val="0"/>
      <w:marBottom w:val="0"/>
      <w:divBdr>
        <w:top w:val="none" w:sz="0" w:space="0" w:color="auto"/>
        <w:left w:val="none" w:sz="0" w:space="0" w:color="auto"/>
        <w:bottom w:val="none" w:sz="0" w:space="0" w:color="auto"/>
        <w:right w:val="none" w:sz="0" w:space="0" w:color="auto"/>
      </w:divBdr>
    </w:div>
    <w:div w:id="1052999351">
      <w:bodyDiv w:val="1"/>
      <w:marLeft w:val="0"/>
      <w:marRight w:val="0"/>
      <w:marTop w:val="0"/>
      <w:marBottom w:val="0"/>
      <w:divBdr>
        <w:top w:val="none" w:sz="0" w:space="0" w:color="auto"/>
        <w:left w:val="none" w:sz="0" w:space="0" w:color="auto"/>
        <w:bottom w:val="none" w:sz="0" w:space="0" w:color="auto"/>
        <w:right w:val="none" w:sz="0" w:space="0" w:color="auto"/>
      </w:divBdr>
    </w:div>
    <w:div w:id="1054625350">
      <w:bodyDiv w:val="1"/>
      <w:marLeft w:val="0"/>
      <w:marRight w:val="0"/>
      <w:marTop w:val="0"/>
      <w:marBottom w:val="0"/>
      <w:divBdr>
        <w:top w:val="none" w:sz="0" w:space="0" w:color="auto"/>
        <w:left w:val="none" w:sz="0" w:space="0" w:color="auto"/>
        <w:bottom w:val="none" w:sz="0" w:space="0" w:color="auto"/>
        <w:right w:val="none" w:sz="0" w:space="0" w:color="auto"/>
      </w:divBdr>
    </w:div>
    <w:div w:id="1056124536">
      <w:bodyDiv w:val="1"/>
      <w:marLeft w:val="0"/>
      <w:marRight w:val="0"/>
      <w:marTop w:val="0"/>
      <w:marBottom w:val="0"/>
      <w:divBdr>
        <w:top w:val="none" w:sz="0" w:space="0" w:color="auto"/>
        <w:left w:val="none" w:sz="0" w:space="0" w:color="auto"/>
        <w:bottom w:val="none" w:sz="0" w:space="0" w:color="auto"/>
        <w:right w:val="none" w:sz="0" w:space="0" w:color="auto"/>
      </w:divBdr>
    </w:div>
    <w:div w:id="1062950765">
      <w:bodyDiv w:val="1"/>
      <w:marLeft w:val="0"/>
      <w:marRight w:val="0"/>
      <w:marTop w:val="0"/>
      <w:marBottom w:val="0"/>
      <w:divBdr>
        <w:top w:val="none" w:sz="0" w:space="0" w:color="auto"/>
        <w:left w:val="none" w:sz="0" w:space="0" w:color="auto"/>
        <w:bottom w:val="none" w:sz="0" w:space="0" w:color="auto"/>
        <w:right w:val="none" w:sz="0" w:space="0" w:color="auto"/>
      </w:divBdr>
    </w:div>
    <w:div w:id="1066295319">
      <w:bodyDiv w:val="1"/>
      <w:marLeft w:val="0"/>
      <w:marRight w:val="0"/>
      <w:marTop w:val="0"/>
      <w:marBottom w:val="0"/>
      <w:divBdr>
        <w:top w:val="none" w:sz="0" w:space="0" w:color="auto"/>
        <w:left w:val="none" w:sz="0" w:space="0" w:color="auto"/>
        <w:bottom w:val="none" w:sz="0" w:space="0" w:color="auto"/>
        <w:right w:val="none" w:sz="0" w:space="0" w:color="auto"/>
      </w:divBdr>
    </w:div>
    <w:div w:id="1069039329">
      <w:bodyDiv w:val="1"/>
      <w:marLeft w:val="0"/>
      <w:marRight w:val="0"/>
      <w:marTop w:val="0"/>
      <w:marBottom w:val="0"/>
      <w:divBdr>
        <w:top w:val="none" w:sz="0" w:space="0" w:color="auto"/>
        <w:left w:val="none" w:sz="0" w:space="0" w:color="auto"/>
        <w:bottom w:val="none" w:sz="0" w:space="0" w:color="auto"/>
        <w:right w:val="none" w:sz="0" w:space="0" w:color="auto"/>
      </w:divBdr>
    </w:div>
    <w:div w:id="1070425011">
      <w:bodyDiv w:val="1"/>
      <w:marLeft w:val="0"/>
      <w:marRight w:val="0"/>
      <w:marTop w:val="0"/>
      <w:marBottom w:val="0"/>
      <w:divBdr>
        <w:top w:val="none" w:sz="0" w:space="0" w:color="auto"/>
        <w:left w:val="none" w:sz="0" w:space="0" w:color="auto"/>
        <w:bottom w:val="none" w:sz="0" w:space="0" w:color="auto"/>
        <w:right w:val="none" w:sz="0" w:space="0" w:color="auto"/>
      </w:divBdr>
      <w:divsChild>
        <w:div w:id="2002809118">
          <w:marLeft w:val="547"/>
          <w:marRight w:val="0"/>
          <w:marTop w:val="77"/>
          <w:marBottom w:val="0"/>
          <w:divBdr>
            <w:top w:val="none" w:sz="0" w:space="0" w:color="auto"/>
            <w:left w:val="none" w:sz="0" w:space="0" w:color="auto"/>
            <w:bottom w:val="none" w:sz="0" w:space="0" w:color="auto"/>
            <w:right w:val="none" w:sz="0" w:space="0" w:color="auto"/>
          </w:divBdr>
        </w:div>
      </w:divsChild>
    </w:div>
    <w:div w:id="1075053363">
      <w:bodyDiv w:val="1"/>
      <w:marLeft w:val="0"/>
      <w:marRight w:val="0"/>
      <w:marTop w:val="0"/>
      <w:marBottom w:val="0"/>
      <w:divBdr>
        <w:top w:val="none" w:sz="0" w:space="0" w:color="auto"/>
        <w:left w:val="none" w:sz="0" w:space="0" w:color="auto"/>
        <w:bottom w:val="none" w:sz="0" w:space="0" w:color="auto"/>
        <w:right w:val="none" w:sz="0" w:space="0" w:color="auto"/>
      </w:divBdr>
    </w:div>
    <w:div w:id="1081874280">
      <w:bodyDiv w:val="1"/>
      <w:marLeft w:val="0"/>
      <w:marRight w:val="0"/>
      <w:marTop w:val="0"/>
      <w:marBottom w:val="0"/>
      <w:divBdr>
        <w:top w:val="none" w:sz="0" w:space="0" w:color="auto"/>
        <w:left w:val="none" w:sz="0" w:space="0" w:color="auto"/>
        <w:bottom w:val="none" w:sz="0" w:space="0" w:color="auto"/>
        <w:right w:val="none" w:sz="0" w:space="0" w:color="auto"/>
      </w:divBdr>
    </w:div>
    <w:div w:id="1086195302">
      <w:bodyDiv w:val="1"/>
      <w:marLeft w:val="0"/>
      <w:marRight w:val="0"/>
      <w:marTop w:val="0"/>
      <w:marBottom w:val="0"/>
      <w:divBdr>
        <w:top w:val="none" w:sz="0" w:space="0" w:color="auto"/>
        <w:left w:val="none" w:sz="0" w:space="0" w:color="auto"/>
        <w:bottom w:val="none" w:sz="0" w:space="0" w:color="auto"/>
        <w:right w:val="none" w:sz="0" w:space="0" w:color="auto"/>
      </w:divBdr>
    </w:div>
    <w:div w:id="1090396981">
      <w:bodyDiv w:val="1"/>
      <w:marLeft w:val="0"/>
      <w:marRight w:val="0"/>
      <w:marTop w:val="0"/>
      <w:marBottom w:val="0"/>
      <w:divBdr>
        <w:top w:val="none" w:sz="0" w:space="0" w:color="auto"/>
        <w:left w:val="none" w:sz="0" w:space="0" w:color="auto"/>
        <w:bottom w:val="none" w:sz="0" w:space="0" w:color="auto"/>
        <w:right w:val="none" w:sz="0" w:space="0" w:color="auto"/>
      </w:divBdr>
    </w:div>
    <w:div w:id="1090850996">
      <w:bodyDiv w:val="1"/>
      <w:marLeft w:val="0"/>
      <w:marRight w:val="0"/>
      <w:marTop w:val="0"/>
      <w:marBottom w:val="0"/>
      <w:divBdr>
        <w:top w:val="none" w:sz="0" w:space="0" w:color="auto"/>
        <w:left w:val="none" w:sz="0" w:space="0" w:color="auto"/>
        <w:bottom w:val="none" w:sz="0" w:space="0" w:color="auto"/>
        <w:right w:val="none" w:sz="0" w:space="0" w:color="auto"/>
      </w:divBdr>
    </w:div>
    <w:div w:id="1093547428">
      <w:bodyDiv w:val="1"/>
      <w:marLeft w:val="0"/>
      <w:marRight w:val="0"/>
      <w:marTop w:val="0"/>
      <w:marBottom w:val="0"/>
      <w:divBdr>
        <w:top w:val="none" w:sz="0" w:space="0" w:color="auto"/>
        <w:left w:val="none" w:sz="0" w:space="0" w:color="auto"/>
        <w:bottom w:val="none" w:sz="0" w:space="0" w:color="auto"/>
        <w:right w:val="none" w:sz="0" w:space="0" w:color="auto"/>
      </w:divBdr>
    </w:div>
    <w:div w:id="1101335746">
      <w:bodyDiv w:val="1"/>
      <w:marLeft w:val="0"/>
      <w:marRight w:val="0"/>
      <w:marTop w:val="0"/>
      <w:marBottom w:val="0"/>
      <w:divBdr>
        <w:top w:val="none" w:sz="0" w:space="0" w:color="auto"/>
        <w:left w:val="none" w:sz="0" w:space="0" w:color="auto"/>
        <w:bottom w:val="none" w:sz="0" w:space="0" w:color="auto"/>
        <w:right w:val="none" w:sz="0" w:space="0" w:color="auto"/>
      </w:divBdr>
    </w:div>
    <w:div w:id="1104619640">
      <w:bodyDiv w:val="1"/>
      <w:marLeft w:val="0"/>
      <w:marRight w:val="0"/>
      <w:marTop w:val="0"/>
      <w:marBottom w:val="0"/>
      <w:divBdr>
        <w:top w:val="none" w:sz="0" w:space="0" w:color="auto"/>
        <w:left w:val="none" w:sz="0" w:space="0" w:color="auto"/>
        <w:bottom w:val="none" w:sz="0" w:space="0" w:color="auto"/>
        <w:right w:val="none" w:sz="0" w:space="0" w:color="auto"/>
      </w:divBdr>
    </w:div>
    <w:div w:id="1106345161">
      <w:bodyDiv w:val="1"/>
      <w:marLeft w:val="0"/>
      <w:marRight w:val="0"/>
      <w:marTop w:val="0"/>
      <w:marBottom w:val="0"/>
      <w:divBdr>
        <w:top w:val="none" w:sz="0" w:space="0" w:color="auto"/>
        <w:left w:val="none" w:sz="0" w:space="0" w:color="auto"/>
        <w:bottom w:val="none" w:sz="0" w:space="0" w:color="auto"/>
        <w:right w:val="none" w:sz="0" w:space="0" w:color="auto"/>
      </w:divBdr>
      <w:divsChild>
        <w:div w:id="1342974490">
          <w:marLeft w:val="547"/>
          <w:marRight w:val="0"/>
          <w:marTop w:val="67"/>
          <w:marBottom w:val="0"/>
          <w:divBdr>
            <w:top w:val="none" w:sz="0" w:space="0" w:color="auto"/>
            <w:left w:val="none" w:sz="0" w:space="0" w:color="auto"/>
            <w:bottom w:val="none" w:sz="0" w:space="0" w:color="auto"/>
            <w:right w:val="none" w:sz="0" w:space="0" w:color="auto"/>
          </w:divBdr>
        </w:div>
      </w:divsChild>
    </w:div>
    <w:div w:id="1106652938">
      <w:bodyDiv w:val="1"/>
      <w:marLeft w:val="0"/>
      <w:marRight w:val="0"/>
      <w:marTop w:val="0"/>
      <w:marBottom w:val="0"/>
      <w:divBdr>
        <w:top w:val="none" w:sz="0" w:space="0" w:color="auto"/>
        <w:left w:val="none" w:sz="0" w:space="0" w:color="auto"/>
        <w:bottom w:val="none" w:sz="0" w:space="0" w:color="auto"/>
        <w:right w:val="none" w:sz="0" w:space="0" w:color="auto"/>
      </w:divBdr>
    </w:div>
    <w:div w:id="1107237547">
      <w:bodyDiv w:val="1"/>
      <w:marLeft w:val="0"/>
      <w:marRight w:val="0"/>
      <w:marTop w:val="0"/>
      <w:marBottom w:val="0"/>
      <w:divBdr>
        <w:top w:val="none" w:sz="0" w:space="0" w:color="auto"/>
        <w:left w:val="none" w:sz="0" w:space="0" w:color="auto"/>
        <w:bottom w:val="none" w:sz="0" w:space="0" w:color="auto"/>
        <w:right w:val="none" w:sz="0" w:space="0" w:color="auto"/>
      </w:divBdr>
    </w:div>
    <w:div w:id="1108964775">
      <w:bodyDiv w:val="1"/>
      <w:marLeft w:val="0"/>
      <w:marRight w:val="0"/>
      <w:marTop w:val="0"/>
      <w:marBottom w:val="0"/>
      <w:divBdr>
        <w:top w:val="none" w:sz="0" w:space="0" w:color="auto"/>
        <w:left w:val="none" w:sz="0" w:space="0" w:color="auto"/>
        <w:bottom w:val="none" w:sz="0" w:space="0" w:color="auto"/>
        <w:right w:val="none" w:sz="0" w:space="0" w:color="auto"/>
      </w:divBdr>
    </w:div>
    <w:div w:id="1113793505">
      <w:bodyDiv w:val="1"/>
      <w:marLeft w:val="0"/>
      <w:marRight w:val="0"/>
      <w:marTop w:val="0"/>
      <w:marBottom w:val="0"/>
      <w:divBdr>
        <w:top w:val="none" w:sz="0" w:space="0" w:color="auto"/>
        <w:left w:val="none" w:sz="0" w:space="0" w:color="auto"/>
        <w:bottom w:val="none" w:sz="0" w:space="0" w:color="auto"/>
        <w:right w:val="none" w:sz="0" w:space="0" w:color="auto"/>
      </w:divBdr>
    </w:div>
    <w:div w:id="1116025156">
      <w:bodyDiv w:val="1"/>
      <w:marLeft w:val="0"/>
      <w:marRight w:val="0"/>
      <w:marTop w:val="0"/>
      <w:marBottom w:val="0"/>
      <w:divBdr>
        <w:top w:val="none" w:sz="0" w:space="0" w:color="auto"/>
        <w:left w:val="none" w:sz="0" w:space="0" w:color="auto"/>
        <w:bottom w:val="none" w:sz="0" w:space="0" w:color="auto"/>
        <w:right w:val="none" w:sz="0" w:space="0" w:color="auto"/>
      </w:divBdr>
    </w:div>
    <w:div w:id="1116406733">
      <w:bodyDiv w:val="1"/>
      <w:marLeft w:val="0"/>
      <w:marRight w:val="0"/>
      <w:marTop w:val="0"/>
      <w:marBottom w:val="0"/>
      <w:divBdr>
        <w:top w:val="none" w:sz="0" w:space="0" w:color="auto"/>
        <w:left w:val="none" w:sz="0" w:space="0" w:color="auto"/>
        <w:bottom w:val="none" w:sz="0" w:space="0" w:color="auto"/>
        <w:right w:val="none" w:sz="0" w:space="0" w:color="auto"/>
      </w:divBdr>
    </w:div>
    <w:div w:id="1119102698">
      <w:bodyDiv w:val="1"/>
      <w:marLeft w:val="0"/>
      <w:marRight w:val="0"/>
      <w:marTop w:val="0"/>
      <w:marBottom w:val="0"/>
      <w:divBdr>
        <w:top w:val="none" w:sz="0" w:space="0" w:color="auto"/>
        <w:left w:val="none" w:sz="0" w:space="0" w:color="auto"/>
        <w:bottom w:val="none" w:sz="0" w:space="0" w:color="auto"/>
        <w:right w:val="none" w:sz="0" w:space="0" w:color="auto"/>
      </w:divBdr>
    </w:div>
    <w:div w:id="1126200924">
      <w:bodyDiv w:val="1"/>
      <w:marLeft w:val="0"/>
      <w:marRight w:val="0"/>
      <w:marTop w:val="0"/>
      <w:marBottom w:val="0"/>
      <w:divBdr>
        <w:top w:val="none" w:sz="0" w:space="0" w:color="auto"/>
        <w:left w:val="none" w:sz="0" w:space="0" w:color="auto"/>
        <w:bottom w:val="none" w:sz="0" w:space="0" w:color="auto"/>
        <w:right w:val="none" w:sz="0" w:space="0" w:color="auto"/>
      </w:divBdr>
    </w:div>
    <w:div w:id="1130439864">
      <w:bodyDiv w:val="1"/>
      <w:marLeft w:val="0"/>
      <w:marRight w:val="0"/>
      <w:marTop w:val="0"/>
      <w:marBottom w:val="0"/>
      <w:divBdr>
        <w:top w:val="none" w:sz="0" w:space="0" w:color="auto"/>
        <w:left w:val="none" w:sz="0" w:space="0" w:color="auto"/>
        <w:bottom w:val="none" w:sz="0" w:space="0" w:color="auto"/>
        <w:right w:val="none" w:sz="0" w:space="0" w:color="auto"/>
      </w:divBdr>
    </w:div>
    <w:div w:id="1134757233">
      <w:bodyDiv w:val="1"/>
      <w:marLeft w:val="0"/>
      <w:marRight w:val="0"/>
      <w:marTop w:val="0"/>
      <w:marBottom w:val="0"/>
      <w:divBdr>
        <w:top w:val="none" w:sz="0" w:space="0" w:color="auto"/>
        <w:left w:val="none" w:sz="0" w:space="0" w:color="auto"/>
        <w:bottom w:val="none" w:sz="0" w:space="0" w:color="auto"/>
        <w:right w:val="none" w:sz="0" w:space="0" w:color="auto"/>
      </w:divBdr>
    </w:div>
    <w:div w:id="1137919987">
      <w:bodyDiv w:val="1"/>
      <w:marLeft w:val="0"/>
      <w:marRight w:val="0"/>
      <w:marTop w:val="0"/>
      <w:marBottom w:val="0"/>
      <w:divBdr>
        <w:top w:val="none" w:sz="0" w:space="0" w:color="auto"/>
        <w:left w:val="none" w:sz="0" w:space="0" w:color="auto"/>
        <w:bottom w:val="none" w:sz="0" w:space="0" w:color="auto"/>
        <w:right w:val="none" w:sz="0" w:space="0" w:color="auto"/>
      </w:divBdr>
    </w:div>
    <w:div w:id="1147623142">
      <w:bodyDiv w:val="1"/>
      <w:marLeft w:val="0"/>
      <w:marRight w:val="0"/>
      <w:marTop w:val="0"/>
      <w:marBottom w:val="0"/>
      <w:divBdr>
        <w:top w:val="none" w:sz="0" w:space="0" w:color="auto"/>
        <w:left w:val="none" w:sz="0" w:space="0" w:color="auto"/>
        <w:bottom w:val="none" w:sz="0" w:space="0" w:color="auto"/>
        <w:right w:val="none" w:sz="0" w:space="0" w:color="auto"/>
      </w:divBdr>
    </w:div>
    <w:div w:id="1155535677">
      <w:bodyDiv w:val="1"/>
      <w:marLeft w:val="0"/>
      <w:marRight w:val="0"/>
      <w:marTop w:val="0"/>
      <w:marBottom w:val="0"/>
      <w:divBdr>
        <w:top w:val="none" w:sz="0" w:space="0" w:color="auto"/>
        <w:left w:val="none" w:sz="0" w:space="0" w:color="auto"/>
        <w:bottom w:val="none" w:sz="0" w:space="0" w:color="auto"/>
        <w:right w:val="none" w:sz="0" w:space="0" w:color="auto"/>
      </w:divBdr>
    </w:div>
    <w:div w:id="1157041248">
      <w:bodyDiv w:val="1"/>
      <w:marLeft w:val="0"/>
      <w:marRight w:val="0"/>
      <w:marTop w:val="0"/>
      <w:marBottom w:val="0"/>
      <w:divBdr>
        <w:top w:val="none" w:sz="0" w:space="0" w:color="auto"/>
        <w:left w:val="none" w:sz="0" w:space="0" w:color="auto"/>
        <w:bottom w:val="none" w:sz="0" w:space="0" w:color="auto"/>
        <w:right w:val="none" w:sz="0" w:space="0" w:color="auto"/>
      </w:divBdr>
    </w:div>
    <w:div w:id="1158692704">
      <w:bodyDiv w:val="1"/>
      <w:marLeft w:val="0"/>
      <w:marRight w:val="0"/>
      <w:marTop w:val="0"/>
      <w:marBottom w:val="0"/>
      <w:divBdr>
        <w:top w:val="none" w:sz="0" w:space="0" w:color="auto"/>
        <w:left w:val="none" w:sz="0" w:space="0" w:color="auto"/>
        <w:bottom w:val="none" w:sz="0" w:space="0" w:color="auto"/>
        <w:right w:val="none" w:sz="0" w:space="0" w:color="auto"/>
      </w:divBdr>
    </w:div>
    <w:div w:id="1166870349">
      <w:bodyDiv w:val="1"/>
      <w:marLeft w:val="0"/>
      <w:marRight w:val="0"/>
      <w:marTop w:val="0"/>
      <w:marBottom w:val="0"/>
      <w:divBdr>
        <w:top w:val="none" w:sz="0" w:space="0" w:color="auto"/>
        <w:left w:val="none" w:sz="0" w:space="0" w:color="auto"/>
        <w:bottom w:val="none" w:sz="0" w:space="0" w:color="auto"/>
        <w:right w:val="none" w:sz="0" w:space="0" w:color="auto"/>
      </w:divBdr>
    </w:div>
    <w:div w:id="1167095422">
      <w:bodyDiv w:val="1"/>
      <w:marLeft w:val="0"/>
      <w:marRight w:val="0"/>
      <w:marTop w:val="0"/>
      <w:marBottom w:val="0"/>
      <w:divBdr>
        <w:top w:val="none" w:sz="0" w:space="0" w:color="auto"/>
        <w:left w:val="none" w:sz="0" w:space="0" w:color="auto"/>
        <w:bottom w:val="none" w:sz="0" w:space="0" w:color="auto"/>
        <w:right w:val="none" w:sz="0" w:space="0" w:color="auto"/>
      </w:divBdr>
    </w:div>
    <w:div w:id="1167475176">
      <w:bodyDiv w:val="1"/>
      <w:marLeft w:val="0"/>
      <w:marRight w:val="0"/>
      <w:marTop w:val="0"/>
      <w:marBottom w:val="0"/>
      <w:divBdr>
        <w:top w:val="none" w:sz="0" w:space="0" w:color="auto"/>
        <w:left w:val="none" w:sz="0" w:space="0" w:color="auto"/>
        <w:bottom w:val="none" w:sz="0" w:space="0" w:color="auto"/>
        <w:right w:val="none" w:sz="0" w:space="0" w:color="auto"/>
      </w:divBdr>
    </w:div>
    <w:div w:id="1173645243">
      <w:bodyDiv w:val="1"/>
      <w:marLeft w:val="0"/>
      <w:marRight w:val="0"/>
      <w:marTop w:val="0"/>
      <w:marBottom w:val="0"/>
      <w:divBdr>
        <w:top w:val="none" w:sz="0" w:space="0" w:color="auto"/>
        <w:left w:val="none" w:sz="0" w:space="0" w:color="auto"/>
        <w:bottom w:val="none" w:sz="0" w:space="0" w:color="auto"/>
        <w:right w:val="none" w:sz="0" w:space="0" w:color="auto"/>
      </w:divBdr>
    </w:div>
    <w:div w:id="1178814363">
      <w:bodyDiv w:val="1"/>
      <w:marLeft w:val="0"/>
      <w:marRight w:val="0"/>
      <w:marTop w:val="0"/>
      <w:marBottom w:val="0"/>
      <w:divBdr>
        <w:top w:val="none" w:sz="0" w:space="0" w:color="auto"/>
        <w:left w:val="none" w:sz="0" w:space="0" w:color="auto"/>
        <w:bottom w:val="none" w:sz="0" w:space="0" w:color="auto"/>
        <w:right w:val="none" w:sz="0" w:space="0" w:color="auto"/>
      </w:divBdr>
    </w:div>
    <w:div w:id="1183275604">
      <w:bodyDiv w:val="1"/>
      <w:marLeft w:val="0"/>
      <w:marRight w:val="0"/>
      <w:marTop w:val="0"/>
      <w:marBottom w:val="0"/>
      <w:divBdr>
        <w:top w:val="none" w:sz="0" w:space="0" w:color="auto"/>
        <w:left w:val="none" w:sz="0" w:space="0" w:color="auto"/>
        <w:bottom w:val="none" w:sz="0" w:space="0" w:color="auto"/>
        <w:right w:val="none" w:sz="0" w:space="0" w:color="auto"/>
      </w:divBdr>
    </w:div>
    <w:div w:id="1192575335">
      <w:bodyDiv w:val="1"/>
      <w:marLeft w:val="0"/>
      <w:marRight w:val="0"/>
      <w:marTop w:val="0"/>
      <w:marBottom w:val="0"/>
      <w:divBdr>
        <w:top w:val="none" w:sz="0" w:space="0" w:color="auto"/>
        <w:left w:val="none" w:sz="0" w:space="0" w:color="auto"/>
        <w:bottom w:val="none" w:sz="0" w:space="0" w:color="auto"/>
        <w:right w:val="none" w:sz="0" w:space="0" w:color="auto"/>
      </w:divBdr>
    </w:div>
    <w:div w:id="1192648451">
      <w:bodyDiv w:val="1"/>
      <w:marLeft w:val="0"/>
      <w:marRight w:val="0"/>
      <w:marTop w:val="0"/>
      <w:marBottom w:val="0"/>
      <w:divBdr>
        <w:top w:val="none" w:sz="0" w:space="0" w:color="auto"/>
        <w:left w:val="none" w:sz="0" w:space="0" w:color="auto"/>
        <w:bottom w:val="none" w:sz="0" w:space="0" w:color="auto"/>
        <w:right w:val="none" w:sz="0" w:space="0" w:color="auto"/>
      </w:divBdr>
    </w:div>
    <w:div w:id="1202280149">
      <w:bodyDiv w:val="1"/>
      <w:marLeft w:val="0"/>
      <w:marRight w:val="0"/>
      <w:marTop w:val="0"/>
      <w:marBottom w:val="0"/>
      <w:divBdr>
        <w:top w:val="none" w:sz="0" w:space="0" w:color="auto"/>
        <w:left w:val="none" w:sz="0" w:space="0" w:color="auto"/>
        <w:bottom w:val="none" w:sz="0" w:space="0" w:color="auto"/>
        <w:right w:val="none" w:sz="0" w:space="0" w:color="auto"/>
      </w:divBdr>
      <w:divsChild>
        <w:div w:id="656110548">
          <w:marLeft w:val="547"/>
          <w:marRight w:val="0"/>
          <w:marTop w:val="62"/>
          <w:marBottom w:val="0"/>
          <w:divBdr>
            <w:top w:val="none" w:sz="0" w:space="0" w:color="auto"/>
            <w:left w:val="none" w:sz="0" w:space="0" w:color="auto"/>
            <w:bottom w:val="none" w:sz="0" w:space="0" w:color="auto"/>
            <w:right w:val="none" w:sz="0" w:space="0" w:color="auto"/>
          </w:divBdr>
        </w:div>
      </w:divsChild>
    </w:div>
    <w:div w:id="1205555506">
      <w:bodyDiv w:val="1"/>
      <w:marLeft w:val="0"/>
      <w:marRight w:val="0"/>
      <w:marTop w:val="0"/>
      <w:marBottom w:val="0"/>
      <w:divBdr>
        <w:top w:val="none" w:sz="0" w:space="0" w:color="auto"/>
        <w:left w:val="none" w:sz="0" w:space="0" w:color="auto"/>
        <w:bottom w:val="none" w:sz="0" w:space="0" w:color="auto"/>
        <w:right w:val="none" w:sz="0" w:space="0" w:color="auto"/>
      </w:divBdr>
    </w:div>
    <w:div w:id="1210611064">
      <w:bodyDiv w:val="1"/>
      <w:marLeft w:val="0"/>
      <w:marRight w:val="0"/>
      <w:marTop w:val="0"/>
      <w:marBottom w:val="0"/>
      <w:divBdr>
        <w:top w:val="none" w:sz="0" w:space="0" w:color="auto"/>
        <w:left w:val="none" w:sz="0" w:space="0" w:color="auto"/>
        <w:bottom w:val="none" w:sz="0" w:space="0" w:color="auto"/>
        <w:right w:val="none" w:sz="0" w:space="0" w:color="auto"/>
      </w:divBdr>
    </w:div>
    <w:div w:id="1212689219">
      <w:bodyDiv w:val="1"/>
      <w:marLeft w:val="0"/>
      <w:marRight w:val="0"/>
      <w:marTop w:val="0"/>
      <w:marBottom w:val="0"/>
      <w:divBdr>
        <w:top w:val="none" w:sz="0" w:space="0" w:color="auto"/>
        <w:left w:val="none" w:sz="0" w:space="0" w:color="auto"/>
        <w:bottom w:val="none" w:sz="0" w:space="0" w:color="auto"/>
        <w:right w:val="none" w:sz="0" w:space="0" w:color="auto"/>
      </w:divBdr>
    </w:div>
    <w:div w:id="1213081718">
      <w:bodyDiv w:val="1"/>
      <w:marLeft w:val="0"/>
      <w:marRight w:val="0"/>
      <w:marTop w:val="0"/>
      <w:marBottom w:val="0"/>
      <w:divBdr>
        <w:top w:val="none" w:sz="0" w:space="0" w:color="auto"/>
        <w:left w:val="none" w:sz="0" w:space="0" w:color="auto"/>
        <w:bottom w:val="none" w:sz="0" w:space="0" w:color="auto"/>
        <w:right w:val="none" w:sz="0" w:space="0" w:color="auto"/>
      </w:divBdr>
    </w:div>
    <w:div w:id="1222063070">
      <w:bodyDiv w:val="1"/>
      <w:marLeft w:val="0"/>
      <w:marRight w:val="0"/>
      <w:marTop w:val="0"/>
      <w:marBottom w:val="0"/>
      <w:divBdr>
        <w:top w:val="none" w:sz="0" w:space="0" w:color="auto"/>
        <w:left w:val="none" w:sz="0" w:space="0" w:color="auto"/>
        <w:bottom w:val="none" w:sz="0" w:space="0" w:color="auto"/>
        <w:right w:val="none" w:sz="0" w:space="0" w:color="auto"/>
      </w:divBdr>
    </w:div>
    <w:div w:id="1240483070">
      <w:bodyDiv w:val="1"/>
      <w:marLeft w:val="0"/>
      <w:marRight w:val="0"/>
      <w:marTop w:val="0"/>
      <w:marBottom w:val="0"/>
      <w:divBdr>
        <w:top w:val="none" w:sz="0" w:space="0" w:color="auto"/>
        <w:left w:val="none" w:sz="0" w:space="0" w:color="auto"/>
        <w:bottom w:val="none" w:sz="0" w:space="0" w:color="auto"/>
        <w:right w:val="none" w:sz="0" w:space="0" w:color="auto"/>
      </w:divBdr>
    </w:div>
    <w:div w:id="1245216138">
      <w:bodyDiv w:val="1"/>
      <w:marLeft w:val="0"/>
      <w:marRight w:val="0"/>
      <w:marTop w:val="0"/>
      <w:marBottom w:val="0"/>
      <w:divBdr>
        <w:top w:val="none" w:sz="0" w:space="0" w:color="auto"/>
        <w:left w:val="none" w:sz="0" w:space="0" w:color="auto"/>
        <w:bottom w:val="none" w:sz="0" w:space="0" w:color="auto"/>
        <w:right w:val="none" w:sz="0" w:space="0" w:color="auto"/>
      </w:divBdr>
    </w:div>
    <w:div w:id="1246262606">
      <w:bodyDiv w:val="1"/>
      <w:marLeft w:val="0"/>
      <w:marRight w:val="0"/>
      <w:marTop w:val="0"/>
      <w:marBottom w:val="0"/>
      <w:divBdr>
        <w:top w:val="none" w:sz="0" w:space="0" w:color="auto"/>
        <w:left w:val="none" w:sz="0" w:space="0" w:color="auto"/>
        <w:bottom w:val="none" w:sz="0" w:space="0" w:color="auto"/>
        <w:right w:val="none" w:sz="0" w:space="0" w:color="auto"/>
      </w:divBdr>
    </w:div>
    <w:div w:id="1247032202">
      <w:bodyDiv w:val="1"/>
      <w:marLeft w:val="0"/>
      <w:marRight w:val="0"/>
      <w:marTop w:val="0"/>
      <w:marBottom w:val="0"/>
      <w:divBdr>
        <w:top w:val="none" w:sz="0" w:space="0" w:color="auto"/>
        <w:left w:val="none" w:sz="0" w:space="0" w:color="auto"/>
        <w:bottom w:val="none" w:sz="0" w:space="0" w:color="auto"/>
        <w:right w:val="none" w:sz="0" w:space="0" w:color="auto"/>
      </w:divBdr>
    </w:div>
    <w:div w:id="1252930855">
      <w:bodyDiv w:val="1"/>
      <w:marLeft w:val="0"/>
      <w:marRight w:val="0"/>
      <w:marTop w:val="0"/>
      <w:marBottom w:val="0"/>
      <w:divBdr>
        <w:top w:val="none" w:sz="0" w:space="0" w:color="auto"/>
        <w:left w:val="none" w:sz="0" w:space="0" w:color="auto"/>
        <w:bottom w:val="none" w:sz="0" w:space="0" w:color="auto"/>
        <w:right w:val="none" w:sz="0" w:space="0" w:color="auto"/>
      </w:divBdr>
    </w:div>
    <w:div w:id="1256356944">
      <w:bodyDiv w:val="1"/>
      <w:marLeft w:val="0"/>
      <w:marRight w:val="0"/>
      <w:marTop w:val="0"/>
      <w:marBottom w:val="0"/>
      <w:divBdr>
        <w:top w:val="none" w:sz="0" w:space="0" w:color="auto"/>
        <w:left w:val="none" w:sz="0" w:space="0" w:color="auto"/>
        <w:bottom w:val="none" w:sz="0" w:space="0" w:color="auto"/>
        <w:right w:val="none" w:sz="0" w:space="0" w:color="auto"/>
      </w:divBdr>
    </w:div>
    <w:div w:id="1257135679">
      <w:bodyDiv w:val="1"/>
      <w:marLeft w:val="0"/>
      <w:marRight w:val="0"/>
      <w:marTop w:val="0"/>
      <w:marBottom w:val="0"/>
      <w:divBdr>
        <w:top w:val="none" w:sz="0" w:space="0" w:color="auto"/>
        <w:left w:val="none" w:sz="0" w:space="0" w:color="auto"/>
        <w:bottom w:val="none" w:sz="0" w:space="0" w:color="auto"/>
        <w:right w:val="none" w:sz="0" w:space="0" w:color="auto"/>
      </w:divBdr>
    </w:div>
    <w:div w:id="1257910086">
      <w:bodyDiv w:val="1"/>
      <w:marLeft w:val="0"/>
      <w:marRight w:val="0"/>
      <w:marTop w:val="0"/>
      <w:marBottom w:val="0"/>
      <w:divBdr>
        <w:top w:val="none" w:sz="0" w:space="0" w:color="auto"/>
        <w:left w:val="none" w:sz="0" w:space="0" w:color="auto"/>
        <w:bottom w:val="none" w:sz="0" w:space="0" w:color="auto"/>
        <w:right w:val="none" w:sz="0" w:space="0" w:color="auto"/>
      </w:divBdr>
    </w:div>
    <w:div w:id="1258714133">
      <w:bodyDiv w:val="1"/>
      <w:marLeft w:val="0"/>
      <w:marRight w:val="0"/>
      <w:marTop w:val="0"/>
      <w:marBottom w:val="0"/>
      <w:divBdr>
        <w:top w:val="none" w:sz="0" w:space="0" w:color="auto"/>
        <w:left w:val="none" w:sz="0" w:space="0" w:color="auto"/>
        <w:bottom w:val="none" w:sz="0" w:space="0" w:color="auto"/>
        <w:right w:val="none" w:sz="0" w:space="0" w:color="auto"/>
      </w:divBdr>
    </w:div>
    <w:div w:id="1267497452">
      <w:bodyDiv w:val="1"/>
      <w:marLeft w:val="0"/>
      <w:marRight w:val="0"/>
      <w:marTop w:val="0"/>
      <w:marBottom w:val="0"/>
      <w:divBdr>
        <w:top w:val="none" w:sz="0" w:space="0" w:color="auto"/>
        <w:left w:val="none" w:sz="0" w:space="0" w:color="auto"/>
        <w:bottom w:val="none" w:sz="0" w:space="0" w:color="auto"/>
        <w:right w:val="none" w:sz="0" w:space="0" w:color="auto"/>
      </w:divBdr>
    </w:div>
    <w:div w:id="1274630574">
      <w:bodyDiv w:val="1"/>
      <w:marLeft w:val="0"/>
      <w:marRight w:val="0"/>
      <w:marTop w:val="0"/>
      <w:marBottom w:val="0"/>
      <w:divBdr>
        <w:top w:val="none" w:sz="0" w:space="0" w:color="auto"/>
        <w:left w:val="none" w:sz="0" w:space="0" w:color="auto"/>
        <w:bottom w:val="none" w:sz="0" w:space="0" w:color="auto"/>
        <w:right w:val="none" w:sz="0" w:space="0" w:color="auto"/>
      </w:divBdr>
    </w:div>
    <w:div w:id="1275359493">
      <w:bodyDiv w:val="1"/>
      <w:marLeft w:val="0"/>
      <w:marRight w:val="0"/>
      <w:marTop w:val="0"/>
      <w:marBottom w:val="0"/>
      <w:divBdr>
        <w:top w:val="none" w:sz="0" w:space="0" w:color="auto"/>
        <w:left w:val="none" w:sz="0" w:space="0" w:color="auto"/>
        <w:bottom w:val="none" w:sz="0" w:space="0" w:color="auto"/>
        <w:right w:val="none" w:sz="0" w:space="0" w:color="auto"/>
      </w:divBdr>
    </w:div>
    <w:div w:id="1279025700">
      <w:bodyDiv w:val="1"/>
      <w:marLeft w:val="0"/>
      <w:marRight w:val="0"/>
      <w:marTop w:val="0"/>
      <w:marBottom w:val="0"/>
      <w:divBdr>
        <w:top w:val="none" w:sz="0" w:space="0" w:color="auto"/>
        <w:left w:val="none" w:sz="0" w:space="0" w:color="auto"/>
        <w:bottom w:val="none" w:sz="0" w:space="0" w:color="auto"/>
        <w:right w:val="none" w:sz="0" w:space="0" w:color="auto"/>
      </w:divBdr>
    </w:div>
    <w:div w:id="1279529483">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282373449">
      <w:bodyDiv w:val="1"/>
      <w:marLeft w:val="0"/>
      <w:marRight w:val="0"/>
      <w:marTop w:val="0"/>
      <w:marBottom w:val="0"/>
      <w:divBdr>
        <w:top w:val="none" w:sz="0" w:space="0" w:color="auto"/>
        <w:left w:val="none" w:sz="0" w:space="0" w:color="auto"/>
        <w:bottom w:val="none" w:sz="0" w:space="0" w:color="auto"/>
        <w:right w:val="none" w:sz="0" w:space="0" w:color="auto"/>
      </w:divBdr>
    </w:div>
    <w:div w:id="1289630135">
      <w:bodyDiv w:val="1"/>
      <w:marLeft w:val="0"/>
      <w:marRight w:val="0"/>
      <w:marTop w:val="0"/>
      <w:marBottom w:val="0"/>
      <w:divBdr>
        <w:top w:val="none" w:sz="0" w:space="0" w:color="auto"/>
        <w:left w:val="none" w:sz="0" w:space="0" w:color="auto"/>
        <w:bottom w:val="none" w:sz="0" w:space="0" w:color="auto"/>
        <w:right w:val="none" w:sz="0" w:space="0" w:color="auto"/>
      </w:divBdr>
    </w:div>
    <w:div w:id="1290087701">
      <w:bodyDiv w:val="1"/>
      <w:marLeft w:val="0"/>
      <w:marRight w:val="0"/>
      <w:marTop w:val="0"/>
      <w:marBottom w:val="0"/>
      <w:divBdr>
        <w:top w:val="none" w:sz="0" w:space="0" w:color="auto"/>
        <w:left w:val="none" w:sz="0" w:space="0" w:color="auto"/>
        <w:bottom w:val="none" w:sz="0" w:space="0" w:color="auto"/>
        <w:right w:val="none" w:sz="0" w:space="0" w:color="auto"/>
      </w:divBdr>
    </w:div>
    <w:div w:id="1297106767">
      <w:bodyDiv w:val="1"/>
      <w:marLeft w:val="0"/>
      <w:marRight w:val="0"/>
      <w:marTop w:val="0"/>
      <w:marBottom w:val="0"/>
      <w:divBdr>
        <w:top w:val="none" w:sz="0" w:space="0" w:color="auto"/>
        <w:left w:val="none" w:sz="0" w:space="0" w:color="auto"/>
        <w:bottom w:val="none" w:sz="0" w:space="0" w:color="auto"/>
        <w:right w:val="none" w:sz="0" w:space="0" w:color="auto"/>
      </w:divBdr>
    </w:div>
    <w:div w:id="1308243044">
      <w:bodyDiv w:val="1"/>
      <w:marLeft w:val="0"/>
      <w:marRight w:val="0"/>
      <w:marTop w:val="0"/>
      <w:marBottom w:val="0"/>
      <w:divBdr>
        <w:top w:val="none" w:sz="0" w:space="0" w:color="auto"/>
        <w:left w:val="none" w:sz="0" w:space="0" w:color="auto"/>
        <w:bottom w:val="none" w:sz="0" w:space="0" w:color="auto"/>
        <w:right w:val="none" w:sz="0" w:space="0" w:color="auto"/>
      </w:divBdr>
    </w:div>
    <w:div w:id="1320429318">
      <w:bodyDiv w:val="1"/>
      <w:marLeft w:val="0"/>
      <w:marRight w:val="0"/>
      <w:marTop w:val="0"/>
      <w:marBottom w:val="0"/>
      <w:divBdr>
        <w:top w:val="none" w:sz="0" w:space="0" w:color="auto"/>
        <w:left w:val="none" w:sz="0" w:space="0" w:color="auto"/>
        <w:bottom w:val="none" w:sz="0" w:space="0" w:color="auto"/>
        <w:right w:val="none" w:sz="0" w:space="0" w:color="auto"/>
      </w:divBdr>
    </w:div>
    <w:div w:id="1324705275">
      <w:bodyDiv w:val="1"/>
      <w:marLeft w:val="0"/>
      <w:marRight w:val="0"/>
      <w:marTop w:val="0"/>
      <w:marBottom w:val="0"/>
      <w:divBdr>
        <w:top w:val="none" w:sz="0" w:space="0" w:color="auto"/>
        <w:left w:val="none" w:sz="0" w:space="0" w:color="auto"/>
        <w:bottom w:val="none" w:sz="0" w:space="0" w:color="auto"/>
        <w:right w:val="none" w:sz="0" w:space="0" w:color="auto"/>
      </w:divBdr>
    </w:div>
    <w:div w:id="1329481890">
      <w:bodyDiv w:val="1"/>
      <w:marLeft w:val="0"/>
      <w:marRight w:val="0"/>
      <w:marTop w:val="0"/>
      <w:marBottom w:val="0"/>
      <w:divBdr>
        <w:top w:val="none" w:sz="0" w:space="0" w:color="auto"/>
        <w:left w:val="none" w:sz="0" w:space="0" w:color="auto"/>
        <w:bottom w:val="none" w:sz="0" w:space="0" w:color="auto"/>
        <w:right w:val="none" w:sz="0" w:space="0" w:color="auto"/>
      </w:divBdr>
    </w:div>
    <w:div w:id="1329939605">
      <w:bodyDiv w:val="1"/>
      <w:marLeft w:val="0"/>
      <w:marRight w:val="0"/>
      <w:marTop w:val="0"/>
      <w:marBottom w:val="0"/>
      <w:divBdr>
        <w:top w:val="none" w:sz="0" w:space="0" w:color="auto"/>
        <w:left w:val="none" w:sz="0" w:space="0" w:color="auto"/>
        <w:bottom w:val="none" w:sz="0" w:space="0" w:color="auto"/>
        <w:right w:val="none" w:sz="0" w:space="0" w:color="auto"/>
      </w:divBdr>
    </w:div>
    <w:div w:id="1334600641">
      <w:bodyDiv w:val="1"/>
      <w:marLeft w:val="0"/>
      <w:marRight w:val="0"/>
      <w:marTop w:val="0"/>
      <w:marBottom w:val="0"/>
      <w:divBdr>
        <w:top w:val="none" w:sz="0" w:space="0" w:color="auto"/>
        <w:left w:val="none" w:sz="0" w:space="0" w:color="auto"/>
        <w:bottom w:val="none" w:sz="0" w:space="0" w:color="auto"/>
        <w:right w:val="none" w:sz="0" w:space="0" w:color="auto"/>
      </w:divBdr>
    </w:div>
    <w:div w:id="1344358707">
      <w:bodyDiv w:val="1"/>
      <w:marLeft w:val="0"/>
      <w:marRight w:val="0"/>
      <w:marTop w:val="0"/>
      <w:marBottom w:val="0"/>
      <w:divBdr>
        <w:top w:val="none" w:sz="0" w:space="0" w:color="auto"/>
        <w:left w:val="none" w:sz="0" w:space="0" w:color="auto"/>
        <w:bottom w:val="none" w:sz="0" w:space="0" w:color="auto"/>
        <w:right w:val="none" w:sz="0" w:space="0" w:color="auto"/>
      </w:divBdr>
    </w:div>
    <w:div w:id="1347095520">
      <w:bodyDiv w:val="1"/>
      <w:marLeft w:val="0"/>
      <w:marRight w:val="0"/>
      <w:marTop w:val="0"/>
      <w:marBottom w:val="0"/>
      <w:divBdr>
        <w:top w:val="none" w:sz="0" w:space="0" w:color="auto"/>
        <w:left w:val="none" w:sz="0" w:space="0" w:color="auto"/>
        <w:bottom w:val="none" w:sz="0" w:space="0" w:color="auto"/>
        <w:right w:val="none" w:sz="0" w:space="0" w:color="auto"/>
      </w:divBdr>
    </w:div>
    <w:div w:id="1351024889">
      <w:bodyDiv w:val="1"/>
      <w:marLeft w:val="0"/>
      <w:marRight w:val="0"/>
      <w:marTop w:val="0"/>
      <w:marBottom w:val="0"/>
      <w:divBdr>
        <w:top w:val="none" w:sz="0" w:space="0" w:color="auto"/>
        <w:left w:val="none" w:sz="0" w:space="0" w:color="auto"/>
        <w:bottom w:val="none" w:sz="0" w:space="0" w:color="auto"/>
        <w:right w:val="none" w:sz="0" w:space="0" w:color="auto"/>
      </w:divBdr>
    </w:div>
    <w:div w:id="1353604481">
      <w:bodyDiv w:val="1"/>
      <w:marLeft w:val="0"/>
      <w:marRight w:val="0"/>
      <w:marTop w:val="0"/>
      <w:marBottom w:val="0"/>
      <w:divBdr>
        <w:top w:val="none" w:sz="0" w:space="0" w:color="auto"/>
        <w:left w:val="none" w:sz="0" w:space="0" w:color="auto"/>
        <w:bottom w:val="none" w:sz="0" w:space="0" w:color="auto"/>
        <w:right w:val="none" w:sz="0" w:space="0" w:color="auto"/>
      </w:divBdr>
    </w:div>
    <w:div w:id="1355614129">
      <w:bodyDiv w:val="1"/>
      <w:marLeft w:val="0"/>
      <w:marRight w:val="0"/>
      <w:marTop w:val="0"/>
      <w:marBottom w:val="0"/>
      <w:divBdr>
        <w:top w:val="none" w:sz="0" w:space="0" w:color="auto"/>
        <w:left w:val="none" w:sz="0" w:space="0" w:color="auto"/>
        <w:bottom w:val="none" w:sz="0" w:space="0" w:color="auto"/>
        <w:right w:val="none" w:sz="0" w:space="0" w:color="auto"/>
      </w:divBdr>
    </w:div>
    <w:div w:id="1358239858">
      <w:bodyDiv w:val="1"/>
      <w:marLeft w:val="0"/>
      <w:marRight w:val="0"/>
      <w:marTop w:val="0"/>
      <w:marBottom w:val="0"/>
      <w:divBdr>
        <w:top w:val="none" w:sz="0" w:space="0" w:color="auto"/>
        <w:left w:val="none" w:sz="0" w:space="0" w:color="auto"/>
        <w:bottom w:val="none" w:sz="0" w:space="0" w:color="auto"/>
        <w:right w:val="none" w:sz="0" w:space="0" w:color="auto"/>
      </w:divBdr>
    </w:div>
    <w:div w:id="1365711531">
      <w:bodyDiv w:val="1"/>
      <w:marLeft w:val="0"/>
      <w:marRight w:val="0"/>
      <w:marTop w:val="0"/>
      <w:marBottom w:val="0"/>
      <w:divBdr>
        <w:top w:val="none" w:sz="0" w:space="0" w:color="auto"/>
        <w:left w:val="none" w:sz="0" w:space="0" w:color="auto"/>
        <w:bottom w:val="none" w:sz="0" w:space="0" w:color="auto"/>
        <w:right w:val="none" w:sz="0" w:space="0" w:color="auto"/>
      </w:divBdr>
    </w:div>
    <w:div w:id="1367801991">
      <w:bodyDiv w:val="1"/>
      <w:marLeft w:val="0"/>
      <w:marRight w:val="0"/>
      <w:marTop w:val="0"/>
      <w:marBottom w:val="0"/>
      <w:divBdr>
        <w:top w:val="none" w:sz="0" w:space="0" w:color="auto"/>
        <w:left w:val="none" w:sz="0" w:space="0" w:color="auto"/>
        <w:bottom w:val="none" w:sz="0" w:space="0" w:color="auto"/>
        <w:right w:val="none" w:sz="0" w:space="0" w:color="auto"/>
      </w:divBdr>
    </w:div>
    <w:div w:id="1373723208">
      <w:bodyDiv w:val="1"/>
      <w:marLeft w:val="0"/>
      <w:marRight w:val="0"/>
      <w:marTop w:val="0"/>
      <w:marBottom w:val="0"/>
      <w:divBdr>
        <w:top w:val="none" w:sz="0" w:space="0" w:color="auto"/>
        <w:left w:val="none" w:sz="0" w:space="0" w:color="auto"/>
        <w:bottom w:val="none" w:sz="0" w:space="0" w:color="auto"/>
        <w:right w:val="none" w:sz="0" w:space="0" w:color="auto"/>
      </w:divBdr>
    </w:div>
    <w:div w:id="1376153824">
      <w:bodyDiv w:val="1"/>
      <w:marLeft w:val="0"/>
      <w:marRight w:val="0"/>
      <w:marTop w:val="0"/>
      <w:marBottom w:val="0"/>
      <w:divBdr>
        <w:top w:val="none" w:sz="0" w:space="0" w:color="auto"/>
        <w:left w:val="none" w:sz="0" w:space="0" w:color="auto"/>
        <w:bottom w:val="none" w:sz="0" w:space="0" w:color="auto"/>
        <w:right w:val="none" w:sz="0" w:space="0" w:color="auto"/>
      </w:divBdr>
    </w:div>
    <w:div w:id="1377045557">
      <w:bodyDiv w:val="1"/>
      <w:marLeft w:val="0"/>
      <w:marRight w:val="0"/>
      <w:marTop w:val="0"/>
      <w:marBottom w:val="0"/>
      <w:divBdr>
        <w:top w:val="none" w:sz="0" w:space="0" w:color="auto"/>
        <w:left w:val="none" w:sz="0" w:space="0" w:color="auto"/>
        <w:bottom w:val="none" w:sz="0" w:space="0" w:color="auto"/>
        <w:right w:val="none" w:sz="0" w:space="0" w:color="auto"/>
      </w:divBdr>
    </w:div>
    <w:div w:id="1383990691">
      <w:bodyDiv w:val="1"/>
      <w:marLeft w:val="0"/>
      <w:marRight w:val="0"/>
      <w:marTop w:val="0"/>
      <w:marBottom w:val="0"/>
      <w:divBdr>
        <w:top w:val="none" w:sz="0" w:space="0" w:color="auto"/>
        <w:left w:val="none" w:sz="0" w:space="0" w:color="auto"/>
        <w:bottom w:val="none" w:sz="0" w:space="0" w:color="auto"/>
        <w:right w:val="none" w:sz="0" w:space="0" w:color="auto"/>
      </w:divBdr>
    </w:div>
    <w:div w:id="1392847965">
      <w:bodyDiv w:val="1"/>
      <w:marLeft w:val="0"/>
      <w:marRight w:val="0"/>
      <w:marTop w:val="0"/>
      <w:marBottom w:val="0"/>
      <w:divBdr>
        <w:top w:val="none" w:sz="0" w:space="0" w:color="auto"/>
        <w:left w:val="none" w:sz="0" w:space="0" w:color="auto"/>
        <w:bottom w:val="none" w:sz="0" w:space="0" w:color="auto"/>
        <w:right w:val="none" w:sz="0" w:space="0" w:color="auto"/>
      </w:divBdr>
    </w:div>
    <w:div w:id="1395003512">
      <w:bodyDiv w:val="1"/>
      <w:marLeft w:val="0"/>
      <w:marRight w:val="0"/>
      <w:marTop w:val="0"/>
      <w:marBottom w:val="0"/>
      <w:divBdr>
        <w:top w:val="none" w:sz="0" w:space="0" w:color="auto"/>
        <w:left w:val="none" w:sz="0" w:space="0" w:color="auto"/>
        <w:bottom w:val="none" w:sz="0" w:space="0" w:color="auto"/>
        <w:right w:val="none" w:sz="0" w:space="0" w:color="auto"/>
      </w:divBdr>
    </w:div>
    <w:div w:id="1398505232">
      <w:bodyDiv w:val="1"/>
      <w:marLeft w:val="0"/>
      <w:marRight w:val="0"/>
      <w:marTop w:val="0"/>
      <w:marBottom w:val="0"/>
      <w:divBdr>
        <w:top w:val="none" w:sz="0" w:space="0" w:color="auto"/>
        <w:left w:val="none" w:sz="0" w:space="0" w:color="auto"/>
        <w:bottom w:val="none" w:sz="0" w:space="0" w:color="auto"/>
        <w:right w:val="none" w:sz="0" w:space="0" w:color="auto"/>
      </w:divBdr>
    </w:div>
    <w:div w:id="1405448319">
      <w:bodyDiv w:val="1"/>
      <w:marLeft w:val="0"/>
      <w:marRight w:val="0"/>
      <w:marTop w:val="0"/>
      <w:marBottom w:val="0"/>
      <w:divBdr>
        <w:top w:val="none" w:sz="0" w:space="0" w:color="auto"/>
        <w:left w:val="none" w:sz="0" w:space="0" w:color="auto"/>
        <w:bottom w:val="none" w:sz="0" w:space="0" w:color="auto"/>
        <w:right w:val="none" w:sz="0" w:space="0" w:color="auto"/>
      </w:divBdr>
    </w:div>
    <w:div w:id="1411006389">
      <w:bodyDiv w:val="1"/>
      <w:marLeft w:val="0"/>
      <w:marRight w:val="0"/>
      <w:marTop w:val="0"/>
      <w:marBottom w:val="0"/>
      <w:divBdr>
        <w:top w:val="none" w:sz="0" w:space="0" w:color="auto"/>
        <w:left w:val="none" w:sz="0" w:space="0" w:color="auto"/>
        <w:bottom w:val="none" w:sz="0" w:space="0" w:color="auto"/>
        <w:right w:val="none" w:sz="0" w:space="0" w:color="auto"/>
      </w:divBdr>
    </w:div>
    <w:div w:id="1411997659">
      <w:bodyDiv w:val="1"/>
      <w:marLeft w:val="0"/>
      <w:marRight w:val="0"/>
      <w:marTop w:val="0"/>
      <w:marBottom w:val="0"/>
      <w:divBdr>
        <w:top w:val="none" w:sz="0" w:space="0" w:color="auto"/>
        <w:left w:val="none" w:sz="0" w:space="0" w:color="auto"/>
        <w:bottom w:val="none" w:sz="0" w:space="0" w:color="auto"/>
        <w:right w:val="none" w:sz="0" w:space="0" w:color="auto"/>
      </w:divBdr>
    </w:div>
    <w:div w:id="1412308725">
      <w:bodyDiv w:val="1"/>
      <w:marLeft w:val="0"/>
      <w:marRight w:val="0"/>
      <w:marTop w:val="0"/>
      <w:marBottom w:val="0"/>
      <w:divBdr>
        <w:top w:val="none" w:sz="0" w:space="0" w:color="auto"/>
        <w:left w:val="none" w:sz="0" w:space="0" w:color="auto"/>
        <w:bottom w:val="none" w:sz="0" w:space="0" w:color="auto"/>
        <w:right w:val="none" w:sz="0" w:space="0" w:color="auto"/>
      </w:divBdr>
    </w:div>
    <w:div w:id="1416248081">
      <w:bodyDiv w:val="1"/>
      <w:marLeft w:val="0"/>
      <w:marRight w:val="0"/>
      <w:marTop w:val="0"/>
      <w:marBottom w:val="0"/>
      <w:divBdr>
        <w:top w:val="none" w:sz="0" w:space="0" w:color="auto"/>
        <w:left w:val="none" w:sz="0" w:space="0" w:color="auto"/>
        <w:bottom w:val="none" w:sz="0" w:space="0" w:color="auto"/>
        <w:right w:val="none" w:sz="0" w:space="0" w:color="auto"/>
      </w:divBdr>
    </w:div>
    <w:div w:id="1418792785">
      <w:bodyDiv w:val="1"/>
      <w:marLeft w:val="0"/>
      <w:marRight w:val="0"/>
      <w:marTop w:val="0"/>
      <w:marBottom w:val="0"/>
      <w:divBdr>
        <w:top w:val="none" w:sz="0" w:space="0" w:color="auto"/>
        <w:left w:val="none" w:sz="0" w:space="0" w:color="auto"/>
        <w:bottom w:val="none" w:sz="0" w:space="0" w:color="auto"/>
        <w:right w:val="none" w:sz="0" w:space="0" w:color="auto"/>
      </w:divBdr>
    </w:div>
    <w:div w:id="1421371793">
      <w:bodyDiv w:val="1"/>
      <w:marLeft w:val="0"/>
      <w:marRight w:val="0"/>
      <w:marTop w:val="0"/>
      <w:marBottom w:val="0"/>
      <w:divBdr>
        <w:top w:val="none" w:sz="0" w:space="0" w:color="auto"/>
        <w:left w:val="none" w:sz="0" w:space="0" w:color="auto"/>
        <w:bottom w:val="none" w:sz="0" w:space="0" w:color="auto"/>
        <w:right w:val="none" w:sz="0" w:space="0" w:color="auto"/>
      </w:divBdr>
    </w:div>
    <w:div w:id="1426464931">
      <w:bodyDiv w:val="1"/>
      <w:marLeft w:val="0"/>
      <w:marRight w:val="0"/>
      <w:marTop w:val="0"/>
      <w:marBottom w:val="0"/>
      <w:divBdr>
        <w:top w:val="none" w:sz="0" w:space="0" w:color="auto"/>
        <w:left w:val="none" w:sz="0" w:space="0" w:color="auto"/>
        <w:bottom w:val="none" w:sz="0" w:space="0" w:color="auto"/>
        <w:right w:val="none" w:sz="0" w:space="0" w:color="auto"/>
      </w:divBdr>
    </w:div>
    <w:div w:id="1426612540">
      <w:bodyDiv w:val="1"/>
      <w:marLeft w:val="0"/>
      <w:marRight w:val="0"/>
      <w:marTop w:val="0"/>
      <w:marBottom w:val="0"/>
      <w:divBdr>
        <w:top w:val="none" w:sz="0" w:space="0" w:color="auto"/>
        <w:left w:val="none" w:sz="0" w:space="0" w:color="auto"/>
        <w:bottom w:val="none" w:sz="0" w:space="0" w:color="auto"/>
        <w:right w:val="none" w:sz="0" w:space="0" w:color="auto"/>
      </w:divBdr>
    </w:div>
    <w:div w:id="1426993042">
      <w:bodyDiv w:val="1"/>
      <w:marLeft w:val="0"/>
      <w:marRight w:val="0"/>
      <w:marTop w:val="0"/>
      <w:marBottom w:val="0"/>
      <w:divBdr>
        <w:top w:val="none" w:sz="0" w:space="0" w:color="auto"/>
        <w:left w:val="none" w:sz="0" w:space="0" w:color="auto"/>
        <w:bottom w:val="none" w:sz="0" w:space="0" w:color="auto"/>
        <w:right w:val="none" w:sz="0" w:space="0" w:color="auto"/>
      </w:divBdr>
    </w:div>
    <w:div w:id="1442802847">
      <w:bodyDiv w:val="1"/>
      <w:marLeft w:val="0"/>
      <w:marRight w:val="0"/>
      <w:marTop w:val="0"/>
      <w:marBottom w:val="0"/>
      <w:divBdr>
        <w:top w:val="none" w:sz="0" w:space="0" w:color="auto"/>
        <w:left w:val="none" w:sz="0" w:space="0" w:color="auto"/>
        <w:bottom w:val="none" w:sz="0" w:space="0" w:color="auto"/>
        <w:right w:val="none" w:sz="0" w:space="0" w:color="auto"/>
      </w:divBdr>
    </w:div>
    <w:div w:id="1445003968">
      <w:bodyDiv w:val="1"/>
      <w:marLeft w:val="0"/>
      <w:marRight w:val="0"/>
      <w:marTop w:val="0"/>
      <w:marBottom w:val="0"/>
      <w:divBdr>
        <w:top w:val="none" w:sz="0" w:space="0" w:color="auto"/>
        <w:left w:val="none" w:sz="0" w:space="0" w:color="auto"/>
        <w:bottom w:val="none" w:sz="0" w:space="0" w:color="auto"/>
        <w:right w:val="none" w:sz="0" w:space="0" w:color="auto"/>
      </w:divBdr>
    </w:div>
    <w:div w:id="1447238701">
      <w:bodyDiv w:val="1"/>
      <w:marLeft w:val="0"/>
      <w:marRight w:val="0"/>
      <w:marTop w:val="0"/>
      <w:marBottom w:val="0"/>
      <w:divBdr>
        <w:top w:val="none" w:sz="0" w:space="0" w:color="auto"/>
        <w:left w:val="none" w:sz="0" w:space="0" w:color="auto"/>
        <w:bottom w:val="none" w:sz="0" w:space="0" w:color="auto"/>
        <w:right w:val="none" w:sz="0" w:space="0" w:color="auto"/>
      </w:divBdr>
    </w:div>
    <w:div w:id="1447387396">
      <w:bodyDiv w:val="1"/>
      <w:marLeft w:val="0"/>
      <w:marRight w:val="0"/>
      <w:marTop w:val="0"/>
      <w:marBottom w:val="0"/>
      <w:divBdr>
        <w:top w:val="none" w:sz="0" w:space="0" w:color="auto"/>
        <w:left w:val="none" w:sz="0" w:space="0" w:color="auto"/>
        <w:bottom w:val="none" w:sz="0" w:space="0" w:color="auto"/>
        <w:right w:val="none" w:sz="0" w:space="0" w:color="auto"/>
      </w:divBdr>
      <w:divsChild>
        <w:div w:id="1534731852">
          <w:marLeft w:val="547"/>
          <w:marRight w:val="0"/>
          <w:marTop w:val="77"/>
          <w:marBottom w:val="0"/>
          <w:divBdr>
            <w:top w:val="none" w:sz="0" w:space="0" w:color="auto"/>
            <w:left w:val="none" w:sz="0" w:space="0" w:color="auto"/>
            <w:bottom w:val="none" w:sz="0" w:space="0" w:color="auto"/>
            <w:right w:val="none" w:sz="0" w:space="0" w:color="auto"/>
          </w:divBdr>
        </w:div>
      </w:divsChild>
    </w:div>
    <w:div w:id="1454012279">
      <w:bodyDiv w:val="1"/>
      <w:marLeft w:val="0"/>
      <w:marRight w:val="0"/>
      <w:marTop w:val="0"/>
      <w:marBottom w:val="0"/>
      <w:divBdr>
        <w:top w:val="none" w:sz="0" w:space="0" w:color="auto"/>
        <w:left w:val="none" w:sz="0" w:space="0" w:color="auto"/>
        <w:bottom w:val="none" w:sz="0" w:space="0" w:color="auto"/>
        <w:right w:val="none" w:sz="0" w:space="0" w:color="auto"/>
      </w:divBdr>
    </w:div>
    <w:div w:id="1454254858">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62460545">
      <w:bodyDiv w:val="1"/>
      <w:marLeft w:val="0"/>
      <w:marRight w:val="0"/>
      <w:marTop w:val="0"/>
      <w:marBottom w:val="0"/>
      <w:divBdr>
        <w:top w:val="none" w:sz="0" w:space="0" w:color="auto"/>
        <w:left w:val="none" w:sz="0" w:space="0" w:color="auto"/>
        <w:bottom w:val="none" w:sz="0" w:space="0" w:color="auto"/>
        <w:right w:val="none" w:sz="0" w:space="0" w:color="auto"/>
      </w:divBdr>
    </w:div>
    <w:div w:id="1462730158">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91411010">
      <w:bodyDiv w:val="1"/>
      <w:marLeft w:val="0"/>
      <w:marRight w:val="0"/>
      <w:marTop w:val="0"/>
      <w:marBottom w:val="0"/>
      <w:divBdr>
        <w:top w:val="none" w:sz="0" w:space="0" w:color="auto"/>
        <w:left w:val="none" w:sz="0" w:space="0" w:color="auto"/>
        <w:bottom w:val="none" w:sz="0" w:space="0" w:color="auto"/>
        <w:right w:val="none" w:sz="0" w:space="0" w:color="auto"/>
      </w:divBdr>
    </w:div>
    <w:div w:id="1493717549">
      <w:bodyDiv w:val="1"/>
      <w:marLeft w:val="0"/>
      <w:marRight w:val="0"/>
      <w:marTop w:val="0"/>
      <w:marBottom w:val="0"/>
      <w:divBdr>
        <w:top w:val="none" w:sz="0" w:space="0" w:color="auto"/>
        <w:left w:val="none" w:sz="0" w:space="0" w:color="auto"/>
        <w:bottom w:val="none" w:sz="0" w:space="0" w:color="auto"/>
        <w:right w:val="none" w:sz="0" w:space="0" w:color="auto"/>
      </w:divBdr>
    </w:div>
    <w:div w:id="1494687964">
      <w:bodyDiv w:val="1"/>
      <w:marLeft w:val="0"/>
      <w:marRight w:val="0"/>
      <w:marTop w:val="0"/>
      <w:marBottom w:val="0"/>
      <w:divBdr>
        <w:top w:val="none" w:sz="0" w:space="0" w:color="auto"/>
        <w:left w:val="none" w:sz="0" w:space="0" w:color="auto"/>
        <w:bottom w:val="none" w:sz="0" w:space="0" w:color="auto"/>
        <w:right w:val="none" w:sz="0" w:space="0" w:color="auto"/>
      </w:divBdr>
    </w:div>
    <w:div w:id="1503735583">
      <w:bodyDiv w:val="1"/>
      <w:marLeft w:val="0"/>
      <w:marRight w:val="0"/>
      <w:marTop w:val="0"/>
      <w:marBottom w:val="0"/>
      <w:divBdr>
        <w:top w:val="none" w:sz="0" w:space="0" w:color="auto"/>
        <w:left w:val="none" w:sz="0" w:space="0" w:color="auto"/>
        <w:bottom w:val="none" w:sz="0" w:space="0" w:color="auto"/>
        <w:right w:val="none" w:sz="0" w:space="0" w:color="auto"/>
      </w:divBdr>
    </w:div>
    <w:div w:id="1508134341">
      <w:bodyDiv w:val="1"/>
      <w:marLeft w:val="0"/>
      <w:marRight w:val="0"/>
      <w:marTop w:val="0"/>
      <w:marBottom w:val="0"/>
      <w:divBdr>
        <w:top w:val="none" w:sz="0" w:space="0" w:color="auto"/>
        <w:left w:val="none" w:sz="0" w:space="0" w:color="auto"/>
        <w:bottom w:val="none" w:sz="0" w:space="0" w:color="auto"/>
        <w:right w:val="none" w:sz="0" w:space="0" w:color="auto"/>
      </w:divBdr>
    </w:div>
    <w:div w:id="1511531172">
      <w:bodyDiv w:val="1"/>
      <w:marLeft w:val="0"/>
      <w:marRight w:val="0"/>
      <w:marTop w:val="0"/>
      <w:marBottom w:val="0"/>
      <w:divBdr>
        <w:top w:val="none" w:sz="0" w:space="0" w:color="auto"/>
        <w:left w:val="none" w:sz="0" w:space="0" w:color="auto"/>
        <w:bottom w:val="none" w:sz="0" w:space="0" w:color="auto"/>
        <w:right w:val="none" w:sz="0" w:space="0" w:color="auto"/>
      </w:divBdr>
    </w:div>
    <w:div w:id="1513571577">
      <w:bodyDiv w:val="1"/>
      <w:marLeft w:val="0"/>
      <w:marRight w:val="0"/>
      <w:marTop w:val="0"/>
      <w:marBottom w:val="0"/>
      <w:divBdr>
        <w:top w:val="none" w:sz="0" w:space="0" w:color="auto"/>
        <w:left w:val="none" w:sz="0" w:space="0" w:color="auto"/>
        <w:bottom w:val="none" w:sz="0" w:space="0" w:color="auto"/>
        <w:right w:val="none" w:sz="0" w:space="0" w:color="auto"/>
      </w:divBdr>
    </w:div>
    <w:div w:id="1516379283">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1042995">
      <w:bodyDiv w:val="1"/>
      <w:marLeft w:val="0"/>
      <w:marRight w:val="0"/>
      <w:marTop w:val="0"/>
      <w:marBottom w:val="0"/>
      <w:divBdr>
        <w:top w:val="none" w:sz="0" w:space="0" w:color="auto"/>
        <w:left w:val="none" w:sz="0" w:space="0" w:color="auto"/>
        <w:bottom w:val="none" w:sz="0" w:space="0" w:color="auto"/>
        <w:right w:val="none" w:sz="0" w:space="0" w:color="auto"/>
      </w:divBdr>
    </w:div>
    <w:div w:id="1521971675">
      <w:bodyDiv w:val="1"/>
      <w:marLeft w:val="0"/>
      <w:marRight w:val="0"/>
      <w:marTop w:val="0"/>
      <w:marBottom w:val="0"/>
      <w:divBdr>
        <w:top w:val="none" w:sz="0" w:space="0" w:color="auto"/>
        <w:left w:val="none" w:sz="0" w:space="0" w:color="auto"/>
        <w:bottom w:val="none" w:sz="0" w:space="0" w:color="auto"/>
        <w:right w:val="none" w:sz="0" w:space="0" w:color="auto"/>
      </w:divBdr>
    </w:div>
    <w:div w:id="1522233398">
      <w:bodyDiv w:val="1"/>
      <w:marLeft w:val="0"/>
      <w:marRight w:val="0"/>
      <w:marTop w:val="0"/>
      <w:marBottom w:val="0"/>
      <w:divBdr>
        <w:top w:val="none" w:sz="0" w:space="0" w:color="auto"/>
        <w:left w:val="none" w:sz="0" w:space="0" w:color="auto"/>
        <w:bottom w:val="none" w:sz="0" w:space="0" w:color="auto"/>
        <w:right w:val="none" w:sz="0" w:space="0" w:color="auto"/>
      </w:divBdr>
    </w:div>
    <w:div w:id="1523203438">
      <w:bodyDiv w:val="1"/>
      <w:marLeft w:val="0"/>
      <w:marRight w:val="0"/>
      <w:marTop w:val="0"/>
      <w:marBottom w:val="0"/>
      <w:divBdr>
        <w:top w:val="none" w:sz="0" w:space="0" w:color="auto"/>
        <w:left w:val="none" w:sz="0" w:space="0" w:color="auto"/>
        <w:bottom w:val="none" w:sz="0" w:space="0" w:color="auto"/>
        <w:right w:val="none" w:sz="0" w:space="0" w:color="auto"/>
      </w:divBdr>
    </w:div>
    <w:div w:id="1526560475">
      <w:bodyDiv w:val="1"/>
      <w:marLeft w:val="0"/>
      <w:marRight w:val="0"/>
      <w:marTop w:val="0"/>
      <w:marBottom w:val="0"/>
      <w:divBdr>
        <w:top w:val="none" w:sz="0" w:space="0" w:color="auto"/>
        <w:left w:val="none" w:sz="0" w:space="0" w:color="auto"/>
        <w:bottom w:val="none" w:sz="0" w:space="0" w:color="auto"/>
        <w:right w:val="none" w:sz="0" w:space="0" w:color="auto"/>
      </w:divBdr>
    </w:div>
    <w:div w:id="1537767772">
      <w:bodyDiv w:val="1"/>
      <w:marLeft w:val="0"/>
      <w:marRight w:val="0"/>
      <w:marTop w:val="0"/>
      <w:marBottom w:val="0"/>
      <w:divBdr>
        <w:top w:val="none" w:sz="0" w:space="0" w:color="auto"/>
        <w:left w:val="none" w:sz="0" w:space="0" w:color="auto"/>
        <w:bottom w:val="none" w:sz="0" w:space="0" w:color="auto"/>
        <w:right w:val="none" w:sz="0" w:space="0" w:color="auto"/>
      </w:divBdr>
    </w:div>
    <w:div w:id="1541939472">
      <w:bodyDiv w:val="1"/>
      <w:marLeft w:val="0"/>
      <w:marRight w:val="0"/>
      <w:marTop w:val="0"/>
      <w:marBottom w:val="0"/>
      <w:divBdr>
        <w:top w:val="none" w:sz="0" w:space="0" w:color="auto"/>
        <w:left w:val="none" w:sz="0" w:space="0" w:color="auto"/>
        <w:bottom w:val="none" w:sz="0" w:space="0" w:color="auto"/>
        <w:right w:val="none" w:sz="0" w:space="0" w:color="auto"/>
      </w:divBdr>
    </w:div>
    <w:div w:id="1542329187">
      <w:bodyDiv w:val="1"/>
      <w:marLeft w:val="0"/>
      <w:marRight w:val="0"/>
      <w:marTop w:val="0"/>
      <w:marBottom w:val="0"/>
      <w:divBdr>
        <w:top w:val="none" w:sz="0" w:space="0" w:color="auto"/>
        <w:left w:val="none" w:sz="0" w:space="0" w:color="auto"/>
        <w:bottom w:val="none" w:sz="0" w:space="0" w:color="auto"/>
        <w:right w:val="none" w:sz="0" w:space="0" w:color="auto"/>
      </w:divBdr>
    </w:div>
    <w:div w:id="1551261506">
      <w:bodyDiv w:val="1"/>
      <w:marLeft w:val="0"/>
      <w:marRight w:val="0"/>
      <w:marTop w:val="0"/>
      <w:marBottom w:val="0"/>
      <w:divBdr>
        <w:top w:val="none" w:sz="0" w:space="0" w:color="auto"/>
        <w:left w:val="none" w:sz="0" w:space="0" w:color="auto"/>
        <w:bottom w:val="none" w:sz="0" w:space="0" w:color="auto"/>
        <w:right w:val="none" w:sz="0" w:space="0" w:color="auto"/>
      </w:divBdr>
    </w:div>
    <w:div w:id="1562445307">
      <w:bodyDiv w:val="1"/>
      <w:marLeft w:val="0"/>
      <w:marRight w:val="0"/>
      <w:marTop w:val="0"/>
      <w:marBottom w:val="0"/>
      <w:divBdr>
        <w:top w:val="none" w:sz="0" w:space="0" w:color="auto"/>
        <w:left w:val="none" w:sz="0" w:space="0" w:color="auto"/>
        <w:bottom w:val="none" w:sz="0" w:space="0" w:color="auto"/>
        <w:right w:val="none" w:sz="0" w:space="0" w:color="auto"/>
      </w:divBdr>
    </w:div>
    <w:div w:id="1562590992">
      <w:bodyDiv w:val="1"/>
      <w:marLeft w:val="0"/>
      <w:marRight w:val="0"/>
      <w:marTop w:val="0"/>
      <w:marBottom w:val="0"/>
      <w:divBdr>
        <w:top w:val="none" w:sz="0" w:space="0" w:color="auto"/>
        <w:left w:val="none" w:sz="0" w:space="0" w:color="auto"/>
        <w:bottom w:val="none" w:sz="0" w:space="0" w:color="auto"/>
        <w:right w:val="none" w:sz="0" w:space="0" w:color="auto"/>
      </w:divBdr>
    </w:div>
    <w:div w:id="1566723863">
      <w:bodyDiv w:val="1"/>
      <w:marLeft w:val="0"/>
      <w:marRight w:val="0"/>
      <w:marTop w:val="0"/>
      <w:marBottom w:val="0"/>
      <w:divBdr>
        <w:top w:val="none" w:sz="0" w:space="0" w:color="auto"/>
        <w:left w:val="none" w:sz="0" w:space="0" w:color="auto"/>
        <w:bottom w:val="none" w:sz="0" w:space="0" w:color="auto"/>
        <w:right w:val="none" w:sz="0" w:space="0" w:color="auto"/>
      </w:divBdr>
    </w:div>
    <w:div w:id="1572694972">
      <w:bodyDiv w:val="1"/>
      <w:marLeft w:val="0"/>
      <w:marRight w:val="0"/>
      <w:marTop w:val="0"/>
      <w:marBottom w:val="0"/>
      <w:divBdr>
        <w:top w:val="none" w:sz="0" w:space="0" w:color="auto"/>
        <w:left w:val="none" w:sz="0" w:space="0" w:color="auto"/>
        <w:bottom w:val="none" w:sz="0" w:space="0" w:color="auto"/>
        <w:right w:val="none" w:sz="0" w:space="0" w:color="auto"/>
      </w:divBdr>
    </w:div>
    <w:div w:id="1572814307">
      <w:bodyDiv w:val="1"/>
      <w:marLeft w:val="0"/>
      <w:marRight w:val="0"/>
      <w:marTop w:val="0"/>
      <w:marBottom w:val="0"/>
      <w:divBdr>
        <w:top w:val="none" w:sz="0" w:space="0" w:color="auto"/>
        <w:left w:val="none" w:sz="0" w:space="0" w:color="auto"/>
        <w:bottom w:val="none" w:sz="0" w:space="0" w:color="auto"/>
        <w:right w:val="none" w:sz="0" w:space="0" w:color="auto"/>
      </w:divBdr>
      <w:divsChild>
        <w:div w:id="1219318973">
          <w:marLeft w:val="547"/>
          <w:marRight w:val="0"/>
          <w:marTop w:val="77"/>
          <w:marBottom w:val="0"/>
          <w:divBdr>
            <w:top w:val="none" w:sz="0" w:space="0" w:color="auto"/>
            <w:left w:val="none" w:sz="0" w:space="0" w:color="auto"/>
            <w:bottom w:val="none" w:sz="0" w:space="0" w:color="auto"/>
            <w:right w:val="none" w:sz="0" w:space="0" w:color="auto"/>
          </w:divBdr>
        </w:div>
        <w:div w:id="1902596978">
          <w:marLeft w:val="547"/>
          <w:marRight w:val="0"/>
          <w:marTop w:val="77"/>
          <w:marBottom w:val="0"/>
          <w:divBdr>
            <w:top w:val="none" w:sz="0" w:space="0" w:color="auto"/>
            <w:left w:val="none" w:sz="0" w:space="0" w:color="auto"/>
            <w:bottom w:val="none" w:sz="0" w:space="0" w:color="auto"/>
            <w:right w:val="none" w:sz="0" w:space="0" w:color="auto"/>
          </w:divBdr>
        </w:div>
      </w:divsChild>
    </w:div>
    <w:div w:id="1573929315">
      <w:bodyDiv w:val="1"/>
      <w:marLeft w:val="0"/>
      <w:marRight w:val="0"/>
      <w:marTop w:val="0"/>
      <w:marBottom w:val="0"/>
      <w:divBdr>
        <w:top w:val="none" w:sz="0" w:space="0" w:color="auto"/>
        <w:left w:val="none" w:sz="0" w:space="0" w:color="auto"/>
        <w:bottom w:val="none" w:sz="0" w:space="0" w:color="auto"/>
        <w:right w:val="none" w:sz="0" w:space="0" w:color="auto"/>
      </w:divBdr>
    </w:div>
    <w:div w:id="1585382408">
      <w:bodyDiv w:val="1"/>
      <w:marLeft w:val="0"/>
      <w:marRight w:val="0"/>
      <w:marTop w:val="0"/>
      <w:marBottom w:val="0"/>
      <w:divBdr>
        <w:top w:val="none" w:sz="0" w:space="0" w:color="auto"/>
        <w:left w:val="none" w:sz="0" w:space="0" w:color="auto"/>
        <w:bottom w:val="none" w:sz="0" w:space="0" w:color="auto"/>
        <w:right w:val="none" w:sz="0" w:space="0" w:color="auto"/>
      </w:divBdr>
    </w:div>
    <w:div w:id="1591498184">
      <w:bodyDiv w:val="1"/>
      <w:marLeft w:val="0"/>
      <w:marRight w:val="0"/>
      <w:marTop w:val="0"/>
      <w:marBottom w:val="0"/>
      <w:divBdr>
        <w:top w:val="none" w:sz="0" w:space="0" w:color="auto"/>
        <w:left w:val="none" w:sz="0" w:space="0" w:color="auto"/>
        <w:bottom w:val="none" w:sz="0" w:space="0" w:color="auto"/>
        <w:right w:val="none" w:sz="0" w:space="0" w:color="auto"/>
      </w:divBdr>
    </w:div>
    <w:div w:id="1597591513">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1791949">
      <w:bodyDiv w:val="1"/>
      <w:marLeft w:val="0"/>
      <w:marRight w:val="0"/>
      <w:marTop w:val="0"/>
      <w:marBottom w:val="0"/>
      <w:divBdr>
        <w:top w:val="none" w:sz="0" w:space="0" w:color="auto"/>
        <w:left w:val="none" w:sz="0" w:space="0" w:color="auto"/>
        <w:bottom w:val="none" w:sz="0" w:space="0" w:color="auto"/>
        <w:right w:val="none" w:sz="0" w:space="0" w:color="auto"/>
      </w:divBdr>
    </w:div>
    <w:div w:id="1606499624">
      <w:bodyDiv w:val="1"/>
      <w:marLeft w:val="0"/>
      <w:marRight w:val="0"/>
      <w:marTop w:val="0"/>
      <w:marBottom w:val="0"/>
      <w:divBdr>
        <w:top w:val="none" w:sz="0" w:space="0" w:color="auto"/>
        <w:left w:val="none" w:sz="0" w:space="0" w:color="auto"/>
        <w:bottom w:val="none" w:sz="0" w:space="0" w:color="auto"/>
        <w:right w:val="none" w:sz="0" w:space="0" w:color="auto"/>
      </w:divBdr>
    </w:div>
    <w:div w:id="1617172955">
      <w:bodyDiv w:val="1"/>
      <w:marLeft w:val="0"/>
      <w:marRight w:val="0"/>
      <w:marTop w:val="0"/>
      <w:marBottom w:val="0"/>
      <w:divBdr>
        <w:top w:val="none" w:sz="0" w:space="0" w:color="auto"/>
        <w:left w:val="none" w:sz="0" w:space="0" w:color="auto"/>
        <w:bottom w:val="none" w:sz="0" w:space="0" w:color="auto"/>
        <w:right w:val="none" w:sz="0" w:space="0" w:color="auto"/>
      </w:divBdr>
    </w:div>
    <w:div w:id="1623806904">
      <w:bodyDiv w:val="1"/>
      <w:marLeft w:val="0"/>
      <w:marRight w:val="0"/>
      <w:marTop w:val="0"/>
      <w:marBottom w:val="0"/>
      <w:divBdr>
        <w:top w:val="none" w:sz="0" w:space="0" w:color="auto"/>
        <w:left w:val="none" w:sz="0" w:space="0" w:color="auto"/>
        <w:bottom w:val="none" w:sz="0" w:space="0" w:color="auto"/>
        <w:right w:val="none" w:sz="0" w:space="0" w:color="auto"/>
      </w:divBdr>
    </w:div>
    <w:div w:id="1625116335">
      <w:bodyDiv w:val="1"/>
      <w:marLeft w:val="0"/>
      <w:marRight w:val="0"/>
      <w:marTop w:val="0"/>
      <w:marBottom w:val="0"/>
      <w:divBdr>
        <w:top w:val="none" w:sz="0" w:space="0" w:color="auto"/>
        <w:left w:val="none" w:sz="0" w:space="0" w:color="auto"/>
        <w:bottom w:val="none" w:sz="0" w:space="0" w:color="auto"/>
        <w:right w:val="none" w:sz="0" w:space="0" w:color="auto"/>
      </w:divBdr>
    </w:div>
    <w:div w:id="1631783637">
      <w:bodyDiv w:val="1"/>
      <w:marLeft w:val="0"/>
      <w:marRight w:val="0"/>
      <w:marTop w:val="0"/>
      <w:marBottom w:val="0"/>
      <w:divBdr>
        <w:top w:val="none" w:sz="0" w:space="0" w:color="auto"/>
        <w:left w:val="none" w:sz="0" w:space="0" w:color="auto"/>
        <w:bottom w:val="none" w:sz="0" w:space="0" w:color="auto"/>
        <w:right w:val="none" w:sz="0" w:space="0" w:color="auto"/>
      </w:divBdr>
    </w:div>
    <w:div w:id="1632401687">
      <w:bodyDiv w:val="1"/>
      <w:marLeft w:val="0"/>
      <w:marRight w:val="0"/>
      <w:marTop w:val="0"/>
      <w:marBottom w:val="0"/>
      <w:divBdr>
        <w:top w:val="none" w:sz="0" w:space="0" w:color="auto"/>
        <w:left w:val="none" w:sz="0" w:space="0" w:color="auto"/>
        <w:bottom w:val="none" w:sz="0" w:space="0" w:color="auto"/>
        <w:right w:val="none" w:sz="0" w:space="0" w:color="auto"/>
      </w:divBdr>
    </w:div>
    <w:div w:id="1635677079">
      <w:bodyDiv w:val="1"/>
      <w:marLeft w:val="0"/>
      <w:marRight w:val="0"/>
      <w:marTop w:val="0"/>
      <w:marBottom w:val="0"/>
      <w:divBdr>
        <w:top w:val="none" w:sz="0" w:space="0" w:color="auto"/>
        <w:left w:val="none" w:sz="0" w:space="0" w:color="auto"/>
        <w:bottom w:val="none" w:sz="0" w:space="0" w:color="auto"/>
        <w:right w:val="none" w:sz="0" w:space="0" w:color="auto"/>
      </w:divBdr>
    </w:div>
    <w:div w:id="1642034236">
      <w:bodyDiv w:val="1"/>
      <w:marLeft w:val="0"/>
      <w:marRight w:val="0"/>
      <w:marTop w:val="0"/>
      <w:marBottom w:val="0"/>
      <w:divBdr>
        <w:top w:val="none" w:sz="0" w:space="0" w:color="auto"/>
        <w:left w:val="none" w:sz="0" w:space="0" w:color="auto"/>
        <w:bottom w:val="none" w:sz="0" w:space="0" w:color="auto"/>
        <w:right w:val="none" w:sz="0" w:space="0" w:color="auto"/>
      </w:divBdr>
    </w:div>
    <w:div w:id="1651321481">
      <w:bodyDiv w:val="1"/>
      <w:marLeft w:val="0"/>
      <w:marRight w:val="0"/>
      <w:marTop w:val="0"/>
      <w:marBottom w:val="0"/>
      <w:divBdr>
        <w:top w:val="none" w:sz="0" w:space="0" w:color="auto"/>
        <w:left w:val="none" w:sz="0" w:space="0" w:color="auto"/>
        <w:bottom w:val="none" w:sz="0" w:space="0" w:color="auto"/>
        <w:right w:val="none" w:sz="0" w:space="0" w:color="auto"/>
      </w:divBdr>
    </w:div>
    <w:div w:id="1661806024">
      <w:bodyDiv w:val="1"/>
      <w:marLeft w:val="0"/>
      <w:marRight w:val="0"/>
      <w:marTop w:val="0"/>
      <w:marBottom w:val="0"/>
      <w:divBdr>
        <w:top w:val="none" w:sz="0" w:space="0" w:color="auto"/>
        <w:left w:val="none" w:sz="0" w:space="0" w:color="auto"/>
        <w:bottom w:val="none" w:sz="0" w:space="0" w:color="auto"/>
        <w:right w:val="none" w:sz="0" w:space="0" w:color="auto"/>
      </w:divBdr>
    </w:div>
    <w:div w:id="1664889238">
      <w:bodyDiv w:val="1"/>
      <w:marLeft w:val="0"/>
      <w:marRight w:val="0"/>
      <w:marTop w:val="0"/>
      <w:marBottom w:val="0"/>
      <w:divBdr>
        <w:top w:val="none" w:sz="0" w:space="0" w:color="auto"/>
        <w:left w:val="none" w:sz="0" w:space="0" w:color="auto"/>
        <w:bottom w:val="none" w:sz="0" w:space="0" w:color="auto"/>
        <w:right w:val="none" w:sz="0" w:space="0" w:color="auto"/>
      </w:divBdr>
    </w:div>
    <w:div w:id="1665280181">
      <w:bodyDiv w:val="1"/>
      <w:marLeft w:val="0"/>
      <w:marRight w:val="0"/>
      <w:marTop w:val="0"/>
      <w:marBottom w:val="0"/>
      <w:divBdr>
        <w:top w:val="none" w:sz="0" w:space="0" w:color="auto"/>
        <w:left w:val="none" w:sz="0" w:space="0" w:color="auto"/>
        <w:bottom w:val="none" w:sz="0" w:space="0" w:color="auto"/>
        <w:right w:val="none" w:sz="0" w:space="0" w:color="auto"/>
      </w:divBdr>
    </w:div>
    <w:div w:id="1667434726">
      <w:bodyDiv w:val="1"/>
      <w:marLeft w:val="0"/>
      <w:marRight w:val="0"/>
      <w:marTop w:val="0"/>
      <w:marBottom w:val="0"/>
      <w:divBdr>
        <w:top w:val="none" w:sz="0" w:space="0" w:color="auto"/>
        <w:left w:val="none" w:sz="0" w:space="0" w:color="auto"/>
        <w:bottom w:val="none" w:sz="0" w:space="0" w:color="auto"/>
        <w:right w:val="none" w:sz="0" w:space="0" w:color="auto"/>
      </w:divBdr>
    </w:div>
    <w:div w:id="1669091003">
      <w:bodyDiv w:val="1"/>
      <w:marLeft w:val="0"/>
      <w:marRight w:val="0"/>
      <w:marTop w:val="0"/>
      <w:marBottom w:val="0"/>
      <w:divBdr>
        <w:top w:val="none" w:sz="0" w:space="0" w:color="auto"/>
        <w:left w:val="none" w:sz="0" w:space="0" w:color="auto"/>
        <w:bottom w:val="none" w:sz="0" w:space="0" w:color="auto"/>
        <w:right w:val="none" w:sz="0" w:space="0" w:color="auto"/>
      </w:divBdr>
    </w:div>
    <w:div w:id="1674990422">
      <w:bodyDiv w:val="1"/>
      <w:marLeft w:val="0"/>
      <w:marRight w:val="0"/>
      <w:marTop w:val="0"/>
      <w:marBottom w:val="0"/>
      <w:divBdr>
        <w:top w:val="none" w:sz="0" w:space="0" w:color="auto"/>
        <w:left w:val="none" w:sz="0" w:space="0" w:color="auto"/>
        <w:bottom w:val="none" w:sz="0" w:space="0" w:color="auto"/>
        <w:right w:val="none" w:sz="0" w:space="0" w:color="auto"/>
      </w:divBdr>
    </w:div>
    <w:div w:id="1683362639">
      <w:bodyDiv w:val="1"/>
      <w:marLeft w:val="0"/>
      <w:marRight w:val="0"/>
      <w:marTop w:val="0"/>
      <w:marBottom w:val="0"/>
      <w:divBdr>
        <w:top w:val="none" w:sz="0" w:space="0" w:color="auto"/>
        <w:left w:val="none" w:sz="0" w:space="0" w:color="auto"/>
        <w:bottom w:val="none" w:sz="0" w:space="0" w:color="auto"/>
        <w:right w:val="none" w:sz="0" w:space="0" w:color="auto"/>
      </w:divBdr>
    </w:div>
    <w:div w:id="1684622548">
      <w:bodyDiv w:val="1"/>
      <w:marLeft w:val="0"/>
      <w:marRight w:val="0"/>
      <w:marTop w:val="0"/>
      <w:marBottom w:val="0"/>
      <w:divBdr>
        <w:top w:val="none" w:sz="0" w:space="0" w:color="auto"/>
        <w:left w:val="none" w:sz="0" w:space="0" w:color="auto"/>
        <w:bottom w:val="none" w:sz="0" w:space="0" w:color="auto"/>
        <w:right w:val="none" w:sz="0" w:space="0" w:color="auto"/>
      </w:divBdr>
    </w:div>
    <w:div w:id="1689060636">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6536664">
      <w:bodyDiv w:val="1"/>
      <w:marLeft w:val="0"/>
      <w:marRight w:val="0"/>
      <w:marTop w:val="0"/>
      <w:marBottom w:val="0"/>
      <w:divBdr>
        <w:top w:val="none" w:sz="0" w:space="0" w:color="auto"/>
        <w:left w:val="none" w:sz="0" w:space="0" w:color="auto"/>
        <w:bottom w:val="none" w:sz="0" w:space="0" w:color="auto"/>
        <w:right w:val="none" w:sz="0" w:space="0" w:color="auto"/>
      </w:divBdr>
    </w:div>
    <w:div w:id="1707412619">
      <w:bodyDiv w:val="1"/>
      <w:marLeft w:val="0"/>
      <w:marRight w:val="0"/>
      <w:marTop w:val="0"/>
      <w:marBottom w:val="0"/>
      <w:divBdr>
        <w:top w:val="none" w:sz="0" w:space="0" w:color="auto"/>
        <w:left w:val="none" w:sz="0" w:space="0" w:color="auto"/>
        <w:bottom w:val="none" w:sz="0" w:space="0" w:color="auto"/>
        <w:right w:val="none" w:sz="0" w:space="0" w:color="auto"/>
      </w:divBdr>
      <w:divsChild>
        <w:div w:id="549415356">
          <w:marLeft w:val="547"/>
          <w:marRight w:val="0"/>
          <w:marTop w:val="62"/>
          <w:marBottom w:val="0"/>
          <w:divBdr>
            <w:top w:val="none" w:sz="0" w:space="0" w:color="auto"/>
            <w:left w:val="none" w:sz="0" w:space="0" w:color="auto"/>
            <w:bottom w:val="none" w:sz="0" w:space="0" w:color="auto"/>
            <w:right w:val="none" w:sz="0" w:space="0" w:color="auto"/>
          </w:divBdr>
        </w:div>
      </w:divsChild>
    </w:div>
    <w:div w:id="1710181490">
      <w:bodyDiv w:val="1"/>
      <w:marLeft w:val="0"/>
      <w:marRight w:val="0"/>
      <w:marTop w:val="0"/>
      <w:marBottom w:val="0"/>
      <w:divBdr>
        <w:top w:val="none" w:sz="0" w:space="0" w:color="auto"/>
        <w:left w:val="none" w:sz="0" w:space="0" w:color="auto"/>
        <w:bottom w:val="none" w:sz="0" w:space="0" w:color="auto"/>
        <w:right w:val="none" w:sz="0" w:space="0" w:color="auto"/>
      </w:divBdr>
    </w:div>
    <w:div w:id="1727727636">
      <w:bodyDiv w:val="1"/>
      <w:marLeft w:val="0"/>
      <w:marRight w:val="0"/>
      <w:marTop w:val="0"/>
      <w:marBottom w:val="0"/>
      <w:divBdr>
        <w:top w:val="none" w:sz="0" w:space="0" w:color="auto"/>
        <w:left w:val="none" w:sz="0" w:space="0" w:color="auto"/>
        <w:bottom w:val="none" w:sz="0" w:space="0" w:color="auto"/>
        <w:right w:val="none" w:sz="0" w:space="0" w:color="auto"/>
      </w:divBdr>
    </w:div>
    <w:div w:id="1731223346">
      <w:bodyDiv w:val="1"/>
      <w:marLeft w:val="0"/>
      <w:marRight w:val="0"/>
      <w:marTop w:val="0"/>
      <w:marBottom w:val="0"/>
      <w:divBdr>
        <w:top w:val="none" w:sz="0" w:space="0" w:color="auto"/>
        <w:left w:val="none" w:sz="0" w:space="0" w:color="auto"/>
        <w:bottom w:val="none" w:sz="0" w:space="0" w:color="auto"/>
        <w:right w:val="none" w:sz="0" w:space="0" w:color="auto"/>
      </w:divBdr>
    </w:div>
    <w:div w:id="1737894575">
      <w:bodyDiv w:val="1"/>
      <w:marLeft w:val="0"/>
      <w:marRight w:val="0"/>
      <w:marTop w:val="0"/>
      <w:marBottom w:val="0"/>
      <w:divBdr>
        <w:top w:val="none" w:sz="0" w:space="0" w:color="auto"/>
        <w:left w:val="none" w:sz="0" w:space="0" w:color="auto"/>
        <w:bottom w:val="none" w:sz="0" w:space="0" w:color="auto"/>
        <w:right w:val="none" w:sz="0" w:space="0" w:color="auto"/>
      </w:divBdr>
    </w:div>
    <w:div w:id="1737969243">
      <w:bodyDiv w:val="1"/>
      <w:marLeft w:val="0"/>
      <w:marRight w:val="0"/>
      <w:marTop w:val="0"/>
      <w:marBottom w:val="0"/>
      <w:divBdr>
        <w:top w:val="none" w:sz="0" w:space="0" w:color="auto"/>
        <w:left w:val="none" w:sz="0" w:space="0" w:color="auto"/>
        <w:bottom w:val="none" w:sz="0" w:space="0" w:color="auto"/>
        <w:right w:val="none" w:sz="0" w:space="0" w:color="auto"/>
      </w:divBdr>
    </w:div>
    <w:div w:id="1738699639">
      <w:bodyDiv w:val="1"/>
      <w:marLeft w:val="0"/>
      <w:marRight w:val="0"/>
      <w:marTop w:val="0"/>
      <w:marBottom w:val="0"/>
      <w:divBdr>
        <w:top w:val="none" w:sz="0" w:space="0" w:color="auto"/>
        <w:left w:val="none" w:sz="0" w:space="0" w:color="auto"/>
        <w:bottom w:val="none" w:sz="0" w:space="0" w:color="auto"/>
        <w:right w:val="none" w:sz="0" w:space="0" w:color="auto"/>
      </w:divBdr>
      <w:divsChild>
        <w:div w:id="370619909">
          <w:marLeft w:val="547"/>
          <w:marRight w:val="0"/>
          <w:marTop w:val="67"/>
          <w:marBottom w:val="0"/>
          <w:divBdr>
            <w:top w:val="none" w:sz="0" w:space="0" w:color="auto"/>
            <w:left w:val="none" w:sz="0" w:space="0" w:color="auto"/>
            <w:bottom w:val="none" w:sz="0" w:space="0" w:color="auto"/>
            <w:right w:val="none" w:sz="0" w:space="0" w:color="auto"/>
          </w:divBdr>
        </w:div>
      </w:divsChild>
    </w:div>
    <w:div w:id="1749034344">
      <w:bodyDiv w:val="1"/>
      <w:marLeft w:val="0"/>
      <w:marRight w:val="0"/>
      <w:marTop w:val="0"/>
      <w:marBottom w:val="0"/>
      <w:divBdr>
        <w:top w:val="none" w:sz="0" w:space="0" w:color="auto"/>
        <w:left w:val="none" w:sz="0" w:space="0" w:color="auto"/>
        <w:bottom w:val="none" w:sz="0" w:space="0" w:color="auto"/>
        <w:right w:val="none" w:sz="0" w:space="0" w:color="auto"/>
      </w:divBdr>
    </w:div>
    <w:div w:id="1749813667">
      <w:bodyDiv w:val="1"/>
      <w:marLeft w:val="0"/>
      <w:marRight w:val="0"/>
      <w:marTop w:val="0"/>
      <w:marBottom w:val="0"/>
      <w:divBdr>
        <w:top w:val="none" w:sz="0" w:space="0" w:color="auto"/>
        <w:left w:val="none" w:sz="0" w:space="0" w:color="auto"/>
        <w:bottom w:val="none" w:sz="0" w:space="0" w:color="auto"/>
        <w:right w:val="none" w:sz="0" w:space="0" w:color="auto"/>
      </w:divBdr>
    </w:div>
    <w:div w:id="1754282021">
      <w:bodyDiv w:val="1"/>
      <w:marLeft w:val="0"/>
      <w:marRight w:val="0"/>
      <w:marTop w:val="0"/>
      <w:marBottom w:val="0"/>
      <w:divBdr>
        <w:top w:val="none" w:sz="0" w:space="0" w:color="auto"/>
        <w:left w:val="none" w:sz="0" w:space="0" w:color="auto"/>
        <w:bottom w:val="none" w:sz="0" w:space="0" w:color="auto"/>
        <w:right w:val="none" w:sz="0" w:space="0" w:color="auto"/>
      </w:divBdr>
    </w:div>
    <w:div w:id="1754888912">
      <w:bodyDiv w:val="1"/>
      <w:marLeft w:val="0"/>
      <w:marRight w:val="0"/>
      <w:marTop w:val="0"/>
      <w:marBottom w:val="0"/>
      <w:divBdr>
        <w:top w:val="none" w:sz="0" w:space="0" w:color="auto"/>
        <w:left w:val="none" w:sz="0" w:space="0" w:color="auto"/>
        <w:bottom w:val="none" w:sz="0" w:space="0" w:color="auto"/>
        <w:right w:val="none" w:sz="0" w:space="0" w:color="auto"/>
      </w:divBdr>
    </w:div>
    <w:div w:id="1764105206">
      <w:bodyDiv w:val="1"/>
      <w:marLeft w:val="0"/>
      <w:marRight w:val="0"/>
      <w:marTop w:val="0"/>
      <w:marBottom w:val="0"/>
      <w:divBdr>
        <w:top w:val="none" w:sz="0" w:space="0" w:color="auto"/>
        <w:left w:val="none" w:sz="0" w:space="0" w:color="auto"/>
        <w:bottom w:val="none" w:sz="0" w:space="0" w:color="auto"/>
        <w:right w:val="none" w:sz="0" w:space="0" w:color="auto"/>
      </w:divBdr>
    </w:div>
    <w:div w:id="1772162335">
      <w:bodyDiv w:val="1"/>
      <w:marLeft w:val="0"/>
      <w:marRight w:val="0"/>
      <w:marTop w:val="0"/>
      <w:marBottom w:val="0"/>
      <w:divBdr>
        <w:top w:val="none" w:sz="0" w:space="0" w:color="auto"/>
        <w:left w:val="none" w:sz="0" w:space="0" w:color="auto"/>
        <w:bottom w:val="none" w:sz="0" w:space="0" w:color="auto"/>
        <w:right w:val="none" w:sz="0" w:space="0" w:color="auto"/>
      </w:divBdr>
    </w:div>
    <w:div w:id="1773552281">
      <w:bodyDiv w:val="1"/>
      <w:marLeft w:val="0"/>
      <w:marRight w:val="0"/>
      <w:marTop w:val="0"/>
      <w:marBottom w:val="0"/>
      <w:divBdr>
        <w:top w:val="none" w:sz="0" w:space="0" w:color="auto"/>
        <w:left w:val="none" w:sz="0" w:space="0" w:color="auto"/>
        <w:bottom w:val="none" w:sz="0" w:space="0" w:color="auto"/>
        <w:right w:val="none" w:sz="0" w:space="0" w:color="auto"/>
      </w:divBdr>
    </w:div>
    <w:div w:id="1780178729">
      <w:bodyDiv w:val="1"/>
      <w:marLeft w:val="0"/>
      <w:marRight w:val="0"/>
      <w:marTop w:val="0"/>
      <w:marBottom w:val="0"/>
      <w:divBdr>
        <w:top w:val="none" w:sz="0" w:space="0" w:color="auto"/>
        <w:left w:val="none" w:sz="0" w:space="0" w:color="auto"/>
        <w:bottom w:val="none" w:sz="0" w:space="0" w:color="auto"/>
        <w:right w:val="none" w:sz="0" w:space="0" w:color="auto"/>
      </w:divBdr>
    </w:div>
    <w:div w:id="1783301705">
      <w:bodyDiv w:val="1"/>
      <w:marLeft w:val="0"/>
      <w:marRight w:val="0"/>
      <w:marTop w:val="0"/>
      <w:marBottom w:val="0"/>
      <w:divBdr>
        <w:top w:val="none" w:sz="0" w:space="0" w:color="auto"/>
        <w:left w:val="none" w:sz="0" w:space="0" w:color="auto"/>
        <w:bottom w:val="none" w:sz="0" w:space="0" w:color="auto"/>
        <w:right w:val="none" w:sz="0" w:space="0" w:color="auto"/>
      </w:divBdr>
    </w:div>
    <w:div w:id="1790278536">
      <w:bodyDiv w:val="1"/>
      <w:marLeft w:val="0"/>
      <w:marRight w:val="0"/>
      <w:marTop w:val="0"/>
      <w:marBottom w:val="0"/>
      <w:divBdr>
        <w:top w:val="none" w:sz="0" w:space="0" w:color="auto"/>
        <w:left w:val="none" w:sz="0" w:space="0" w:color="auto"/>
        <w:bottom w:val="none" w:sz="0" w:space="0" w:color="auto"/>
        <w:right w:val="none" w:sz="0" w:space="0" w:color="auto"/>
      </w:divBdr>
    </w:div>
    <w:div w:id="1790661745">
      <w:bodyDiv w:val="1"/>
      <w:marLeft w:val="0"/>
      <w:marRight w:val="0"/>
      <w:marTop w:val="0"/>
      <w:marBottom w:val="0"/>
      <w:divBdr>
        <w:top w:val="none" w:sz="0" w:space="0" w:color="auto"/>
        <w:left w:val="none" w:sz="0" w:space="0" w:color="auto"/>
        <w:bottom w:val="none" w:sz="0" w:space="0" w:color="auto"/>
        <w:right w:val="none" w:sz="0" w:space="0" w:color="auto"/>
      </w:divBdr>
    </w:div>
    <w:div w:id="1793748821">
      <w:bodyDiv w:val="1"/>
      <w:marLeft w:val="0"/>
      <w:marRight w:val="0"/>
      <w:marTop w:val="0"/>
      <w:marBottom w:val="0"/>
      <w:divBdr>
        <w:top w:val="none" w:sz="0" w:space="0" w:color="auto"/>
        <w:left w:val="none" w:sz="0" w:space="0" w:color="auto"/>
        <w:bottom w:val="none" w:sz="0" w:space="0" w:color="auto"/>
        <w:right w:val="none" w:sz="0" w:space="0" w:color="auto"/>
      </w:divBdr>
    </w:div>
    <w:div w:id="1793787027">
      <w:bodyDiv w:val="1"/>
      <w:marLeft w:val="0"/>
      <w:marRight w:val="0"/>
      <w:marTop w:val="0"/>
      <w:marBottom w:val="0"/>
      <w:divBdr>
        <w:top w:val="none" w:sz="0" w:space="0" w:color="auto"/>
        <w:left w:val="none" w:sz="0" w:space="0" w:color="auto"/>
        <w:bottom w:val="none" w:sz="0" w:space="0" w:color="auto"/>
        <w:right w:val="none" w:sz="0" w:space="0" w:color="auto"/>
      </w:divBdr>
    </w:div>
    <w:div w:id="1795060106">
      <w:bodyDiv w:val="1"/>
      <w:marLeft w:val="0"/>
      <w:marRight w:val="0"/>
      <w:marTop w:val="0"/>
      <w:marBottom w:val="0"/>
      <w:divBdr>
        <w:top w:val="none" w:sz="0" w:space="0" w:color="auto"/>
        <w:left w:val="none" w:sz="0" w:space="0" w:color="auto"/>
        <w:bottom w:val="none" w:sz="0" w:space="0" w:color="auto"/>
        <w:right w:val="none" w:sz="0" w:space="0" w:color="auto"/>
      </w:divBdr>
    </w:div>
    <w:div w:id="1804811030">
      <w:bodyDiv w:val="1"/>
      <w:marLeft w:val="0"/>
      <w:marRight w:val="0"/>
      <w:marTop w:val="0"/>
      <w:marBottom w:val="0"/>
      <w:divBdr>
        <w:top w:val="none" w:sz="0" w:space="0" w:color="auto"/>
        <w:left w:val="none" w:sz="0" w:space="0" w:color="auto"/>
        <w:bottom w:val="none" w:sz="0" w:space="0" w:color="auto"/>
        <w:right w:val="none" w:sz="0" w:space="0" w:color="auto"/>
      </w:divBdr>
    </w:div>
    <w:div w:id="1817185700">
      <w:bodyDiv w:val="1"/>
      <w:marLeft w:val="0"/>
      <w:marRight w:val="0"/>
      <w:marTop w:val="0"/>
      <w:marBottom w:val="0"/>
      <w:divBdr>
        <w:top w:val="none" w:sz="0" w:space="0" w:color="auto"/>
        <w:left w:val="none" w:sz="0" w:space="0" w:color="auto"/>
        <w:bottom w:val="none" w:sz="0" w:space="0" w:color="auto"/>
        <w:right w:val="none" w:sz="0" w:space="0" w:color="auto"/>
      </w:divBdr>
    </w:div>
    <w:div w:id="1818494902">
      <w:bodyDiv w:val="1"/>
      <w:marLeft w:val="0"/>
      <w:marRight w:val="0"/>
      <w:marTop w:val="0"/>
      <w:marBottom w:val="0"/>
      <w:divBdr>
        <w:top w:val="none" w:sz="0" w:space="0" w:color="auto"/>
        <w:left w:val="none" w:sz="0" w:space="0" w:color="auto"/>
        <w:bottom w:val="none" w:sz="0" w:space="0" w:color="auto"/>
        <w:right w:val="none" w:sz="0" w:space="0" w:color="auto"/>
      </w:divBdr>
    </w:div>
    <w:div w:id="1819567939">
      <w:bodyDiv w:val="1"/>
      <w:marLeft w:val="0"/>
      <w:marRight w:val="0"/>
      <w:marTop w:val="0"/>
      <w:marBottom w:val="0"/>
      <w:divBdr>
        <w:top w:val="none" w:sz="0" w:space="0" w:color="auto"/>
        <w:left w:val="none" w:sz="0" w:space="0" w:color="auto"/>
        <w:bottom w:val="none" w:sz="0" w:space="0" w:color="auto"/>
        <w:right w:val="none" w:sz="0" w:space="0" w:color="auto"/>
      </w:divBdr>
    </w:div>
    <w:div w:id="1824395962">
      <w:bodyDiv w:val="1"/>
      <w:marLeft w:val="0"/>
      <w:marRight w:val="0"/>
      <w:marTop w:val="0"/>
      <w:marBottom w:val="0"/>
      <w:divBdr>
        <w:top w:val="none" w:sz="0" w:space="0" w:color="auto"/>
        <w:left w:val="none" w:sz="0" w:space="0" w:color="auto"/>
        <w:bottom w:val="none" w:sz="0" w:space="0" w:color="auto"/>
        <w:right w:val="none" w:sz="0" w:space="0" w:color="auto"/>
      </w:divBdr>
    </w:div>
    <w:div w:id="1828980325">
      <w:bodyDiv w:val="1"/>
      <w:marLeft w:val="0"/>
      <w:marRight w:val="0"/>
      <w:marTop w:val="0"/>
      <w:marBottom w:val="0"/>
      <w:divBdr>
        <w:top w:val="none" w:sz="0" w:space="0" w:color="auto"/>
        <w:left w:val="none" w:sz="0" w:space="0" w:color="auto"/>
        <w:bottom w:val="none" w:sz="0" w:space="0" w:color="auto"/>
        <w:right w:val="none" w:sz="0" w:space="0" w:color="auto"/>
      </w:divBdr>
    </w:div>
    <w:div w:id="1831141993">
      <w:bodyDiv w:val="1"/>
      <w:marLeft w:val="0"/>
      <w:marRight w:val="0"/>
      <w:marTop w:val="0"/>
      <w:marBottom w:val="0"/>
      <w:divBdr>
        <w:top w:val="none" w:sz="0" w:space="0" w:color="auto"/>
        <w:left w:val="none" w:sz="0" w:space="0" w:color="auto"/>
        <w:bottom w:val="none" w:sz="0" w:space="0" w:color="auto"/>
        <w:right w:val="none" w:sz="0" w:space="0" w:color="auto"/>
      </w:divBdr>
      <w:divsChild>
        <w:div w:id="368268013">
          <w:marLeft w:val="547"/>
          <w:marRight w:val="0"/>
          <w:marTop w:val="77"/>
          <w:marBottom w:val="0"/>
          <w:divBdr>
            <w:top w:val="none" w:sz="0" w:space="0" w:color="auto"/>
            <w:left w:val="none" w:sz="0" w:space="0" w:color="auto"/>
            <w:bottom w:val="none" w:sz="0" w:space="0" w:color="auto"/>
            <w:right w:val="none" w:sz="0" w:space="0" w:color="auto"/>
          </w:divBdr>
        </w:div>
        <w:div w:id="770275520">
          <w:marLeft w:val="547"/>
          <w:marRight w:val="0"/>
          <w:marTop w:val="77"/>
          <w:marBottom w:val="0"/>
          <w:divBdr>
            <w:top w:val="none" w:sz="0" w:space="0" w:color="auto"/>
            <w:left w:val="none" w:sz="0" w:space="0" w:color="auto"/>
            <w:bottom w:val="none" w:sz="0" w:space="0" w:color="auto"/>
            <w:right w:val="none" w:sz="0" w:space="0" w:color="auto"/>
          </w:divBdr>
        </w:div>
        <w:div w:id="1515456097">
          <w:marLeft w:val="547"/>
          <w:marRight w:val="0"/>
          <w:marTop w:val="77"/>
          <w:marBottom w:val="0"/>
          <w:divBdr>
            <w:top w:val="none" w:sz="0" w:space="0" w:color="auto"/>
            <w:left w:val="none" w:sz="0" w:space="0" w:color="auto"/>
            <w:bottom w:val="none" w:sz="0" w:space="0" w:color="auto"/>
            <w:right w:val="none" w:sz="0" w:space="0" w:color="auto"/>
          </w:divBdr>
        </w:div>
      </w:divsChild>
    </w:div>
    <w:div w:id="1835104351">
      <w:bodyDiv w:val="1"/>
      <w:marLeft w:val="0"/>
      <w:marRight w:val="0"/>
      <w:marTop w:val="0"/>
      <w:marBottom w:val="0"/>
      <w:divBdr>
        <w:top w:val="none" w:sz="0" w:space="0" w:color="auto"/>
        <w:left w:val="none" w:sz="0" w:space="0" w:color="auto"/>
        <w:bottom w:val="none" w:sz="0" w:space="0" w:color="auto"/>
        <w:right w:val="none" w:sz="0" w:space="0" w:color="auto"/>
      </w:divBdr>
    </w:div>
    <w:div w:id="1836677503">
      <w:bodyDiv w:val="1"/>
      <w:marLeft w:val="0"/>
      <w:marRight w:val="0"/>
      <w:marTop w:val="0"/>
      <w:marBottom w:val="0"/>
      <w:divBdr>
        <w:top w:val="none" w:sz="0" w:space="0" w:color="auto"/>
        <w:left w:val="none" w:sz="0" w:space="0" w:color="auto"/>
        <w:bottom w:val="none" w:sz="0" w:space="0" w:color="auto"/>
        <w:right w:val="none" w:sz="0" w:space="0" w:color="auto"/>
      </w:divBdr>
    </w:div>
    <w:div w:id="1845129191">
      <w:bodyDiv w:val="1"/>
      <w:marLeft w:val="0"/>
      <w:marRight w:val="0"/>
      <w:marTop w:val="0"/>
      <w:marBottom w:val="0"/>
      <w:divBdr>
        <w:top w:val="none" w:sz="0" w:space="0" w:color="auto"/>
        <w:left w:val="none" w:sz="0" w:space="0" w:color="auto"/>
        <w:bottom w:val="none" w:sz="0" w:space="0" w:color="auto"/>
        <w:right w:val="none" w:sz="0" w:space="0" w:color="auto"/>
      </w:divBdr>
    </w:div>
    <w:div w:id="1853059220">
      <w:bodyDiv w:val="1"/>
      <w:marLeft w:val="0"/>
      <w:marRight w:val="0"/>
      <w:marTop w:val="0"/>
      <w:marBottom w:val="0"/>
      <w:divBdr>
        <w:top w:val="none" w:sz="0" w:space="0" w:color="auto"/>
        <w:left w:val="none" w:sz="0" w:space="0" w:color="auto"/>
        <w:bottom w:val="none" w:sz="0" w:space="0" w:color="auto"/>
        <w:right w:val="none" w:sz="0" w:space="0" w:color="auto"/>
      </w:divBdr>
    </w:div>
    <w:div w:id="1853956251">
      <w:bodyDiv w:val="1"/>
      <w:marLeft w:val="0"/>
      <w:marRight w:val="0"/>
      <w:marTop w:val="0"/>
      <w:marBottom w:val="0"/>
      <w:divBdr>
        <w:top w:val="none" w:sz="0" w:space="0" w:color="auto"/>
        <w:left w:val="none" w:sz="0" w:space="0" w:color="auto"/>
        <w:bottom w:val="none" w:sz="0" w:space="0" w:color="auto"/>
        <w:right w:val="none" w:sz="0" w:space="0" w:color="auto"/>
      </w:divBdr>
    </w:div>
    <w:div w:id="1859738905">
      <w:bodyDiv w:val="1"/>
      <w:marLeft w:val="0"/>
      <w:marRight w:val="0"/>
      <w:marTop w:val="0"/>
      <w:marBottom w:val="0"/>
      <w:divBdr>
        <w:top w:val="none" w:sz="0" w:space="0" w:color="auto"/>
        <w:left w:val="none" w:sz="0" w:space="0" w:color="auto"/>
        <w:bottom w:val="none" w:sz="0" w:space="0" w:color="auto"/>
        <w:right w:val="none" w:sz="0" w:space="0" w:color="auto"/>
      </w:divBdr>
    </w:div>
    <w:div w:id="1860393829">
      <w:bodyDiv w:val="1"/>
      <w:marLeft w:val="0"/>
      <w:marRight w:val="0"/>
      <w:marTop w:val="0"/>
      <w:marBottom w:val="0"/>
      <w:divBdr>
        <w:top w:val="none" w:sz="0" w:space="0" w:color="auto"/>
        <w:left w:val="none" w:sz="0" w:space="0" w:color="auto"/>
        <w:bottom w:val="none" w:sz="0" w:space="0" w:color="auto"/>
        <w:right w:val="none" w:sz="0" w:space="0" w:color="auto"/>
      </w:divBdr>
    </w:div>
    <w:div w:id="1862237329">
      <w:bodyDiv w:val="1"/>
      <w:marLeft w:val="0"/>
      <w:marRight w:val="0"/>
      <w:marTop w:val="0"/>
      <w:marBottom w:val="0"/>
      <w:divBdr>
        <w:top w:val="none" w:sz="0" w:space="0" w:color="auto"/>
        <w:left w:val="none" w:sz="0" w:space="0" w:color="auto"/>
        <w:bottom w:val="none" w:sz="0" w:space="0" w:color="auto"/>
        <w:right w:val="none" w:sz="0" w:space="0" w:color="auto"/>
      </w:divBdr>
    </w:div>
    <w:div w:id="1867257884">
      <w:bodyDiv w:val="1"/>
      <w:marLeft w:val="0"/>
      <w:marRight w:val="0"/>
      <w:marTop w:val="0"/>
      <w:marBottom w:val="0"/>
      <w:divBdr>
        <w:top w:val="none" w:sz="0" w:space="0" w:color="auto"/>
        <w:left w:val="none" w:sz="0" w:space="0" w:color="auto"/>
        <w:bottom w:val="none" w:sz="0" w:space="0" w:color="auto"/>
        <w:right w:val="none" w:sz="0" w:space="0" w:color="auto"/>
      </w:divBdr>
    </w:div>
    <w:div w:id="1867476090">
      <w:bodyDiv w:val="1"/>
      <w:marLeft w:val="0"/>
      <w:marRight w:val="0"/>
      <w:marTop w:val="0"/>
      <w:marBottom w:val="0"/>
      <w:divBdr>
        <w:top w:val="none" w:sz="0" w:space="0" w:color="auto"/>
        <w:left w:val="none" w:sz="0" w:space="0" w:color="auto"/>
        <w:bottom w:val="none" w:sz="0" w:space="0" w:color="auto"/>
        <w:right w:val="none" w:sz="0" w:space="0" w:color="auto"/>
      </w:divBdr>
    </w:div>
    <w:div w:id="1869103283">
      <w:bodyDiv w:val="1"/>
      <w:marLeft w:val="0"/>
      <w:marRight w:val="0"/>
      <w:marTop w:val="0"/>
      <w:marBottom w:val="0"/>
      <w:divBdr>
        <w:top w:val="none" w:sz="0" w:space="0" w:color="auto"/>
        <w:left w:val="none" w:sz="0" w:space="0" w:color="auto"/>
        <w:bottom w:val="none" w:sz="0" w:space="0" w:color="auto"/>
        <w:right w:val="none" w:sz="0" w:space="0" w:color="auto"/>
      </w:divBdr>
    </w:div>
    <w:div w:id="1874069878">
      <w:bodyDiv w:val="1"/>
      <w:marLeft w:val="0"/>
      <w:marRight w:val="0"/>
      <w:marTop w:val="0"/>
      <w:marBottom w:val="0"/>
      <w:divBdr>
        <w:top w:val="none" w:sz="0" w:space="0" w:color="auto"/>
        <w:left w:val="none" w:sz="0" w:space="0" w:color="auto"/>
        <w:bottom w:val="none" w:sz="0" w:space="0" w:color="auto"/>
        <w:right w:val="none" w:sz="0" w:space="0" w:color="auto"/>
      </w:divBdr>
    </w:div>
    <w:div w:id="1875461889">
      <w:bodyDiv w:val="1"/>
      <w:marLeft w:val="0"/>
      <w:marRight w:val="0"/>
      <w:marTop w:val="0"/>
      <w:marBottom w:val="0"/>
      <w:divBdr>
        <w:top w:val="none" w:sz="0" w:space="0" w:color="auto"/>
        <w:left w:val="none" w:sz="0" w:space="0" w:color="auto"/>
        <w:bottom w:val="none" w:sz="0" w:space="0" w:color="auto"/>
        <w:right w:val="none" w:sz="0" w:space="0" w:color="auto"/>
      </w:divBdr>
    </w:div>
    <w:div w:id="1876775090">
      <w:bodyDiv w:val="1"/>
      <w:marLeft w:val="0"/>
      <w:marRight w:val="0"/>
      <w:marTop w:val="0"/>
      <w:marBottom w:val="0"/>
      <w:divBdr>
        <w:top w:val="none" w:sz="0" w:space="0" w:color="auto"/>
        <w:left w:val="none" w:sz="0" w:space="0" w:color="auto"/>
        <w:bottom w:val="none" w:sz="0" w:space="0" w:color="auto"/>
        <w:right w:val="none" w:sz="0" w:space="0" w:color="auto"/>
      </w:divBdr>
    </w:div>
    <w:div w:id="1878351760">
      <w:bodyDiv w:val="1"/>
      <w:marLeft w:val="0"/>
      <w:marRight w:val="0"/>
      <w:marTop w:val="0"/>
      <w:marBottom w:val="0"/>
      <w:divBdr>
        <w:top w:val="none" w:sz="0" w:space="0" w:color="auto"/>
        <w:left w:val="none" w:sz="0" w:space="0" w:color="auto"/>
        <w:bottom w:val="none" w:sz="0" w:space="0" w:color="auto"/>
        <w:right w:val="none" w:sz="0" w:space="0" w:color="auto"/>
      </w:divBdr>
    </w:div>
    <w:div w:id="1879200333">
      <w:bodyDiv w:val="1"/>
      <w:marLeft w:val="0"/>
      <w:marRight w:val="0"/>
      <w:marTop w:val="0"/>
      <w:marBottom w:val="0"/>
      <w:divBdr>
        <w:top w:val="none" w:sz="0" w:space="0" w:color="auto"/>
        <w:left w:val="none" w:sz="0" w:space="0" w:color="auto"/>
        <w:bottom w:val="none" w:sz="0" w:space="0" w:color="auto"/>
        <w:right w:val="none" w:sz="0" w:space="0" w:color="auto"/>
      </w:divBdr>
    </w:div>
    <w:div w:id="1887641431">
      <w:bodyDiv w:val="1"/>
      <w:marLeft w:val="0"/>
      <w:marRight w:val="0"/>
      <w:marTop w:val="0"/>
      <w:marBottom w:val="0"/>
      <w:divBdr>
        <w:top w:val="none" w:sz="0" w:space="0" w:color="auto"/>
        <w:left w:val="none" w:sz="0" w:space="0" w:color="auto"/>
        <w:bottom w:val="none" w:sz="0" w:space="0" w:color="auto"/>
        <w:right w:val="none" w:sz="0" w:space="0" w:color="auto"/>
      </w:divBdr>
    </w:div>
    <w:div w:id="1893467045">
      <w:bodyDiv w:val="1"/>
      <w:marLeft w:val="0"/>
      <w:marRight w:val="0"/>
      <w:marTop w:val="0"/>
      <w:marBottom w:val="0"/>
      <w:divBdr>
        <w:top w:val="none" w:sz="0" w:space="0" w:color="auto"/>
        <w:left w:val="none" w:sz="0" w:space="0" w:color="auto"/>
        <w:bottom w:val="none" w:sz="0" w:space="0" w:color="auto"/>
        <w:right w:val="none" w:sz="0" w:space="0" w:color="auto"/>
      </w:divBdr>
    </w:div>
    <w:div w:id="1893614808">
      <w:bodyDiv w:val="1"/>
      <w:marLeft w:val="0"/>
      <w:marRight w:val="0"/>
      <w:marTop w:val="0"/>
      <w:marBottom w:val="0"/>
      <w:divBdr>
        <w:top w:val="none" w:sz="0" w:space="0" w:color="auto"/>
        <w:left w:val="none" w:sz="0" w:space="0" w:color="auto"/>
        <w:bottom w:val="none" w:sz="0" w:space="0" w:color="auto"/>
        <w:right w:val="none" w:sz="0" w:space="0" w:color="auto"/>
      </w:divBdr>
    </w:div>
    <w:div w:id="1893809929">
      <w:bodyDiv w:val="1"/>
      <w:marLeft w:val="0"/>
      <w:marRight w:val="0"/>
      <w:marTop w:val="0"/>
      <w:marBottom w:val="0"/>
      <w:divBdr>
        <w:top w:val="none" w:sz="0" w:space="0" w:color="auto"/>
        <w:left w:val="none" w:sz="0" w:space="0" w:color="auto"/>
        <w:bottom w:val="none" w:sz="0" w:space="0" w:color="auto"/>
        <w:right w:val="none" w:sz="0" w:space="0" w:color="auto"/>
      </w:divBdr>
    </w:div>
    <w:div w:id="1902793023">
      <w:bodyDiv w:val="1"/>
      <w:marLeft w:val="0"/>
      <w:marRight w:val="0"/>
      <w:marTop w:val="0"/>
      <w:marBottom w:val="0"/>
      <w:divBdr>
        <w:top w:val="none" w:sz="0" w:space="0" w:color="auto"/>
        <w:left w:val="none" w:sz="0" w:space="0" w:color="auto"/>
        <w:bottom w:val="none" w:sz="0" w:space="0" w:color="auto"/>
        <w:right w:val="none" w:sz="0" w:space="0" w:color="auto"/>
      </w:divBdr>
    </w:div>
    <w:div w:id="1911887267">
      <w:bodyDiv w:val="1"/>
      <w:marLeft w:val="0"/>
      <w:marRight w:val="0"/>
      <w:marTop w:val="0"/>
      <w:marBottom w:val="0"/>
      <w:divBdr>
        <w:top w:val="none" w:sz="0" w:space="0" w:color="auto"/>
        <w:left w:val="none" w:sz="0" w:space="0" w:color="auto"/>
        <w:bottom w:val="none" w:sz="0" w:space="0" w:color="auto"/>
        <w:right w:val="none" w:sz="0" w:space="0" w:color="auto"/>
      </w:divBdr>
    </w:div>
    <w:div w:id="1913617318">
      <w:bodyDiv w:val="1"/>
      <w:marLeft w:val="0"/>
      <w:marRight w:val="0"/>
      <w:marTop w:val="0"/>
      <w:marBottom w:val="0"/>
      <w:divBdr>
        <w:top w:val="none" w:sz="0" w:space="0" w:color="auto"/>
        <w:left w:val="none" w:sz="0" w:space="0" w:color="auto"/>
        <w:bottom w:val="none" w:sz="0" w:space="0" w:color="auto"/>
        <w:right w:val="none" w:sz="0" w:space="0" w:color="auto"/>
      </w:divBdr>
    </w:div>
    <w:div w:id="1914466420">
      <w:bodyDiv w:val="1"/>
      <w:marLeft w:val="0"/>
      <w:marRight w:val="0"/>
      <w:marTop w:val="0"/>
      <w:marBottom w:val="0"/>
      <w:divBdr>
        <w:top w:val="none" w:sz="0" w:space="0" w:color="auto"/>
        <w:left w:val="none" w:sz="0" w:space="0" w:color="auto"/>
        <w:bottom w:val="none" w:sz="0" w:space="0" w:color="auto"/>
        <w:right w:val="none" w:sz="0" w:space="0" w:color="auto"/>
      </w:divBdr>
    </w:div>
    <w:div w:id="1923836158">
      <w:bodyDiv w:val="1"/>
      <w:marLeft w:val="0"/>
      <w:marRight w:val="0"/>
      <w:marTop w:val="0"/>
      <w:marBottom w:val="0"/>
      <w:divBdr>
        <w:top w:val="none" w:sz="0" w:space="0" w:color="auto"/>
        <w:left w:val="none" w:sz="0" w:space="0" w:color="auto"/>
        <w:bottom w:val="none" w:sz="0" w:space="0" w:color="auto"/>
        <w:right w:val="none" w:sz="0" w:space="0" w:color="auto"/>
      </w:divBdr>
    </w:div>
    <w:div w:id="1933928548">
      <w:bodyDiv w:val="1"/>
      <w:marLeft w:val="0"/>
      <w:marRight w:val="0"/>
      <w:marTop w:val="0"/>
      <w:marBottom w:val="0"/>
      <w:divBdr>
        <w:top w:val="none" w:sz="0" w:space="0" w:color="auto"/>
        <w:left w:val="none" w:sz="0" w:space="0" w:color="auto"/>
        <w:bottom w:val="none" w:sz="0" w:space="0" w:color="auto"/>
        <w:right w:val="none" w:sz="0" w:space="0" w:color="auto"/>
      </w:divBdr>
    </w:div>
    <w:div w:id="1935357572">
      <w:bodyDiv w:val="1"/>
      <w:marLeft w:val="0"/>
      <w:marRight w:val="0"/>
      <w:marTop w:val="0"/>
      <w:marBottom w:val="0"/>
      <w:divBdr>
        <w:top w:val="none" w:sz="0" w:space="0" w:color="auto"/>
        <w:left w:val="none" w:sz="0" w:space="0" w:color="auto"/>
        <w:bottom w:val="none" w:sz="0" w:space="0" w:color="auto"/>
        <w:right w:val="none" w:sz="0" w:space="0" w:color="auto"/>
      </w:divBdr>
    </w:div>
    <w:div w:id="1943025059">
      <w:bodyDiv w:val="1"/>
      <w:marLeft w:val="0"/>
      <w:marRight w:val="0"/>
      <w:marTop w:val="0"/>
      <w:marBottom w:val="0"/>
      <w:divBdr>
        <w:top w:val="none" w:sz="0" w:space="0" w:color="auto"/>
        <w:left w:val="none" w:sz="0" w:space="0" w:color="auto"/>
        <w:bottom w:val="none" w:sz="0" w:space="0" w:color="auto"/>
        <w:right w:val="none" w:sz="0" w:space="0" w:color="auto"/>
      </w:divBdr>
    </w:div>
    <w:div w:id="1946228351">
      <w:bodyDiv w:val="1"/>
      <w:marLeft w:val="0"/>
      <w:marRight w:val="0"/>
      <w:marTop w:val="0"/>
      <w:marBottom w:val="0"/>
      <w:divBdr>
        <w:top w:val="none" w:sz="0" w:space="0" w:color="auto"/>
        <w:left w:val="none" w:sz="0" w:space="0" w:color="auto"/>
        <w:bottom w:val="none" w:sz="0" w:space="0" w:color="auto"/>
        <w:right w:val="none" w:sz="0" w:space="0" w:color="auto"/>
      </w:divBdr>
    </w:div>
    <w:div w:id="1947810369">
      <w:bodyDiv w:val="1"/>
      <w:marLeft w:val="0"/>
      <w:marRight w:val="0"/>
      <w:marTop w:val="0"/>
      <w:marBottom w:val="0"/>
      <w:divBdr>
        <w:top w:val="none" w:sz="0" w:space="0" w:color="auto"/>
        <w:left w:val="none" w:sz="0" w:space="0" w:color="auto"/>
        <w:bottom w:val="none" w:sz="0" w:space="0" w:color="auto"/>
        <w:right w:val="none" w:sz="0" w:space="0" w:color="auto"/>
      </w:divBdr>
    </w:div>
    <w:div w:id="1948196043">
      <w:bodyDiv w:val="1"/>
      <w:marLeft w:val="0"/>
      <w:marRight w:val="0"/>
      <w:marTop w:val="0"/>
      <w:marBottom w:val="0"/>
      <w:divBdr>
        <w:top w:val="none" w:sz="0" w:space="0" w:color="auto"/>
        <w:left w:val="none" w:sz="0" w:space="0" w:color="auto"/>
        <w:bottom w:val="none" w:sz="0" w:space="0" w:color="auto"/>
        <w:right w:val="none" w:sz="0" w:space="0" w:color="auto"/>
      </w:divBdr>
    </w:div>
    <w:div w:id="1950118157">
      <w:bodyDiv w:val="1"/>
      <w:marLeft w:val="0"/>
      <w:marRight w:val="0"/>
      <w:marTop w:val="0"/>
      <w:marBottom w:val="0"/>
      <w:divBdr>
        <w:top w:val="none" w:sz="0" w:space="0" w:color="auto"/>
        <w:left w:val="none" w:sz="0" w:space="0" w:color="auto"/>
        <w:bottom w:val="none" w:sz="0" w:space="0" w:color="auto"/>
        <w:right w:val="none" w:sz="0" w:space="0" w:color="auto"/>
      </w:divBdr>
    </w:div>
    <w:div w:id="1950501021">
      <w:bodyDiv w:val="1"/>
      <w:marLeft w:val="0"/>
      <w:marRight w:val="0"/>
      <w:marTop w:val="0"/>
      <w:marBottom w:val="0"/>
      <w:divBdr>
        <w:top w:val="none" w:sz="0" w:space="0" w:color="auto"/>
        <w:left w:val="none" w:sz="0" w:space="0" w:color="auto"/>
        <w:bottom w:val="none" w:sz="0" w:space="0" w:color="auto"/>
        <w:right w:val="none" w:sz="0" w:space="0" w:color="auto"/>
      </w:divBdr>
    </w:div>
    <w:div w:id="1952738978">
      <w:bodyDiv w:val="1"/>
      <w:marLeft w:val="0"/>
      <w:marRight w:val="0"/>
      <w:marTop w:val="0"/>
      <w:marBottom w:val="0"/>
      <w:divBdr>
        <w:top w:val="none" w:sz="0" w:space="0" w:color="auto"/>
        <w:left w:val="none" w:sz="0" w:space="0" w:color="auto"/>
        <w:bottom w:val="none" w:sz="0" w:space="0" w:color="auto"/>
        <w:right w:val="none" w:sz="0" w:space="0" w:color="auto"/>
      </w:divBdr>
    </w:div>
    <w:div w:id="1959096772">
      <w:bodyDiv w:val="1"/>
      <w:marLeft w:val="0"/>
      <w:marRight w:val="0"/>
      <w:marTop w:val="0"/>
      <w:marBottom w:val="0"/>
      <w:divBdr>
        <w:top w:val="none" w:sz="0" w:space="0" w:color="auto"/>
        <w:left w:val="none" w:sz="0" w:space="0" w:color="auto"/>
        <w:bottom w:val="none" w:sz="0" w:space="0" w:color="auto"/>
        <w:right w:val="none" w:sz="0" w:space="0" w:color="auto"/>
      </w:divBdr>
    </w:div>
    <w:div w:id="1987858967">
      <w:bodyDiv w:val="1"/>
      <w:marLeft w:val="0"/>
      <w:marRight w:val="0"/>
      <w:marTop w:val="0"/>
      <w:marBottom w:val="0"/>
      <w:divBdr>
        <w:top w:val="none" w:sz="0" w:space="0" w:color="auto"/>
        <w:left w:val="none" w:sz="0" w:space="0" w:color="auto"/>
        <w:bottom w:val="none" w:sz="0" w:space="0" w:color="auto"/>
        <w:right w:val="none" w:sz="0" w:space="0" w:color="auto"/>
      </w:divBdr>
    </w:div>
    <w:div w:id="1988238598">
      <w:bodyDiv w:val="1"/>
      <w:marLeft w:val="0"/>
      <w:marRight w:val="0"/>
      <w:marTop w:val="0"/>
      <w:marBottom w:val="0"/>
      <w:divBdr>
        <w:top w:val="none" w:sz="0" w:space="0" w:color="auto"/>
        <w:left w:val="none" w:sz="0" w:space="0" w:color="auto"/>
        <w:bottom w:val="none" w:sz="0" w:space="0" w:color="auto"/>
        <w:right w:val="none" w:sz="0" w:space="0" w:color="auto"/>
      </w:divBdr>
    </w:div>
    <w:div w:id="1993168989">
      <w:bodyDiv w:val="1"/>
      <w:marLeft w:val="0"/>
      <w:marRight w:val="0"/>
      <w:marTop w:val="0"/>
      <w:marBottom w:val="0"/>
      <w:divBdr>
        <w:top w:val="none" w:sz="0" w:space="0" w:color="auto"/>
        <w:left w:val="none" w:sz="0" w:space="0" w:color="auto"/>
        <w:bottom w:val="none" w:sz="0" w:space="0" w:color="auto"/>
        <w:right w:val="none" w:sz="0" w:space="0" w:color="auto"/>
      </w:divBdr>
    </w:div>
    <w:div w:id="1996715790">
      <w:bodyDiv w:val="1"/>
      <w:marLeft w:val="0"/>
      <w:marRight w:val="0"/>
      <w:marTop w:val="0"/>
      <w:marBottom w:val="0"/>
      <w:divBdr>
        <w:top w:val="none" w:sz="0" w:space="0" w:color="auto"/>
        <w:left w:val="none" w:sz="0" w:space="0" w:color="auto"/>
        <w:bottom w:val="none" w:sz="0" w:space="0" w:color="auto"/>
        <w:right w:val="none" w:sz="0" w:space="0" w:color="auto"/>
      </w:divBdr>
    </w:div>
    <w:div w:id="2008970628">
      <w:bodyDiv w:val="1"/>
      <w:marLeft w:val="0"/>
      <w:marRight w:val="0"/>
      <w:marTop w:val="0"/>
      <w:marBottom w:val="0"/>
      <w:divBdr>
        <w:top w:val="none" w:sz="0" w:space="0" w:color="auto"/>
        <w:left w:val="none" w:sz="0" w:space="0" w:color="auto"/>
        <w:bottom w:val="none" w:sz="0" w:space="0" w:color="auto"/>
        <w:right w:val="none" w:sz="0" w:space="0" w:color="auto"/>
      </w:divBdr>
    </w:div>
    <w:div w:id="2009206558">
      <w:bodyDiv w:val="1"/>
      <w:marLeft w:val="0"/>
      <w:marRight w:val="0"/>
      <w:marTop w:val="0"/>
      <w:marBottom w:val="0"/>
      <w:divBdr>
        <w:top w:val="none" w:sz="0" w:space="0" w:color="auto"/>
        <w:left w:val="none" w:sz="0" w:space="0" w:color="auto"/>
        <w:bottom w:val="none" w:sz="0" w:space="0" w:color="auto"/>
        <w:right w:val="none" w:sz="0" w:space="0" w:color="auto"/>
      </w:divBdr>
    </w:div>
    <w:div w:id="2012095765">
      <w:bodyDiv w:val="1"/>
      <w:marLeft w:val="0"/>
      <w:marRight w:val="0"/>
      <w:marTop w:val="0"/>
      <w:marBottom w:val="0"/>
      <w:divBdr>
        <w:top w:val="none" w:sz="0" w:space="0" w:color="auto"/>
        <w:left w:val="none" w:sz="0" w:space="0" w:color="auto"/>
        <w:bottom w:val="none" w:sz="0" w:space="0" w:color="auto"/>
        <w:right w:val="none" w:sz="0" w:space="0" w:color="auto"/>
      </w:divBdr>
    </w:div>
    <w:div w:id="2013530433">
      <w:bodyDiv w:val="1"/>
      <w:marLeft w:val="0"/>
      <w:marRight w:val="0"/>
      <w:marTop w:val="0"/>
      <w:marBottom w:val="0"/>
      <w:divBdr>
        <w:top w:val="none" w:sz="0" w:space="0" w:color="auto"/>
        <w:left w:val="none" w:sz="0" w:space="0" w:color="auto"/>
        <w:bottom w:val="none" w:sz="0" w:space="0" w:color="auto"/>
        <w:right w:val="none" w:sz="0" w:space="0" w:color="auto"/>
      </w:divBdr>
    </w:div>
    <w:div w:id="2019232467">
      <w:bodyDiv w:val="1"/>
      <w:marLeft w:val="0"/>
      <w:marRight w:val="0"/>
      <w:marTop w:val="0"/>
      <w:marBottom w:val="0"/>
      <w:divBdr>
        <w:top w:val="none" w:sz="0" w:space="0" w:color="auto"/>
        <w:left w:val="none" w:sz="0" w:space="0" w:color="auto"/>
        <w:bottom w:val="none" w:sz="0" w:space="0" w:color="auto"/>
        <w:right w:val="none" w:sz="0" w:space="0" w:color="auto"/>
      </w:divBdr>
    </w:div>
    <w:div w:id="2023429489">
      <w:bodyDiv w:val="1"/>
      <w:marLeft w:val="0"/>
      <w:marRight w:val="0"/>
      <w:marTop w:val="0"/>
      <w:marBottom w:val="0"/>
      <w:divBdr>
        <w:top w:val="none" w:sz="0" w:space="0" w:color="auto"/>
        <w:left w:val="none" w:sz="0" w:space="0" w:color="auto"/>
        <w:bottom w:val="none" w:sz="0" w:space="0" w:color="auto"/>
        <w:right w:val="none" w:sz="0" w:space="0" w:color="auto"/>
      </w:divBdr>
    </w:div>
    <w:div w:id="2024894343">
      <w:bodyDiv w:val="1"/>
      <w:marLeft w:val="0"/>
      <w:marRight w:val="0"/>
      <w:marTop w:val="0"/>
      <w:marBottom w:val="0"/>
      <w:divBdr>
        <w:top w:val="none" w:sz="0" w:space="0" w:color="auto"/>
        <w:left w:val="none" w:sz="0" w:space="0" w:color="auto"/>
        <w:bottom w:val="none" w:sz="0" w:space="0" w:color="auto"/>
        <w:right w:val="none" w:sz="0" w:space="0" w:color="auto"/>
      </w:divBdr>
    </w:div>
    <w:div w:id="2026515911">
      <w:bodyDiv w:val="1"/>
      <w:marLeft w:val="0"/>
      <w:marRight w:val="0"/>
      <w:marTop w:val="0"/>
      <w:marBottom w:val="0"/>
      <w:divBdr>
        <w:top w:val="none" w:sz="0" w:space="0" w:color="auto"/>
        <w:left w:val="none" w:sz="0" w:space="0" w:color="auto"/>
        <w:bottom w:val="none" w:sz="0" w:space="0" w:color="auto"/>
        <w:right w:val="none" w:sz="0" w:space="0" w:color="auto"/>
      </w:divBdr>
    </w:div>
    <w:div w:id="2026904924">
      <w:bodyDiv w:val="1"/>
      <w:marLeft w:val="0"/>
      <w:marRight w:val="0"/>
      <w:marTop w:val="0"/>
      <w:marBottom w:val="0"/>
      <w:divBdr>
        <w:top w:val="none" w:sz="0" w:space="0" w:color="auto"/>
        <w:left w:val="none" w:sz="0" w:space="0" w:color="auto"/>
        <w:bottom w:val="none" w:sz="0" w:space="0" w:color="auto"/>
        <w:right w:val="none" w:sz="0" w:space="0" w:color="auto"/>
      </w:divBdr>
    </w:div>
    <w:div w:id="2027126244">
      <w:bodyDiv w:val="1"/>
      <w:marLeft w:val="0"/>
      <w:marRight w:val="0"/>
      <w:marTop w:val="0"/>
      <w:marBottom w:val="0"/>
      <w:divBdr>
        <w:top w:val="none" w:sz="0" w:space="0" w:color="auto"/>
        <w:left w:val="none" w:sz="0" w:space="0" w:color="auto"/>
        <w:bottom w:val="none" w:sz="0" w:space="0" w:color="auto"/>
        <w:right w:val="none" w:sz="0" w:space="0" w:color="auto"/>
      </w:divBdr>
    </w:div>
    <w:div w:id="2028480097">
      <w:bodyDiv w:val="1"/>
      <w:marLeft w:val="0"/>
      <w:marRight w:val="0"/>
      <w:marTop w:val="0"/>
      <w:marBottom w:val="0"/>
      <w:divBdr>
        <w:top w:val="none" w:sz="0" w:space="0" w:color="auto"/>
        <w:left w:val="none" w:sz="0" w:space="0" w:color="auto"/>
        <w:bottom w:val="none" w:sz="0" w:space="0" w:color="auto"/>
        <w:right w:val="none" w:sz="0" w:space="0" w:color="auto"/>
      </w:divBdr>
    </w:div>
    <w:div w:id="2032149548">
      <w:bodyDiv w:val="1"/>
      <w:marLeft w:val="0"/>
      <w:marRight w:val="0"/>
      <w:marTop w:val="0"/>
      <w:marBottom w:val="0"/>
      <w:divBdr>
        <w:top w:val="none" w:sz="0" w:space="0" w:color="auto"/>
        <w:left w:val="none" w:sz="0" w:space="0" w:color="auto"/>
        <w:bottom w:val="none" w:sz="0" w:space="0" w:color="auto"/>
        <w:right w:val="none" w:sz="0" w:space="0" w:color="auto"/>
      </w:divBdr>
    </w:div>
    <w:div w:id="2040426398">
      <w:bodyDiv w:val="1"/>
      <w:marLeft w:val="0"/>
      <w:marRight w:val="0"/>
      <w:marTop w:val="0"/>
      <w:marBottom w:val="0"/>
      <w:divBdr>
        <w:top w:val="none" w:sz="0" w:space="0" w:color="auto"/>
        <w:left w:val="none" w:sz="0" w:space="0" w:color="auto"/>
        <w:bottom w:val="none" w:sz="0" w:space="0" w:color="auto"/>
        <w:right w:val="none" w:sz="0" w:space="0" w:color="auto"/>
      </w:divBdr>
    </w:div>
    <w:div w:id="2044865021">
      <w:bodyDiv w:val="1"/>
      <w:marLeft w:val="0"/>
      <w:marRight w:val="0"/>
      <w:marTop w:val="0"/>
      <w:marBottom w:val="0"/>
      <w:divBdr>
        <w:top w:val="none" w:sz="0" w:space="0" w:color="auto"/>
        <w:left w:val="none" w:sz="0" w:space="0" w:color="auto"/>
        <w:bottom w:val="none" w:sz="0" w:space="0" w:color="auto"/>
        <w:right w:val="none" w:sz="0" w:space="0" w:color="auto"/>
      </w:divBdr>
    </w:div>
    <w:div w:id="2050296930">
      <w:bodyDiv w:val="1"/>
      <w:marLeft w:val="0"/>
      <w:marRight w:val="0"/>
      <w:marTop w:val="0"/>
      <w:marBottom w:val="0"/>
      <w:divBdr>
        <w:top w:val="none" w:sz="0" w:space="0" w:color="auto"/>
        <w:left w:val="none" w:sz="0" w:space="0" w:color="auto"/>
        <w:bottom w:val="none" w:sz="0" w:space="0" w:color="auto"/>
        <w:right w:val="none" w:sz="0" w:space="0" w:color="auto"/>
      </w:divBdr>
    </w:div>
    <w:div w:id="2053576385">
      <w:bodyDiv w:val="1"/>
      <w:marLeft w:val="0"/>
      <w:marRight w:val="0"/>
      <w:marTop w:val="0"/>
      <w:marBottom w:val="0"/>
      <w:divBdr>
        <w:top w:val="none" w:sz="0" w:space="0" w:color="auto"/>
        <w:left w:val="none" w:sz="0" w:space="0" w:color="auto"/>
        <w:bottom w:val="none" w:sz="0" w:space="0" w:color="auto"/>
        <w:right w:val="none" w:sz="0" w:space="0" w:color="auto"/>
      </w:divBdr>
    </w:div>
    <w:div w:id="2060861886">
      <w:bodyDiv w:val="1"/>
      <w:marLeft w:val="0"/>
      <w:marRight w:val="0"/>
      <w:marTop w:val="0"/>
      <w:marBottom w:val="0"/>
      <w:divBdr>
        <w:top w:val="none" w:sz="0" w:space="0" w:color="auto"/>
        <w:left w:val="none" w:sz="0" w:space="0" w:color="auto"/>
        <w:bottom w:val="none" w:sz="0" w:space="0" w:color="auto"/>
        <w:right w:val="none" w:sz="0" w:space="0" w:color="auto"/>
      </w:divBdr>
    </w:div>
    <w:div w:id="2061513188">
      <w:bodyDiv w:val="1"/>
      <w:marLeft w:val="0"/>
      <w:marRight w:val="0"/>
      <w:marTop w:val="0"/>
      <w:marBottom w:val="0"/>
      <w:divBdr>
        <w:top w:val="none" w:sz="0" w:space="0" w:color="auto"/>
        <w:left w:val="none" w:sz="0" w:space="0" w:color="auto"/>
        <w:bottom w:val="none" w:sz="0" w:space="0" w:color="auto"/>
        <w:right w:val="none" w:sz="0" w:space="0" w:color="auto"/>
      </w:divBdr>
    </w:div>
    <w:div w:id="2064712050">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69105280">
      <w:bodyDiv w:val="1"/>
      <w:marLeft w:val="0"/>
      <w:marRight w:val="0"/>
      <w:marTop w:val="0"/>
      <w:marBottom w:val="0"/>
      <w:divBdr>
        <w:top w:val="none" w:sz="0" w:space="0" w:color="auto"/>
        <w:left w:val="none" w:sz="0" w:space="0" w:color="auto"/>
        <w:bottom w:val="none" w:sz="0" w:space="0" w:color="auto"/>
        <w:right w:val="none" w:sz="0" w:space="0" w:color="auto"/>
      </w:divBdr>
    </w:div>
    <w:div w:id="2072653935">
      <w:bodyDiv w:val="1"/>
      <w:marLeft w:val="0"/>
      <w:marRight w:val="0"/>
      <w:marTop w:val="0"/>
      <w:marBottom w:val="0"/>
      <w:divBdr>
        <w:top w:val="none" w:sz="0" w:space="0" w:color="auto"/>
        <w:left w:val="none" w:sz="0" w:space="0" w:color="auto"/>
        <w:bottom w:val="none" w:sz="0" w:space="0" w:color="auto"/>
        <w:right w:val="none" w:sz="0" w:space="0" w:color="auto"/>
      </w:divBdr>
    </w:div>
    <w:div w:id="2078017200">
      <w:bodyDiv w:val="1"/>
      <w:marLeft w:val="0"/>
      <w:marRight w:val="0"/>
      <w:marTop w:val="0"/>
      <w:marBottom w:val="0"/>
      <w:divBdr>
        <w:top w:val="none" w:sz="0" w:space="0" w:color="auto"/>
        <w:left w:val="none" w:sz="0" w:space="0" w:color="auto"/>
        <w:bottom w:val="none" w:sz="0" w:space="0" w:color="auto"/>
        <w:right w:val="none" w:sz="0" w:space="0" w:color="auto"/>
      </w:divBdr>
    </w:div>
    <w:div w:id="2078818125">
      <w:bodyDiv w:val="1"/>
      <w:marLeft w:val="0"/>
      <w:marRight w:val="0"/>
      <w:marTop w:val="0"/>
      <w:marBottom w:val="0"/>
      <w:divBdr>
        <w:top w:val="none" w:sz="0" w:space="0" w:color="auto"/>
        <w:left w:val="none" w:sz="0" w:space="0" w:color="auto"/>
        <w:bottom w:val="none" w:sz="0" w:space="0" w:color="auto"/>
        <w:right w:val="none" w:sz="0" w:space="0" w:color="auto"/>
      </w:divBdr>
    </w:div>
    <w:div w:id="2080445589">
      <w:bodyDiv w:val="1"/>
      <w:marLeft w:val="0"/>
      <w:marRight w:val="0"/>
      <w:marTop w:val="0"/>
      <w:marBottom w:val="0"/>
      <w:divBdr>
        <w:top w:val="none" w:sz="0" w:space="0" w:color="auto"/>
        <w:left w:val="none" w:sz="0" w:space="0" w:color="auto"/>
        <w:bottom w:val="none" w:sz="0" w:space="0" w:color="auto"/>
        <w:right w:val="none" w:sz="0" w:space="0" w:color="auto"/>
      </w:divBdr>
    </w:div>
    <w:div w:id="2080901703">
      <w:bodyDiv w:val="1"/>
      <w:marLeft w:val="0"/>
      <w:marRight w:val="0"/>
      <w:marTop w:val="0"/>
      <w:marBottom w:val="0"/>
      <w:divBdr>
        <w:top w:val="none" w:sz="0" w:space="0" w:color="auto"/>
        <w:left w:val="none" w:sz="0" w:space="0" w:color="auto"/>
        <w:bottom w:val="none" w:sz="0" w:space="0" w:color="auto"/>
        <w:right w:val="none" w:sz="0" w:space="0" w:color="auto"/>
      </w:divBdr>
    </w:div>
    <w:div w:id="2081705965">
      <w:bodyDiv w:val="1"/>
      <w:marLeft w:val="0"/>
      <w:marRight w:val="0"/>
      <w:marTop w:val="0"/>
      <w:marBottom w:val="0"/>
      <w:divBdr>
        <w:top w:val="none" w:sz="0" w:space="0" w:color="auto"/>
        <w:left w:val="none" w:sz="0" w:space="0" w:color="auto"/>
        <w:bottom w:val="none" w:sz="0" w:space="0" w:color="auto"/>
        <w:right w:val="none" w:sz="0" w:space="0" w:color="auto"/>
      </w:divBdr>
    </w:div>
    <w:div w:id="2086952532">
      <w:bodyDiv w:val="1"/>
      <w:marLeft w:val="0"/>
      <w:marRight w:val="0"/>
      <w:marTop w:val="0"/>
      <w:marBottom w:val="0"/>
      <w:divBdr>
        <w:top w:val="none" w:sz="0" w:space="0" w:color="auto"/>
        <w:left w:val="none" w:sz="0" w:space="0" w:color="auto"/>
        <w:bottom w:val="none" w:sz="0" w:space="0" w:color="auto"/>
        <w:right w:val="none" w:sz="0" w:space="0" w:color="auto"/>
      </w:divBdr>
    </w:div>
    <w:div w:id="2090105762">
      <w:bodyDiv w:val="1"/>
      <w:marLeft w:val="0"/>
      <w:marRight w:val="0"/>
      <w:marTop w:val="0"/>
      <w:marBottom w:val="0"/>
      <w:divBdr>
        <w:top w:val="none" w:sz="0" w:space="0" w:color="auto"/>
        <w:left w:val="none" w:sz="0" w:space="0" w:color="auto"/>
        <w:bottom w:val="none" w:sz="0" w:space="0" w:color="auto"/>
        <w:right w:val="none" w:sz="0" w:space="0" w:color="auto"/>
      </w:divBdr>
    </w:div>
    <w:div w:id="2091779221">
      <w:bodyDiv w:val="1"/>
      <w:marLeft w:val="0"/>
      <w:marRight w:val="0"/>
      <w:marTop w:val="0"/>
      <w:marBottom w:val="0"/>
      <w:divBdr>
        <w:top w:val="none" w:sz="0" w:space="0" w:color="auto"/>
        <w:left w:val="none" w:sz="0" w:space="0" w:color="auto"/>
        <w:bottom w:val="none" w:sz="0" w:space="0" w:color="auto"/>
        <w:right w:val="none" w:sz="0" w:space="0" w:color="auto"/>
      </w:divBdr>
    </w:div>
    <w:div w:id="2092191468">
      <w:bodyDiv w:val="1"/>
      <w:marLeft w:val="0"/>
      <w:marRight w:val="0"/>
      <w:marTop w:val="0"/>
      <w:marBottom w:val="0"/>
      <w:divBdr>
        <w:top w:val="none" w:sz="0" w:space="0" w:color="auto"/>
        <w:left w:val="none" w:sz="0" w:space="0" w:color="auto"/>
        <w:bottom w:val="none" w:sz="0" w:space="0" w:color="auto"/>
        <w:right w:val="none" w:sz="0" w:space="0" w:color="auto"/>
      </w:divBdr>
    </w:div>
    <w:div w:id="2092508971">
      <w:bodyDiv w:val="1"/>
      <w:marLeft w:val="0"/>
      <w:marRight w:val="0"/>
      <w:marTop w:val="0"/>
      <w:marBottom w:val="0"/>
      <w:divBdr>
        <w:top w:val="none" w:sz="0" w:space="0" w:color="auto"/>
        <w:left w:val="none" w:sz="0" w:space="0" w:color="auto"/>
        <w:bottom w:val="none" w:sz="0" w:space="0" w:color="auto"/>
        <w:right w:val="none" w:sz="0" w:space="0" w:color="auto"/>
      </w:divBdr>
    </w:div>
    <w:div w:id="2096825643">
      <w:bodyDiv w:val="1"/>
      <w:marLeft w:val="0"/>
      <w:marRight w:val="0"/>
      <w:marTop w:val="0"/>
      <w:marBottom w:val="0"/>
      <w:divBdr>
        <w:top w:val="none" w:sz="0" w:space="0" w:color="auto"/>
        <w:left w:val="none" w:sz="0" w:space="0" w:color="auto"/>
        <w:bottom w:val="none" w:sz="0" w:space="0" w:color="auto"/>
        <w:right w:val="none" w:sz="0" w:space="0" w:color="auto"/>
      </w:divBdr>
    </w:div>
    <w:div w:id="2097553027">
      <w:bodyDiv w:val="1"/>
      <w:marLeft w:val="0"/>
      <w:marRight w:val="0"/>
      <w:marTop w:val="0"/>
      <w:marBottom w:val="0"/>
      <w:divBdr>
        <w:top w:val="none" w:sz="0" w:space="0" w:color="auto"/>
        <w:left w:val="none" w:sz="0" w:space="0" w:color="auto"/>
        <w:bottom w:val="none" w:sz="0" w:space="0" w:color="auto"/>
        <w:right w:val="none" w:sz="0" w:space="0" w:color="auto"/>
      </w:divBdr>
    </w:div>
    <w:div w:id="2099983442">
      <w:bodyDiv w:val="1"/>
      <w:marLeft w:val="0"/>
      <w:marRight w:val="0"/>
      <w:marTop w:val="0"/>
      <w:marBottom w:val="0"/>
      <w:divBdr>
        <w:top w:val="none" w:sz="0" w:space="0" w:color="auto"/>
        <w:left w:val="none" w:sz="0" w:space="0" w:color="auto"/>
        <w:bottom w:val="none" w:sz="0" w:space="0" w:color="auto"/>
        <w:right w:val="none" w:sz="0" w:space="0" w:color="auto"/>
      </w:divBdr>
    </w:div>
    <w:div w:id="2102023381">
      <w:bodyDiv w:val="1"/>
      <w:marLeft w:val="0"/>
      <w:marRight w:val="0"/>
      <w:marTop w:val="0"/>
      <w:marBottom w:val="0"/>
      <w:divBdr>
        <w:top w:val="none" w:sz="0" w:space="0" w:color="auto"/>
        <w:left w:val="none" w:sz="0" w:space="0" w:color="auto"/>
        <w:bottom w:val="none" w:sz="0" w:space="0" w:color="auto"/>
        <w:right w:val="none" w:sz="0" w:space="0" w:color="auto"/>
      </w:divBdr>
    </w:div>
    <w:div w:id="2105566628">
      <w:bodyDiv w:val="1"/>
      <w:marLeft w:val="0"/>
      <w:marRight w:val="0"/>
      <w:marTop w:val="0"/>
      <w:marBottom w:val="0"/>
      <w:divBdr>
        <w:top w:val="none" w:sz="0" w:space="0" w:color="auto"/>
        <w:left w:val="none" w:sz="0" w:space="0" w:color="auto"/>
        <w:bottom w:val="none" w:sz="0" w:space="0" w:color="auto"/>
        <w:right w:val="none" w:sz="0" w:space="0" w:color="auto"/>
      </w:divBdr>
    </w:div>
    <w:div w:id="2107604740">
      <w:bodyDiv w:val="1"/>
      <w:marLeft w:val="0"/>
      <w:marRight w:val="0"/>
      <w:marTop w:val="0"/>
      <w:marBottom w:val="0"/>
      <w:divBdr>
        <w:top w:val="none" w:sz="0" w:space="0" w:color="auto"/>
        <w:left w:val="none" w:sz="0" w:space="0" w:color="auto"/>
        <w:bottom w:val="none" w:sz="0" w:space="0" w:color="auto"/>
        <w:right w:val="none" w:sz="0" w:space="0" w:color="auto"/>
      </w:divBdr>
    </w:div>
    <w:div w:id="2110925177">
      <w:bodyDiv w:val="1"/>
      <w:marLeft w:val="0"/>
      <w:marRight w:val="0"/>
      <w:marTop w:val="0"/>
      <w:marBottom w:val="0"/>
      <w:divBdr>
        <w:top w:val="none" w:sz="0" w:space="0" w:color="auto"/>
        <w:left w:val="none" w:sz="0" w:space="0" w:color="auto"/>
        <w:bottom w:val="none" w:sz="0" w:space="0" w:color="auto"/>
        <w:right w:val="none" w:sz="0" w:space="0" w:color="auto"/>
      </w:divBdr>
    </w:div>
    <w:div w:id="2112699572">
      <w:bodyDiv w:val="1"/>
      <w:marLeft w:val="0"/>
      <w:marRight w:val="0"/>
      <w:marTop w:val="0"/>
      <w:marBottom w:val="0"/>
      <w:divBdr>
        <w:top w:val="none" w:sz="0" w:space="0" w:color="auto"/>
        <w:left w:val="none" w:sz="0" w:space="0" w:color="auto"/>
        <w:bottom w:val="none" w:sz="0" w:space="0" w:color="auto"/>
        <w:right w:val="none" w:sz="0" w:space="0" w:color="auto"/>
      </w:divBdr>
    </w:div>
    <w:div w:id="2113285048">
      <w:bodyDiv w:val="1"/>
      <w:marLeft w:val="0"/>
      <w:marRight w:val="0"/>
      <w:marTop w:val="0"/>
      <w:marBottom w:val="0"/>
      <w:divBdr>
        <w:top w:val="none" w:sz="0" w:space="0" w:color="auto"/>
        <w:left w:val="none" w:sz="0" w:space="0" w:color="auto"/>
        <w:bottom w:val="none" w:sz="0" w:space="0" w:color="auto"/>
        <w:right w:val="none" w:sz="0" w:space="0" w:color="auto"/>
      </w:divBdr>
      <w:divsChild>
        <w:div w:id="153497887">
          <w:marLeft w:val="547"/>
          <w:marRight w:val="0"/>
          <w:marTop w:val="77"/>
          <w:marBottom w:val="0"/>
          <w:divBdr>
            <w:top w:val="none" w:sz="0" w:space="0" w:color="auto"/>
            <w:left w:val="none" w:sz="0" w:space="0" w:color="auto"/>
            <w:bottom w:val="none" w:sz="0" w:space="0" w:color="auto"/>
            <w:right w:val="none" w:sz="0" w:space="0" w:color="auto"/>
          </w:divBdr>
        </w:div>
      </w:divsChild>
    </w:div>
    <w:div w:id="2121025298">
      <w:bodyDiv w:val="1"/>
      <w:marLeft w:val="0"/>
      <w:marRight w:val="0"/>
      <w:marTop w:val="0"/>
      <w:marBottom w:val="0"/>
      <w:divBdr>
        <w:top w:val="none" w:sz="0" w:space="0" w:color="auto"/>
        <w:left w:val="none" w:sz="0" w:space="0" w:color="auto"/>
        <w:bottom w:val="none" w:sz="0" w:space="0" w:color="auto"/>
        <w:right w:val="none" w:sz="0" w:space="0" w:color="auto"/>
      </w:divBdr>
    </w:div>
    <w:div w:id="2122262611">
      <w:bodyDiv w:val="1"/>
      <w:marLeft w:val="0"/>
      <w:marRight w:val="0"/>
      <w:marTop w:val="0"/>
      <w:marBottom w:val="0"/>
      <w:divBdr>
        <w:top w:val="none" w:sz="0" w:space="0" w:color="auto"/>
        <w:left w:val="none" w:sz="0" w:space="0" w:color="auto"/>
        <w:bottom w:val="none" w:sz="0" w:space="0" w:color="auto"/>
        <w:right w:val="none" w:sz="0" w:space="0" w:color="auto"/>
      </w:divBdr>
    </w:div>
    <w:div w:id="2124834725">
      <w:bodyDiv w:val="1"/>
      <w:marLeft w:val="0"/>
      <w:marRight w:val="0"/>
      <w:marTop w:val="0"/>
      <w:marBottom w:val="0"/>
      <w:divBdr>
        <w:top w:val="none" w:sz="0" w:space="0" w:color="auto"/>
        <w:left w:val="none" w:sz="0" w:space="0" w:color="auto"/>
        <w:bottom w:val="none" w:sz="0" w:space="0" w:color="auto"/>
        <w:right w:val="none" w:sz="0" w:space="0" w:color="auto"/>
      </w:divBdr>
    </w:div>
    <w:div w:id="2126775765">
      <w:bodyDiv w:val="1"/>
      <w:marLeft w:val="0"/>
      <w:marRight w:val="0"/>
      <w:marTop w:val="0"/>
      <w:marBottom w:val="0"/>
      <w:divBdr>
        <w:top w:val="none" w:sz="0" w:space="0" w:color="auto"/>
        <w:left w:val="none" w:sz="0" w:space="0" w:color="auto"/>
        <w:bottom w:val="none" w:sz="0" w:space="0" w:color="auto"/>
        <w:right w:val="none" w:sz="0" w:space="0" w:color="auto"/>
      </w:divBdr>
    </w:div>
    <w:div w:id="214738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BEC81-EC68-4BC6-87D7-4D60FE8B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268</TotalTime>
  <Pages>333</Pages>
  <Words>85315</Words>
  <Characters>486297</Characters>
  <Application>Microsoft Office Word</Application>
  <DocSecurity>0</DocSecurity>
  <Lines>4052</Lines>
  <Paragraphs>1140</Paragraphs>
  <ScaleCrop>false</ScaleCrop>
  <HeadingPairs>
    <vt:vector size="2" baseType="variant">
      <vt:variant>
        <vt:lpstr>Title</vt:lpstr>
      </vt:variant>
      <vt:variant>
        <vt:i4>1</vt:i4>
      </vt:variant>
    </vt:vector>
  </HeadingPairs>
  <TitlesOfParts>
    <vt:vector size="1" baseType="lpstr">
      <vt:lpstr>NPCL Tariff Order - Ver 7.0</vt:lpstr>
    </vt:vector>
  </TitlesOfParts>
  <Company>Feedback Ventures Pvt Ltd</Company>
  <LinksUpToDate>false</LinksUpToDate>
  <CharactersWithSpaces>570472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NPCL Tariff Order - Ver 7.0</dc:title>
  <dc:creator>Abinash Agrawal</dc:creator>
  <cp:lastModifiedBy>Subrat</cp:lastModifiedBy>
  <cp:revision>40</cp:revision>
  <cp:lastPrinted>2014-09-28T07:58:00Z</cp:lastPrinted>
  <dcterms:created xsi:type="dcterms:W3CDTF">2016-07-26T10:12:00Z</dcterms:created>
  <dcterms:modified xsi:type="dcterms:W3CDTF">2016-08-01T07:32:00Z</dcterms:modified>
</cp:coreProperties>
</file>